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94FB5F">
      <w:pPr>
        <w:keepNext w:val="0"/>
        <w:keepLines w:val="0"/>
        <w:pageBreakBefore w:val="0"/>
        <w:widowControl w:val="0"/>
        <w:kinsoku/>
        <w:wordWrap/>
        <w:overflowPunct/>
        <w:topLinePunct w:val="0"/>
        <w:autoSpaceDE/>
        <w:autoSpaceDN/>
        <w:bidi w:val="0"/>
        <w:adjustRightInd w:val="0"/>
        <w:snapToGrid w:val="0"/>
        <w:spacing w:line="600" w:lineRule="exact"/>
        <w:jc w:val="both"/>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w:t>
      </w:r>
    </w:p>
    <w:p w14:paraId="3BC3E6F8">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ascii="Nimbus Roman No9 L" w:hAnsi="Nimbus Roman No9 L" w:eastAsia="方正仿宋简体" w:cs="Nimbus Roman No9 L"/>
          <w:b/>
          <w:sz w:val="32"/>
          <w:szCs w:val="32"/>
        </w:rPr>
      </w:pPr>
    </w:p>
    <w:p w14:paraId="7BEB3E5E">
      <w:pPr>
        <w:keepNext w:val="0"/>
        <w:keepLines w:val="0"/>
        <w:pageBreakBefore w:val="0"/>
        <w:widowControl w:val="0"/>
        <w:kinsoku/>
        <w:wordWrap/>
        <w:overflowPunct/>
        <w:topLinePunct w:val="0"/>
        <w:autoSpaceDE/>
        <w:autoSpaceDN/>
        <w:bidi w:val="0"/>
        <w:adjustRightInd w:val="0"/>
        <w:snapToGrid w:val="0"/>
        <w:spacing w:line="600" w:lineRule="exact"/>
        <w:jc w:val="center"/>
        <w:rPr>
          <w:rFonts w:hint="eastAsia" w:ascii="微软雅黑" w:hAnsi="微软雅黑" w:eastAsia="微软雅黑" w:cs="微软雅黑"/>
          <w:b w:val="0"/>
          <w:bCs/>
          <w:sz w:val="44"/>
          <w:szCs w:val="44"/>
        </w:rPr>
      </w:pPr>
      <w:r>
        <w:rPr>
          <w:rFonts w:hint="eastAsia" w:ascii="微软雅黑" w:hAnsi="微软雅黑" w:eastAsia="微软雅黑" w:cs="微软雅黑"/>
          <w:b w:val="0"/>
          <w:bCs/>
          <w:sz w:val="44"/>
          <w:szCs w:val="44"/>
          <w:lang w:val="en-US" w:eastAsia="zh-CN"/>
        </w:rPr>
        <w:t>磴口县</w:t>
      </w:r>
      <w:r>
        <w:rPr>
          <w:rFonts w:hint="eastAsia" w:ascii="微软雅黑" w:hAnsi="微软雅黑" w:eastAsia="微软雅黑" w:cs="微软雅黑"/>
          <w:b w:val="0"/>
          <w:bCs/>
          <w:sz w:val="44"/>
          <w:szCs w:val="44"/>
        </w:rPr>
        <w:t>贯彻落实第二轮</w:t>
      </w:r>
      <w:r>
        <w:rPr>
          <w:rFonts w:hint="eastAsia" w:ascii="微软雅黑" w:hAnsi="微软雅黑" w:eastAsia="微软雅黑" w:cs="微软雅黑"/>
          <w:b w:val="0"/>
          <w:bCs/>
          <w:sz w:val="44"/>
          <w:szCs w:val="44"/>
          <w:lang w:val="en-US" w:eastAsia="zh-CN"/>
        </w:rPr>
        <w:t>自治区</w:t>
      </w:r>
      <w:r>
        <w:rPr>
          <w:rFonts w:hint="eastAsia" w:ascii="微软雅黑" w:hAnsi="微软雅黑" w:eastAsia="微软雅黑" w:cs="微软雅黑"/>
          <w:b w:val="0"/>
          <w:bCs/>
          <w:sz w:val="44"/>
          <w:szCs w:val="44"/>
        </w:rPr>
        <w:t>生态环境</w:t>
      </w:r>
    </w:p>
    <w:p w14:paraId="0DC5D668">
      <w:pPr>
        <w:keepNext w:val="0"/>
        <w:keepLines w:val="0"/>
        <w:pageBreakBefore w:val="0"/>
        <w:widowControl w:val="0"/>
        <w:kinsoku/>
        <w:wordWrap/>
        <w:overflowPunct/>
        <w:topLinePunct w:val="0"/>
        <w:autoSpaceDE/>
        <w:autoSpaceDN/>
        <w:bidi w:val="0"/>
        <w:adjustRightInd w:val="0"/>
        <w:snapToGrid w:val="0"/>
        <w:spacing w:line="600" w:lineRule="exact"/>
        <w:jc w:val="center"/>
        <w:rPr>
          <w:rFonts w:hint="eastAsia" w:ascii="微软雅黑" w:hAnsi="微软雅黑" w:eastAsia="微软雅黑" w:cs="微软雅黑"/>
          <w:b w:val="0"/>
          <w:bCs/>
          <w:sz w:val="44"/>
          <w:szCs w:val="44"/>
        </w:rPr>
      </w:pPr>
      <w:r>
        <w:rPr>
          <w:rFonts w:hint="eastAsia" w:ascii="微软雅黑" w:hAnsi="微软雅黑" w:eastAsia="微软雅黑" w:cs="微软雅黑"/>
          <w:b w:val="0"/>
          <w:bCs/>
          <w:sz w:val="44"/>
          <w:szCs w:val="44"/>
        </w:rPr>
        <w:t>保护督察报告具体问题整改进展情况</w:t>
      </w:r>
    </w:p>
    <w:p w14:paraId="3D3A69E9">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ascii="Nimbus Roman No9 L" w:hAnsi="Nimbus Roman No9 L" w:eastAsia="方正仿宋简体" w:cs="Nimbus Roman No9 L"/>
          <w:b/>
          <w:sz w:val="32"/>
          <w:szCs w:val="32"/>
        </w:rPr>
      </w:pPr>
    </w:p>
    <w:p w14:paraId="5D9F972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Nimbus Roman No9 L" w:hAnsi="Nimbus Roman No9 L" w:eastAsia="黑体" w:cs="Nimbus Roman No9 L"/>
          <w:sz w:val="32"/>
          <w:szCs w:val="32"/>
        </w:rPr>
      </w:pPr>
      <w:r>
        <w:rPr>
          <w:rFonts w:hint="default" w:ascii="Nimbus Roman No9 L" w:hAnsi="Nimbus Roman No9 L" w:eastAsia="黑体" w:cs="Nimbus Roman No9 L"/>
          <w:sz w:val="32"/>
          <w:szCs w:val="32"/>
          <w:lang w:val="en-US" w:eastAsia="zh-CN"/>
        </w:rPr>
        <w:t>第一个方面，贯彻落实习近平生态文明思想还有差距</w:t>
      </w:r>
    </w:p>
    <w:p w14:paraId="69F0D97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Nimbus Roman No9 L" w:hAnsi="Nimbus Roman No9 L" w:eastAsia="仿宋_GB2312" w:cs="Nimbus Roman No9 L"/>
          <w:sz w:val="32"/>
          <w:szCs w:val="32"/>
        </w:rPr>
      </w:pPr>
      <w:r>
        <w:rPr>
          <w:rFonts w:hint="default" w:ascii="Nimbus Roman No9 L" w:hAnsi="Nimbus Roman No9 L" w:eastAsia="楷体" w:cs="Nimbus Roman No9 L"/>
          <w:b/>
          <w:bCs/>
          <w:sz w:val="32"/>
          <w:szCs w:val="32"/>
          <w:lang w:val="en-US" w:eastAsia="zh-CN"/>
        </w:rPr>
        <w:t>1.一些地区和部门对建设我国北方重要生态安全屏障缺乏深刻理解，运用系统思维全地域全要素全过程推进生态环境治理的思路不清晰，“生态优先、绿色发展”理念树得不牢，“重发展、轻保护”，解决突出生态环境问题态度不坚决、动真碰硬不够，推进高水平保护的内生动力不足。个别领导干部对本地区生态环境领域存在的问题认识不清，履行“党政同责、</w:t>
      </w:r>
      <w:r>
        <w:rPr>
          <w:rFonts w:hint="eastAsia" w:ascii="Nimbus Roman No9 L" w:hAnsi="Nimbus Roman No9 L" w:eastAsia="楷体" w:cs="Nimbus Roman No9 L"/>
          <w:b/>
          <w:bCs/>
          <w:sz w:val="32"/>
          <w:szCs w:val="32"/>
          <w:lang w:val="en-US" w:eastAsia="zh-CN"/>
        </w:rPr>
        <w:t>‘一岗双责’</w:t>
      </w:r>
      <w:r>
        <w:rPr>
          <w:rFonts w:hint="default" w:ascii="Nimbus Roman No9 L" w:hAnsi="Nimbus Roman No9 L" w:eastAsia="楷体" w:cs="Nimbus Roman No9 L"/>
          <w:b/>
          <w:bCs/>
          <w:sz w:val="32"/>
          <w:szCs w:val="32"/>
          <w:lang w:val="en-US" w:eastAsia="zh-CN"/>
        </w:rPr>
        <w:t>”意识不强。</w:t>
      </w:r>
    </w:p>
    <w:p w14:paraId="1343C37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rPr>
          <w:rFonts w:hint="eastAsia" w:eastAsia="黑体"/>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（整改时限：立行立改，长期坚持）</w:t>
      </w:r>
    </w:p>
    <w:p w14:paraId="0280667D">
      <w:pPr>
        <w:keepNext w:val="0"/>
        <w:keepLines w:val="0"/>
        <w:pageBreakBefore w:val="0"/>
        <w:widowControl w:val="0"/>
        <w:kinsoku/>
        <w:wordWrap/>
        <w:overflowPunct/>
        <w:topLinePunct w:val="0"/>
        <w:autoSpaceDE/>
        <w:autoSpaceDN/>
        <w:bidi w:val="0"/>
        <w:adjustRightInd w:val="0"/>
        <w:snapToGrid w:val="0"/>
        <w:spacing w:before="0" w:line="600" w:lineRule="exact"/>
        <w:ind w:left="0" w:leftChars="0" w:firstLine="640" w:firstLineChars="200"/>
        <w:jc w:val="both"/>
        <w:textAlignment w:val="center"/>
        <w:rPr>
          <w:rFonts w:hint="eastAsia" w:ascii="仿宋_GB2312" w:hAnsi="Nimbus Roman No9 L" w:eastAsia="仿宋_GB2312" w:cs="Nimbus Roman No9 L"/>
          <w:sz w:val="32"/>
          <w:szCs w:val="32"/>
        </w:rPr>
      </w:pPr>
      <w:r>
        <w:rPr>
          <w:rFonts w:hint="eastAsia" w:ascii="仿宋_GB2312" w:hAnsi="Nimbus Roman No9 L" w:eastAsia="仿宋_GB2312" w:cs="Nimbus Roman No9 L"/>
          <w:sz w:val="32"/>
          <w:szCs w:val="32"/>
        </w:rPr>
        <w:t>（一）</w:t>
      </w:r>
      <w:r>
        <w:rPr>
          <w:rFonts w:hint="eastAsia" w:ascii="仿宋_GB2312" w:hAnsi="Nimbus Roman No9 L" w:eastAsia="仿宋_GB2312" w:cs="Nimbus Roman No9 L"/>
          <w:sz w:val="32"/>
          <w:szCs w:val="32"/>
          <w:lang w:eastAsia="zh-CN"/>
        </w:rPr>
        <w:t>磴口县</w:t>
      </w:r>
      <w:r>
        <w:rPr>
          <w:rFonts w:hint="eastAsia" w:ascii="仿宋_GB2312" w:hAnsi="Nimbus Roman No9 L" w:eastAsia="仿宋_GB2312" w:cs="Nimbus Roman No9 L"/>
          <w:sz w:val="32"/>
          <w:szCs w:val="32"/>
        </w:rPr>
        <w:t>将习近平生态文明思想和习近平总书记对内蒙古重要指示精神纳入各级党委（党组）理论学习中心组学习、党校干部教育培训主体班次。</w:t>
      </w:r>
    </w:p>
    <w:p w14:paraId="01807BCC">
      <w:pPr>
        <w:keepNext w:val="0"/>
        <w:keepLines w:val="0"/>
        <w:pageBreakBefore w:val="0"/>
        <w:widowControl w:val="0"/>
        <w:kinsoku/>
        <w:wordWrap/>
        <w:overflowPunct/>
        <w:topLinePunct w:val="0"/>
        <w:autoSpaceDE/>
        <w:autoSpaceDN/>
        <w:bidi w:val="0"/>
        <w:adjustRightInd w:val="0"/>
        <w:snapToGrid w:val="0"/>
        <w:spacing w:before="0" w:line="600" w:lineRule="exact"/>
        <w:ind w:left="0" w:leftChars="0" w:firstLine="640" w:firstLineChars="200"/>
        <w:jc w:val="both"/>
        <w:textAlignment w:val="center"/>
        <w:rPr>
          <w:rFonts w:hint="eastAsia" w:ascii="仿宋_GB2312" w:hAnsi="Nimbus Roman No9 L" w:eastAsia="仿宋_GB2312" w:cs="Nimbus Roman No9 L"/>
          <w:sz w:val="32"/>
          <w:szCs w:val="32"/>
        </w:rPr>
      </w:pPr>
      <w:r>
        <w:rPr>
          <w:rFonts w:hint="eastAsia" w:ascii="仿宋_GB2312" w:hAnsi="Nimbus Roman No9 L" w:eastAsia="仿宋_GB2312" w:cs="Nimbus Roman No9 L"/>
          <w:sz w:val="32"/>
          <w:szCs w:val="32"/>
        </w:rPr>
        <w:t>（</w:t>
      </w:r>
      <w:r>
        <w:rPr>
          <w:rFonts w:hint="eastAsia" w:ascii="仿宋_GB2312" w:hAnsi="Nimbus Roman No9 L" w:eastAsia="仿宋_GB2312" w:cs="Nimbus Roman No9 L"/>
          <w:sz w:val="32"/>
          <w:szCs w:val="32"/>
          <w:lang w:val="en-US" w:eastAsia="zh-CN"/>
        </w:rPr>
        <w:t>二</w:t>
      </w:r>
      <w:r>
        <w:rPr>
          <w:rFonts w:hint="eastAsia" w:ascii="仿宋_GB2312" w:hAnsi="Nimbus Roman No9 L" w:eastAsia="仿宋_GB2312" w:cs="Nimbus Roman No9 L"/>
          <w:sz w:val="32"/>
          <w:szCs w:val="32"/>
        </w:rPr>
        <w:t>）磴口县委、政府将生态文明建设、生态环境保护工作纳入重要议事日程，县委召开十次常委会会议、政府召开七次常务会，及时传达学习党中央关于生态文明建设的决策部署和自治区相关工作要求，及时研究解决涉及经济社会发展与生态环境保护的重大问题。</w:t>
      </w:r>
    </w:p>
    <w:p w14:paraId="24D254CB">
      <w:pPr>
        <w:keepNext w:val="0"/>
        <w:keepLines w:val="0"/>
        <w:pageBreakBefore w:val="0"/>
        <w:widowControl w:val="0"/>
        <w:kinsoku/>
        <w:wordWrap/>
        <w:overflowPunct/>
        <w:topLinePunct w:val="0"/>
        <w:autoSpaceDE/>
        <w:autoSpaceDN/>
        <w:bidi w:val="0"/>
        <w:adjustRightInd w:val="0"/>
        <w:snapToGrid w:val="0"/>
        <w:spacing w:before="0" w:line="600" w:lineRule="exact"/>
        <w:ind w:left="0" w:leftChars="0" w:firstLine="640" w:firstLineChars="200"/>
        <w:jc w:val="both"/>
        <w:textAlignment w:val="center"/>
        <w:rPr>
          <w:rFonts w:hint="eastAsia" w:ascii="仿宋_GB2312" w:hAnsi="Nimbus Roman No9 L" w:eastAsia="仿宋_GB2312" w:cs="Nimbus Roman No9 L"/>
          <w:sz w:val="32"/>
          <w:szCs w:val="32"/>
        </w:rPr>
      </w:pPr>
      <w:r>
        <w:rPr>
          <w:rFonts w:hint="eastAsia" w:ascii="仿宋_GB2312" w:hAnsi="Nimbus Roman No9 L" w:eastAsia="仿宋_GB2312" w:cs="Nimbus Roman No9 L"/>
          <w:sz w:val="32"/>
          <w:szCs w:val="32"/>
        </w:rPr>
        <w:t>（</w:t>
      </w:r>
      <w:r>
        <w:rPr>
          <w:rFonts w:hint="eastAsia" w:ascii="仿宋_GB2312" w:hAnsi="Nimbus Roman No9 L" w:eastAsia="仿宋_GB2312" w:cs="Nimbus Roman No9 L"/>
          <w:sz w:val="32"/>
          <w:szCs w:val="32"/>
          <w:lang w:val="en-US" w:eastAsia="zh-CN"/>
        </w:rPr>
        <w:t>三</w:t>
      </w:r>
      <w:r>
        <w:rPr>
          <w:rFonts w:hint="eastAsia" w:ascii="仿宋_GB2312" w:hAnsi="Nimbus Roman No9 L" w:eastAsia="仿宋_GB2312" w:cs="Nimbus Roman No9 L"/>
          <w:sz w:val="32"/>
          <w:szCs w:val="32"/>
        </w:rPr>
        <w:t>）已将自治区生态环境保护督察反馈问题整改落实情况列入年度督查检查计划。</w:t>
      </w:r>
    </w:p>
    <w:p w14:paraId="17ACA766">
      <w:pPr>
        <w:keepNext w:val="0"/>
        <w:keepLines w:val="0"/>
        <w:pageBreakBefore w:val="0"/>
        <w:widowControl w:val="0"/>
        <w:kinsoku/>
        <w:wordWrap/>
        <w:overflowPunct/>
        <w:topLinePunct w:val="0"/>
        <w:autoSpaceDE/>
        <w:autoSpaceDN/>
        <w:bidi w:val="0"/>
        <w:adjustRightInd w:val="0"/>
        <w:snapToGrid w:val="0"/>
        <w:spacing w:before="0" w:line="600" w:lineRule="exact"/>
        <w:ind w:left="0" w:leftChars="0" w:firstLine="640" w:firstLineChars="200"/>
        <w:jc w:val="both"/>
        <w:textAlignment w:val="center"/>
        <w:rPr>
          <w:rFonts w:hint="eastAsia" w:ascii="仿宋_GB2312" w:hAnsi="Nimbus Roman No9 L" w:eastAsia="仿宋_GB2312" w:cs="Nimbus Roman No9 L"/>
          <w:sz w:val="32"/>
          <w:szCs w:val="32"/>
        </w:rPr>
      </w:pPr>
      <w:r>
        <w:rPr>
          <w:rFonts w:hint="eastAsia" w:ascii="仿宋_GB2312" w:hAnsi="Nimbus Roman No9 L" w:eastAsia="仿宋_GB2312" w:cs="Nimbus Roman No9 L"/>
          <w:sz w:val="32"/>
          <w:szCs w:val="32"/>
        </w:rPr>
        <w:t>（</w:t>
      </w:r>
      <w:r>
        <w:rPr>
          <w:rFonts w:hint="eastAsia" w:ascii="仿宋_GB2312" w:hAnsi="Nimbus Roman No9 L" w:eastAsia="仿宋_GB2312" w:cs="Nimbus Roman No9 L"/>
          <w:sz w:val="32"/>
          <w:szCs w:val="32"/>
          <w:lang w:val="en-US" w:eastAsia="zh-CN"/>
        </w:rPr>
        <w:t>四</w:t>
      </w:r>
      <w:r>
        <w:rPr>
          <w:rFonts w:hint="eastAsia" w:ascii="仿宋_GB2312" w:hAnsi="Nimbus Roman No9 L" w:eastAsia="仿宋_GB2312" w:cs="Nimbus Roman No9 L"/>
          <w:sz w:val="32"/>
          <w:szCs w:val="32"/>
        </w:rPr>
        <w:t>）按照《巴彦淖尔市委组织部关于加强“一把手”和领导班子监督工作的通知》（巴组通字〔2023〕54号）工作要求，县委组织督促“一把手”严格按程序决策、按规矩办事，</w:t>
      </w:r>
      <w:r>
        <w:rPr>
          <w:rFonts w:hint="eastAsia" w:ascii="仿宋_GB2312" w:hAnsi="Nimbus Roman No9 L" w:eastAsia="仿宋_GB2312" w:cs="Nimbus Roman No9 L"/>
          <w:sz w:val="32"/>
          <w:szCs w:val="32"/>
          <w:lang w:eastAsia="zh-CN"/>
        </w:rPr>
        <w:t>进一步</w:t>
      </w:r>
      <w:r>
        <w:rPr>
          <w:rFonts w:hint="eastAsia" w:ascii="仿宋_GB2312" w:hAnsi="Nimbus Roman No9 L" w:eastAsia="仿宋_GB2312" w:cs="Nimbus Roman No9 L"/>
          <w:sz w:val="32"/>
          <w:szCs w:val="32"/>
        </w:rPr>
        <w:t>压紧领导班子落实我县生态环境保护的责任；对反映领导干部违反生态环境保护相关规定的问题及时进行核查处置，目前暂未收到反映领导干部违反生态环境保护相关规定的问题。</w:t>
      </w:r>
    </w:p>
    <w:p w14:paraId="5C54AB6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Nimbus Roman No9 L" w:hAnsi="Nimbus Roman No9 L" w:eastAsia="楷体" w:cs="Nimbus Roman No9 L"/>
          <w:b/>
          <w:bCs/>
          <w:sz w:val="32"/>
          <w:szCs w:val="32"/>
        </w:rPr>
      </w:pPr>
      <w:r>
        <w:rPr>
          <w:rFonts w:hint="default" w:ascii="Nimbus Roman No9 L" w:hAnsi="Nimbus Roman No9 L" w:eastAsia="楷体" w:cs="Nimbus Roman No9 L"/>
          <w:b/>
          <w:bCs/>
          <w:sz w:val="32"/>
          <w:szCs w:val="32"/>
          <w:lang w:val="en-US" w:eastAsia="zh-CN"/>
        </w:rPr>
        <w:t>2.习近平总书记深刻指出，“保护草原、森林是内蒙古的首要任务”。巴彦淖尔市涉及草畜平衡和禁牧休牧的4个旗县，在禁牧区划定过程中，未严格落实《内蒙古自治区草畜平衡和禁牧休牧条例》，“应禁未禁、应休未休”的草原得不到休养生息，退化沙化趋势未得到有效遏制。</w:t>
      </w:r>
    </w:p>
    <w:p w14:paraId="40353961">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eastAsia="黑体"/>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（整改时限：立行立改，长期坚持）</w:t>
      </w:r>
    </w:p>
    <w:p w14:paraId="70A9811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default" w:ascii="仿宋_GB2312" w:hAnsi="Nimbus Roman No9 L" w:eastAsia="仿宋_GB2312" w:cs="Nimbus Roman No9 L"/>
          <w:sz w:val="32"/>
          <w:szCs w:val="32"/>
          <w:lang w:val="en-US" w:eastAsia="zh-CN"/>
        </w:rPr>
      </w:pPr>
      <w:r>
        <w:rPr>
          <w:rFonts w:hint="default" w:ascii="仿宋_GB2312" w:hAnsi="Nimbus Roman No9 L" w:eastAsia="仿宋_GB2312" w:cs="Nimbus Roman No9 L"/>
          <w:sz w:val="32"/>
          <w:szCs w:val="32"/>
          <w:lang w:val="en-US" w:eastAsia="zh-CN"/>
        </w:rPr>
        <w:t>（一）</w:t>
      </w:r>
      <w:r>
        <w:rPr>
          <w:rFonts w:hint="eastAsia" w:ascii="仿宋_GB2312" w:hAnsi="Nimbus Roman No9 L" w:eastAsia="仿宋_GB2312" w:cs="Nimbus Roman No9 L"/>
          <w:sz w:val="32"/>
          <w:szCs w:val="32"/>
          <w:lang w:val="en-US" w:eastAsia="zh-CN"/>
        </w:rPr>
        <w:t>磴口县</w:t>
      </w:r>
      <w:r>
        <w:rPr>
          <w:rFonts w:hint="default" w:ascii="仿宋_GB2312" w:hAnsi="Nimbus Roman No9 L" w:eastAsia="仿宋_GB2312" w:cs="Nimbus Roman No9 L"/>
          <w:sz w:val="32"/>
          <w:szCs w:val="32"/>
          <w:lang w:val="en-US" w:eastAsia="zh-CN"/>
        </w:rPr>
        <w:t>已组织防沙治沙局、农牧和科技局全体干部职工认真学习了《内蒙古自治区草畜平衡和禁牧休牧条例》《中华人民共和国草原法》。</w:t>
      </w:r>
    </w:p>
    <w:p w14:paraId="76C1AF95">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default" w:ascii="仿宋_GB2312" w:hAnsi="Nimbus Roman No9 L" w:eastAsia="仿宋_GB2312" w:cs="Nimbus Roman No9 L"/>
          <w:sz w:val="32"/>
          <w:szCs w:val="32"/>
          <w:lang w:val="en-US" w:eastAsia="zh-CN"/>
        </w:rPr>
      </w:pPr>
      <w:r>
        <w:rPr>
          <w:rFonts w:hint="default" w:ascii="仿宋_GB2312" w:hAnsi="Nimbus Roman No9 L" w:eastAsia="仿宋_GB2312" w:cs="Nimbus Roman No9 L"/>
          <w:sz w:val="32"/>
          <w:szCs w:val="32"/>
          <w:lang w:val="en-US" w:eastAsia="zh-CN"/>
        </w:rPr>
        <w:t>（</w:t>
      </w:r>
      <w:r>
        <w:rPr>
          <w:rFonts w:hint="eastAsia" w:ascii="仿宋_GB2312" w:hAnsi="Nimbus Roman No9 L" w:eastAsia="仿宋_GB2312" w:cs="Nimbus Roman No9 L"/>
          <w:sz w:val="32"/>
          <w:szCs w:val="32"/>
          <w:lang w:val="en-US" w:eastAsia="zh-CN"/>
        </w:rPr>
        <w:t>二</w:t>
      </w:r>
      <w:r>
        <w:rPr>
          <w:rFonts w:hint="default" w:ascii="仿宋_GB2312" w:hAnsi="Nimbus Roman No9 L" w:eastAsia="仿宋_GB2312" w:cs="Nimbus Roman No9 L"/>
          <w:sz w:val="32"/>
          <w:szCs w:val="32"/>
          <w:lang w:val="en-US" w:eastAsia="zh-CN"/>
        </w:rPr>
        <w:t>）</w:t>
      </w:r>
      <w:r>
        <w:rPr>
          <w:rFonts w:hint="eastAsia" w:ascii="仿宋_GB2312" w:hAnsi="Nimbus Roman No9 L" w:eastAsia="仿宋_GB2312" w:cs="Nimbus Roman No9 L"/>
          <w:sz w:val="32"/>
          <w:szCs w:val="32"/>
          <w:lang w:val="en-US" w:eastAsia="zh-CN"/>
        </w:rPr>
        <w:t>我县</w:t>
      </w:r>
      <w:r>
        <w:rPr>
          <w:rFonts w:hint="default" w:ascii="仿宋_GB2312" w:hAnsi="Nimbus Roman No9 L" w:eastAsia="仿宋_GB2312" w:cs="Nimbus Roman No9 L"/>
          <w:sz w:val="32"/>
          <w:szCs w:val="32"/>
          <w:lang w:val="en-US" w:eastAsia="zh-CN"/>
        </w:rPr>
        <w:t>将35万亩草畜平衡区划为禁牧区，并将禁牧区指标分解下达到沙金套海苏木4个嘎查。</w:t>
      </w:r>
    </w:p>
    <w:p w14:paraId="4AB82301">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default" w:ascii="仿宋_GB2312" w:hAnsi="Nimbus Roman No9 L" w:eastAsia="仿宋_GB2312" w:cs="Nimbus Roman No9 L"/>
          <w:sz w:val="32"/>
          <w:szCs w:val="32"/>
          <w:lang w:val="en-US" w:eastAsia="zh-CN"/>
        </w:rPr>
      </w:pPr>
      <w:r>
        <w:rPr>
          <w:rFonts w:hint="default" w:ascii="仿宋_GB2312" w:hAnsi="Nimbus Roman No9 L" w:eastAsia="仿宋_GB2312" w:cs="Nimbus Roman No9 L"/>
          <w:sz w:val="32"/>
          <w:szCs w:val="32"/>
          <w:lang w:val="en-US" w:eastAsia="zh-CN"/>
        </w:rPr>
        <w:t>（</w:t>
      </w:r>
      <w:r>
        <w:rPr>
          <w:rFonts w:hint="eastAsia" w:ascii="仿宋_GB2312" w:hAnsi="Nimbus Roman No9 L" w:eastAsia="仿宋_GB2312" w:cs="Nimbus Roman No9 L"/>
          <w:sz w:val="32"/>
          <w:szCs w:val="32"/>
          <w:lang w:val="en-US" w:eastAsia="zh-CN"/>
        </w:rPr>
        <w:t>三</w:t>
      </w:r>
      <w:r>
        <w:rPr>
          <w:rFonts w:hint="default" w:ascii="仿宋_GB2312" w:hAnsi="Nimbus Roman No9 L" w:eastAsia="仿宋_GB2312" w:cs="Nimbus Roman No9 L"/>
          <w:sz w:val="32"/>
          <w:szCs w:val="32"/>
          <w:lang w:val="en-US" w:eastAsia="zh-CN"/>
        </w:rPr>
        <w:t>）按照《内蒙古自治区草畜平衡和禁牧休牧条例》的有关规定，重新优化调整禁牧区，在禁牧区设立明显的禁牧标志，发放禁牧宣传单和手册600余份，便于农牧民知晓和社会监督。</w:t>
      </w:r>
    </w:p>
    <w:p w14:paraId="050A4BD9">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default" w:ascii="仿宋_GB2312" w:hAnsi="Nimbus Roman No9 L" w:eastAsia="仿宋_GB2312" w:cs="Nimbus Roman No9 L"/>
          <w:sz w:val="32"/>
          <w:szCs w:val="32"/>
          <w:lang w:val="en-US" w:eastAsia="zh-CN"/>
        </w:rPr>
      </w:pPr>
      <w:r>
        <w:rPr>
          <w:rFonts w:hint="default" w:ascii="仿宋_GB2312" w:hAnsi="Nimbus Roman No9 L" w:eastAsia="仿宋_GB2312" w:cs="Nimbus Roman No9 L"/>
          <w:sz w:val="32"/>
          <w:szCs w:val="32"/>
          <w:lang w:val="en-US" w:eastAsia="zh-CN"/>
        </w:rPr>
        <w:t>（</w:t>
      </w:r>
      <w:r>
        <w:rPr>
          <w:rFonts w:hint="eastAsia" w:ascii="仿宋_GB2312" w:hAnsi="Nimbus Roman No9 L" w:eastAsia="仿宋_GB2312" w:cs="Nimbus Roman No9 L"/>
          <w:sz w:val="32"/>
          <w:szCs w:val="32"/>
          <w:lang w:val="en-US" w:eastAsia="zh-CN"/>
        </w:rPr>
        <w:t>四</w:t>
      </w:r>
      <w:r>
        <w:rPr>
          <w:rFonts w:hint="default" w:ascii="仿宋_GB2312" w:hAnsi="Nimbus Roman No9 L" w:eastAsia="仿宋_GB2312" w:cs="Nimbus Roman No9 L"/>
          <w:sz w:val="32"/>
          <w:szCs w:val="32"/>
          <w:lang w:val="en-US" w:eastAsia="zh-CN"/>
        </w:rPr>
        <w:t>）制定了禁牧区监管机制，定期开展巡查监管，建立了巡护台账。沙金套海苏木执法局</w:t>
      </w:r>
      <w:r>
        <w:rPr>
          <w:rFonts w:hint="eastAsia" w:ascii="仿宋_GB2312" w:hAnsi="Nimbus Roman No9 L" w:eastAsia="仿宋_GB2312" w:cs="Nimbus Roman No9 L"/>
          <w:sz w:val="32"/>
          <w:szCs w:val="32"/>
          <w:lang w:val="en-US" w:eastAsia="zh-CN"/>
        </w:rPr>
        <w:t>对</w:t>
      </w:r>
      <w:r>
        <w:rPr>
          <w:rFonts w:hint="default" w:ascii="仿宋_GB2312" w:hAnsi="Nimbus Roman No9 L" w:eastAsia="仿宋_GB2312" w:cs="Nimbus Roman No9 L"/>
          <w:sz w:val="32"/>
          <w:szCs w:val="32"/>
          <w:lang w:val="en-US" w:eastAsia="zh-CN"/>
        </w:rPr>
        <w:t>1</w:t>
      </w:r>
      <w:r>
        <w:rPr>
          <w:rFonts w:hint="eastAsia" w:ascii="仿宋_GB2312" w:hAnsi="Nimbus Roman No9 L" w:eastAsia="仿宋_GB2312" w:cs="Nimbus Roman No9 L"/>
          <w:sz w:val="32"/>
          <w:szCs w:val="32"/>
          <w:lang w:val="en-US" w:eastAsia="zh-CN"/>
        </w:rPr>
        <w:t>名情节较重</w:t>
      </w:r>
      <w:r>
        <w:rPr>
          <w:rFonts w:hint="default" w:ascii="仿宋_GB2312" w:hAnsi="Nimbus Roman No9 L" w:eastAsia="仿宋_GB2312" w:cs="Nimbus Roman No9 L"/>
          <w:sz w:val="32"/>
          <w:szCs w:val="32"/>
          <w:lang w:val="en-US" w:eastAsia="zh-CN"/>
        </w:rPr>
        <w:t>的违规放牧</w:t>
      </w:r>
      <w:r>
        <w:rPr>
          <w:rFonts w:hint="eastAsia" w:ascii="仿宋_GB2312" w:hAnsi="Nimbus Roman No9 L" w:eastAsia="仿宋_GB2312" w:cs="Nimbus Roman No9 L"/>
          <w:sz w:val="32"/>
          <w:szCs w:val="32"/>
          <w:lang w:val="en-US" w:eastAsia="zh-CN"/>
        </w:rPr>
        <w:t>农户</w:t>
      </w:r>
      <w:r>
        <w:rPr>
          <w:rFonts w:hint="default" w:ascii="仿宋_GB2312" w:hAnsi="Nimbus Roman No9 L" w:eastAsia="仿宋_GB2312" w:cs="Nimbus Roman No9 L"/>
          <w:sz w:val="32"/>
          <w:szCs w:val="32"/>
          <w:lang w:val="en-US" w:eastAsia="zh-CN"/>
        </w:rPr>
        <w:t>给予行政处罚、罚款5000元。</w:t>
      </w:r>
      <w:r>
        <w:rPr>
          <w:rFonts w:hint="eastAsia" w:ascii="仿宋_GB2312" w:hAnsi="Nimbus Roman No9 L" w:eastAsia="仿宋_GB2312" w:cs="Nimbus Roman No9 L"/>
          <w:sz w:val="32"/>
          <w:szCs w:val="32"/>
          <w:lang w:val="en-US" w:eastAsia="zh-CN"/>
        </w:rPr>
        <w:t>对</w:t>
      </w:r>
      <w:r>
        <w:rPr>
          <w:rFonts w:hint="default" w:ascii="仿宋_GB2312" w:hAnsi="Nimbus Roman No9 L" w:eastAsia="仿宋_GB2312" w:cs="Nimbus Roman No9 L"/>
          <w:sz w:val="32"/>
          <w:szCs w:val="32"/>
          <w:lang w:val="en-US" w:eastAsia="zh-CN"/>
        </w:rPr>
        <w:t>其余7</w:t>
      </w:r>
      <w:r>
        <w:rPr>
          <w:rFonts w:hint="eastAsia" w:ascii="仿宋_GB2312" w:hAnsi="Nimbus Roman No9 L" w:eastAsia="仿宋_GB2312" w:cs="Nimbus Roman No9 L"/>
          <w:sz w:val="32"/>
          <w:szCs w:val="32"/>
          <w:lang w:val="en-US" w:eastAsia="zh-CN"/>
        </w:rPr>
        <w:t>名情节</w:t>
      </w:r>
      <w:r>
        <w:rPr>
          <w:rFonts w:hint="default" w:ascii="仿宋_GB2312" w:hAnsi="Nimbus Roman No9 L" w:eastAsia="仿宋_GB2312" w:cs="Nimbus Roman No9 L"/>
          <w:sz w:val="32"/>
          <w:szCs w:val="32"/>
          <w:lang w:val="en-US" w:eastAsia="zh-CN"/>
        </w:rPr>
        <w:t>轻微</w:t>
      </w:r>
      <w:r>
        <w:rPr>
          <w:rFonts w:hint="eastAsia" w:ascii="仿宋_GB2312" w:hAnsi="Nimbus Roman No9 L" w:eastAsia="仿宋_GB2312" w:cs="Nimbus Roman No9 L"/>
          <w:sz w:val="32"/>
          <w:szCs w:val="32"/>
          <w:lang w:val="en-US" w:eastAsia="zh-CN"/>
        </w:rPr>
        <w:t>的</w:t>
      </w:r>
      <w:r>
        <w:rPr>
          <w:rFonts w:hint="default" w:ascii="仿宋_GB2312" w:hAnsi="Nimbus Roman No9 L" w:eastAsia="仿宋_GB2312" w:cs="Nimbus Roman No9 L"/>
          <w:sz w:val="32"/>
          <w:szCs w:val="32"/>
          <w:lang w:val="en-US" w:eastAsia="zh-CN"/>
        </w:rPr>
        <w:t>违规放牧农户下发了《禁牧通告送达书》，并给予了教育警告。</w:t>
      </w:r>
    </w:p>
    <w:p w14:paraId="72F6BF9A">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3" w:firstLineChars="200"/>
        <w:jc w:val="both"/>
        <w:rPr>
          <w:rFonts w:hint="eastAsia" w:ascii="楷体_GB2312" w:hAnsi="Nimbus Roman No9 L" w:eastAsia="楷体_GB2312" w:cs="Nimbus Roman No9 L"/>
          <w:b/>
          <w:sz w:val="32"/>
          <w:szCs w:val="32"/>
        </w:rPr>
      </w:pPr>
      <w:r>
        <w:rPr>
          <w:rFonts w:hint="eastAsia" w:ascii="楷体_GB2312" w:hAnsi="Nimbus Roman No9 L" w:eastAsia="楷体_GB2312" w:cs="Nimbus Roman No9 L"/>
          <w:b/>
          <w:sz w:val="32"/>
          <w:szCs w:val="32"/>
          <w:lang w:val="en-US" w:eastAsia="zh-CN"/>
        </w:rPr>
        <w:t>3.</w:t>
      </w:r>
      <w:r>
        <w:rPr>
          <w:rFonts w:hint="default" w:ascii="Nimbus Roman No9 L" w:hAnsi="Nimbus Roman No9 L" w:eastAsia="楷体" w:cs="Nimbus Roman No9 L"/>
          <w:b/>
          <w:bCs/>
          <w:sz w:val="32"/>
          <w:szCs w:val="32"/>
          <w:lang w:val="en-US" w:eastAsia="zh-CN"/>
        </w:rPr>
        <w:t>磴口县在制定县级实施方案时，未落实全域禁牧的要求。</w:t>
      </w:r>
    </w:p>
    <w:p w14:paraId="69CBE8FA">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eastAsia="黑体"/>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（整改时限：立行立改，长期坚持）</w:t>
      </w:r>
    </w:p>
    <w:p w14:paraId="13ABB3AA">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default" w:ascii="仿宋_GB2312" w:hAnsi="Nimbus Roman No9 L" w:eastAsia="仿宋_GB2312" w:cs="Nimbus Roman No9 L"/>
          <w:sz w:val="32"/>
          <w:szCs w:val="32"/>
          <w:lang w:val="en-US" w:eastAsia="zh-CN"/>
        </w:rPr>
      </w:pPr>
      <w:r>
        <w:rPr>
          <w:rFonts w:hint="default" w:ascii="仿宋_GB2312" w:hAnsi="Nimbus Roman No9 L" w:eastAsia="仿宋_GB2312" w:cs="Nimbus Roman No9 L"/>
          <w:sz w:val="32"/>
          <w:szCs w:val="32"/>
          <w:lang w:val="en-US" w:eastAsia="zh-CN"/>
        </w:rPr>
        <w:t>（一）已将35万亩草畜平衡区全部调整为禁牧区，完成了矢量数据库建设。</w:t>
      </w:r>
    </w:p>
    <w:p w14:paraId="6577E63B">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default" w:ascii="仿宋_GB2312" w:hAnsi="Nimbus Roman No9 L" w:eastAsia="仿宋_GB2312" w:cs="Nimbus Roman No9 L"/>
          <w:sz w:val="32"/>
          <w:szCs w:val="32"/>
          <w:lang w:val="en-US" w:eastAsia="zh-CN"/>
        </w:rPr>
      </w:pPr>
      <w:r>
        <w:rPr>
          <w:rFonts w:hint="default" w:ascii="仿宋_GB2312" w:hAnsi="Nimbus Roman No9 L" w:eastAsia="仿宋_GB2312" w:cs="Nimbus Roman No9 L"/>
          <w:sz w:val="32"/>
          <w:szCs w:val="32"/>
          <w:lang w:val="en-US" w:eastAsia="zh-CN"/>
        </w:rPr>
        <w:t>（二）制定了《磴口县35万亩草畜平衡问题整改工作实施方案》，按月开展联合执法巡查。</w:t>
      </w:r>
    </w:p>
    <w:p w14:paraId="406462E6">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3" w:firstLineChars="200"/>
        <w:jc w:val="both"/>
        <w:rPr>
          <w:rFonts w:hint="eastAsia" w:ascii="楷体_GB2312" w:hAnsi="Nimbus Roman No9 L" w:eastAsia="楷体_GB2312" w:cs="Nimbus Roman No9 L"/>
          <w:b/>
          <w:sz w:val="32"/>
          <w:szCs w:val="32"/>
        </w:rPr>
      </w:pPr>
      <w:r>
        <w:rPr>
          <w:rFonts w:hint="eastAsia" w:ascii="楷体_GB2312" w:hAnsi="Nimbus Roman No9 L" w:eastAsia="楷体_GB2312" w:cs="Nimbus Roman No9 L"/>
          <w:b/>
          <w:sz w:val="32"/>
          <w:szCs w:val="32"/>
          <w:lang w:val="en-US" w:eastAsia="zh-CN"/>
        </w:rPr>
        <w:t>4.</w:t>
      </w:r>
      <w:r>
        <w:rPr>
          <w:rFonts w:hint="default" w:ascii="Nimbus Roman No9 L" w:hAnsi="Nimbus Roman No9 L" w:eastAsia="楷体" w:cs="Nimbus Roman No9 L"/>
          <w:b/>
          <w:bCs/>
          <w:sz w:val="32"/>
          <w:szCs w:val="32"/>
          <w:lang w:val="en-US" w:eastAsia="zh-CN"/>
        </w:rPr>
        <w:t>农业“四控”措施落实不到位，农业面源污染仍然存在。</w:t>
      </w:r>
    </w:p>
    <w:p w14:paraId="3A25F64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eastAsia="黑体"/>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w:t>
      </w:r>
      <w:r>
        <w:rPr>
          <w:rFonts w:hint="eastAsia" w:ascii="黑体" w:hAnsi="黑体" w:eastAsia="黑体" w:cs="黑体"/>
          <w:b w:val="0"/>
          <w:bCs/>
          <w:sz w:val="32"/>
          <w:szCs w:val="32"/>
          <w:lang w:val="en-US" w:eastAsia="zh-CN"/>
        </w:rPr>
        <w:t>2024年12月底前</w:t>
      </w:r>
      <w:r>
        <w:rPr>
          <w:rFonts w:hint="eastAsia" w:ascii="黑体" w:hAnsi="黑体" w:eastAsia="黑体" w:cs="黑体"/>
          <w:b w:val="0"/>
          <w:bCs/>
          <w:sz w:val="32"/>
          <w:szCs w:val="32"/>
          <w:lang w:eastAsia="zh-CN"/>
        </w:rPr>
        <w:t>）</w:t>
      </w:r>
    </w:p>
    <w:p w14:paraId="3175E521">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default" w:ascii="仿宋_GB2312" w:hAnsi="Nimbus Roman No9 L" w:eastAsia="仿宋_GB2312" w:cs="Nimbus Roman No9 L"/>
          <w:sz w:val="32"/>
          <w:szCs w:val="32"/>
          <w:lang w:val="en-US" w:eastAsia="zh-CN"/>
        </w:rPr>
      </w:pPr>
      <w:r>
        <w:rPr>
          <w:rFonts w:hint="default" w:ascii="仿宋_GB2312" w:hAnsi="Nimbus Roman No9 L" w:eastAsia="仿宋_GB2312" w:cs="Nimbus Roman No9 L"/>
          <w:sz w:val="32"/>
          <w:szCs w:val="32"/>
          <w:lang w:val="en-US" w:eastAsia="zh-CN"/>
        </w:rPr>
        <w:t>（一）制定了《2024年磴口县农业面源污染综合治理任务清单》，将四控任务分解到各苏木镇、农场。目前，控肥增效方面，已推广新型肥施用面积62.2万亩，配方肥施用面积30.1万亩，增施有机肥施用面积84.4万亩。控药减害方面，推广绿色防控技术面积69.7万亩，推广统防统治面积63.2万亩。控水降耗方面，推广小流量滴灌技术6.5万亩。控膜提效方面，推广应用加厚地膜16.05万亩，全生物降解地膜4.5万亩。</w:t>
      </w:r>
    </w:p>
    <w:p w14:paraId="3AAD9C2F">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default" w:ascii="仿宋_GB2312" w:hAnsi="Nimbus Roman No9 L" w:eastAsia="仿宋_GB2312" w:cs="Nimbus Roman No9 L"/>
          <w:sz w:val="32"/>
          <w:szCs w:val="32"/>
          <w:lang w:val="en-US" w:eastAsia="zh-CN"/>
        </w:rPr>
      </w:pPr>
      <w:r>
        <w:rPr>
          <w:rFonts w:hint="default" w:ascii="仿宋_GB2312" w:hAnsi="Nimbus Roman No9 L" w:eastAsia="仿宋_GB2312" w:cs="Nimbus Roman No9 L"/>
          <w:sz w:val="32"/>
          <w:szCs w:val="32"/>
          <w:lang w:val="en-US" w:eastAsia="zh-CN"/>
        </w:rPr>
        <w:t>（</w:t>
      </w:r>
      <w:r>
        <w:rPr>
          <w:rFonts w:hint="eastAsia" w:ascii="仿宋_GB2312" w:hAnsi="Nimbus Roman No9 L" w:eastAsia="仿宋_GB2312" w:cs="Nimbus Roman No9 L"/>
          <w:sz w:val="32"/>
          <w:szCs w:val="32"/>
          <w:lang w:val="en-US" w:eastAsia="zh-CN"/>
        </w:rPr>
        <w:t>二</w:t>
      </w:r>
      <w:r>
        <w:rPr>
          <w:rFonts w:hint="default" w:ascii="仿宋_GB2312" w:hAnsi="Nimbus Roman No9 L" w:eastAsia="仿宋_GB2312" w:cs="Nimbus Roman No9 L"/>
          <w:sz w:val="32"/>
          <w:szCs w:val="32"/>
          <w:lang w:val="en-US" w:eastAsia="zh-CN"/>
        </w:rPr>
        <w:t>）已在我县各苏木镇、农场公司建成9个农业综合科技示范园区并推广</w:t>
      </w:r>
      <w:r>
        <w:rPr>
          <w:rFonts w:hint="eastAsia" w:ascii="仿宋_GB2312" w:hAnsi="Nimbus Roman No9 L" w:eastAsia="仿宋_GB2312" w:cs="Nimbus Roman No9 L"/>
          <w:sz w:val="32"/>
          <w:szCs w:val="32"/>
          <w:lang w:val="en-US" w:eastAsia="zh-CN"/>
        </w:rPr>
        <w:t>“</w:t>
      </w:r>
      <w:r>
        <w:rPr>
          <w:rFonts w:hint="default" w:ascii="仿宋_GB2312" w:hAnsi="Nimbus Roman No9 L" w:eastAsia="仿宋_GB2312" w:cs="Nimbus Roman No9 L"/>
          <w:sz w:val="32"/>
          <w:szCs w:val="32"/>
          <w:lang w:val="en-US" w:eastAsia="zh-CN"/>
        </w:rPr>
        <w:t>控肥、控药、控水、控膜</w:t>
      </w:r>
      <w:r>
        <w:rPr>
          <w:rFonts w:hint="eastAsia" w:ascii="仿宋_GB2312" w:hAnsi="Nimbus Roman No9 L" w:eastAsia="仿宋_GB2312" w:cs="Nimbus Roman No9 L"/>
          <w:sz w:val="32"/>
          <w:szCs w:val="32"/>
          <w:lang w:val="en-US" w:eastAsia="zh-CN"/>
        </w:rPr>
        <w:t>”</w:t>
      </w:r>
      <w:r>
        <w:rPr>
          <w:rFonts w:hint="default" w:ascii="仿宋_GB2312" w:hAnsi="Nimbus Roman No9 L" w:eastAsia="仿宋_GB2312" w:cs="Nimbus Roman No9 L"/>
          <w:sz w:val="32"/>
          <w:szCs w:val="32"/>
          <w:lang w:val="en-US" w:eastAsia="zh-CN"/>
        </w:rPr>
        <w:t>技术。</w:t>
      </w:r>
    </w:p>
    <w:p w14:paraId="2F35896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Nimbus Roman No9 L" w:hAnsi="Nimbus Roman No9 L" w:eastAsia="楷体" w:cs="Nimbus Roman No9 L"/>
          <w:sz w:val="32"/>
          <w:szCs w:val="32"/>
        </w:rPr>
      </w:pPr>
      <w:r>
        <w:rPr>
          <w:rFonts w:hint="eastAsia" w:ascii="楷体_GB2312" w:hAnsi="Nimbus Roman No9 L" w:eastAsia="楷体_GB2312" w:cs="Nimbus Roman No9 L"/>
          <w:b/>
          <w:sz w:val="32"/>
          <w:szCs w:val="32"/>
          <w:lang w:val="en-US" w:eastAsia="zh-CN"/>
        </w:rPr>
        <w:t>5.</w:t>
      </w:r>
      <w:r>
        <w:rPr>
          <w:rFonts w:hint="default" w:ascii="Nimbus Roman No9 L" w:hAnsi="Nimbus Roman No9 L" w:eastAsia="楷体" w:cs="Nimbus Roman No9 L"/>
          <w:b/>
          <w:bCs/>
          <w:sz w:val="32"/>
          <w:szCs w:val="32"/>
          <w:lang w:val="en-US" w:eastAsia="zh-CN"/>
        </w:rPr>
        <w:t>一些部门生态环境保护责任落实有差距。2020年12月，巴彦淖尔市以责任清单的形式明确了各级党委、政府及市有关部门的生态环境保护职责，但一些职能部门对所承担的生态环境保护工作履职尽责不到位，推进重点工作力度不够，被检察机关提出督促依法履职的检察建议。</w:t>
      </w:r>
    </w:p>
    <w:p w14:paraId="552ACD6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rPr>
          <w:rFonts w:hint="eastAsia" w:eastAsia="黑体"/>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（整改时限：立行立改，长期坚持）</w:t>
      </w:r>
    </w:p>
    <w:p w14:paraId="746E87F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（一）磴口县建立了定期调度、通报和会议机制，督促各有关部门严格贯彻落实《磴口县党委和政府及有关部门生态环境保护责任清单》，压紧压实生态环境保护责任。</w:t>
      </w:r>
    </w:p>
    <w:p w14:paraId="49B4A266">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（二）已将各苏木镇和有关部门生态环境保护工作履职情况纳入年度考核。</w:t>
      </w:r>
    </w:p>
    <w:p w14:paraId="6C610518">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（三）磴口县人民检察院对涉及生态环境领域的各行政主管部门检察建议书整改完成情况进行了“回头看”督查，确保各项问题整改到位，解决彻底。</w:t>
      </w:r>
    </w:p>
    <w:p w14:paraId="44E7FB3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Nimbus Roman No9 L" w:hAnsi="Nimbus Roman No9 L" w:eastAsia="楷体" w:cs="Nimbus Roman No9 L"/>
          <w:sz w:val="32"/>
          <w:szCs w:val="32"/>
        </w:rPr>
      </w:pPr>
      <w:r>
        <w:rPr>
          <w:rFonts w:hint="eastAsia" w:ascii="楷体_GB2312" w:hAnsi="Nimbus Roman No9 L" w:eastAsia="楷体_GB2312" w:cs="Nimbus Roman No9 L"/>
          <w:b/>
          <w:sz w:val="32"/>
          <w:szCs w:val="32"/>
          <w:lang w:val="en-US" w:eastAsia="zh-CN"/>
        </w:rPr>
        <w:t>6.</w:t>
      </w:r>
      <w:r>
        <w:rPr>
          <w:rFonts w:hint="default" w:ascii="Nimbus Roman No9 L" w:hAnsi="Nimbus Roman No9 L" w:eastAsia="楷体" w:cs="Nimbus Roman No9 L"/>
          <w:b/>
          <w:bCs/>
          <w:sz w:val="32"/>
          <w:szCs w:val="32"/>
          <w:lang w:val="en-US" w:eastAsia="zh-CN"/>
        </w:rPr>
        <w:t>县级生态环境保护委员会对本地区生态环境保护重点问</w:t>
      </w:r>
      <w:r>
        <w:rPr>
          <w:rFonts w:hint="eastAsia" w:ascii="Nimbus Roman No9 L" w:hAnsi="Nimbus Roman No9 L" w:eastAsia="楷体" w:cs="Nimbus Roman No9 L"/>
          <w:b/>
          <w:bCs/>
          <w:sz w:val="32"/>
          <w:szCs w:val="32"/>
          <w:lang w:val="en-US" w:eastAsia="zh-CN"/>
        </w:rPr>
        <w:t xml:space="preserve"> </w:t>
      </w:r>
      <w:r>
        <w:rPr>
          <w:rFonts w:hint="default" w:ascii="Nimbus Roman No9 L" w:hAnsi="Nimbus Roman No9 L" w:eastAsia="楷体" w:cs="Nimbus Roman No9 L"/>
          <w:b/>
          <w:bCs/>
          <w:sz w:val="32"/>
          <w:szCs w:val="32"/>
          <w:lang w:val="en-US" w:eastAsia="zh-CN"/>
        </w:rPr>
        <w:t>题、重大事项研究不够，对各部门落实生态环境保护职责监督检查不到位，考核评价不到位，统筹协调作用发挥不到位。部分旗县生态环境保护委员会召开会议以学习、传达文件为主。</w:t>
      </w:r>
    </w:p>
    <w:p w14:paraId="595EF7C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rPr>
          <w:rFonts w:hint="eastAsia" w:ascii="仿宋_GB2312" w:hAnsi="Nimbus Roman No9 L" w:eastAsia="黑体" w:cs="Nimbus Roman No9 L"/>
          <w:sz w:val="32"/>
          <w:szCs w:val="32"/>
          <w:lang w:val="en-US"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（整改时限：立行立改，长期坚持）</w:t>
      </w:r>
    </w:p>
    <w:p w14:paraId="6B1F6FED">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default" w:ascii="仿宋_GB2312" w:hAnsi="Nimbus Roman No9 L" w:eastAsia="仿宋_GB2312" w:cs="Nimbus Roman No9 L"/>
          <w:sz w:val="32"/>
          <w:szCs w:val="32"/>
          <w:lang w:val="en-US" w:eastAsia="zh-CN"/>
        </w:rPr>
      </w:pPr>
      <w:r>
        <w:rPr>
          <w:rFonts w:hint="default" w:ascii="仿宋_GB2312" w:hAnsi="Nimbus Roman No9 L" w:eastAsia="仿宋_GB2312" w:cs="Nimbus Roman No9 L"/>
          <w:sz w:val="32"/>
          <w:szCs w:val="32"/>
          <w:lang w:val="en-US" w:eastAsia="zh-CN"/>
        </w:rPr>
        <w:t>（一）进一步完善生态环境保护委员会议事制度，围绕生态环境保护重点领域、重点工作等方面，</w:t>
      </w:r>
      <w:r>
        <w:rPr>
          <w:rFonts w:hint="eastAsia" w:ascii="仿宋_GB2312" w:hAnsi="Nimbus Roman No9 L" w:eastAsia="仿宋_GB2312" w:cs="Nimbus Roman No9 L"/>
          <w:sz w:val="32"/>
          <w:szCs w:val="32"/>
          <w:lang w:val="en-US" w:eastAsia="zh-CN"/>
        </w:rPr>
        <w:t>多次</w:t>
      </w:r>
      <w:r>
        <w:rPr>
          <w:rFonts w:hint="default" w:ascii="仿宋_GB2312" w:hAnsi="Nimbus Roman No9 L" w:eastAsia="仿宋_GB2312" w:cs="Nimbus Roman No9 L"/>
          <w:sz w:val="32"/>
          <w:szCs w:val="32"/>
          <w:lang w:val="en-US" w:eastAsia="zh-CN"/>
        </w:rPr>
        <w:t>召开生态环境保护委员会会议，专题研究生态安全屏障建设、生态环境保护等事宜。专题观看国家、自治区黄河流域生态环境警示片，研究部署突出生态环境问题整改、北方重要生态安全屏障建设等事宜。</w:t>
      </w:r>
    </w:p>
    <w:p w14:paraId="0E1BA71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default"/>
          <w:sz w:val="32"/>
          <w:szCs w:val="32"/>
          <w:lang w:val="en-US" w:eastAsia="zh-CN"/>
        </w:rPr>
      </w:pPr>
      <w:r>
        <w:rPr>
          <w:rFonts w:hint="default" w:ascii="仿宋_GB2312" w:hAnsi="Nimbus Roman No9 L" w:eastAsia="仿宋_GB2312" w:cs="Nimbus Roman No9 L"/>
          <w:sz w:val="32"/>
          <w:szCs w:val="32"/>
          <w:lang w:val="en-US" w:eastAsia="zh-CN"/>
        </w:rPr>
        <w:t>（二）已将各苏木镇和有关部门生态环境保护工作履职情况纳入年度考核</w:t>
      </w:r>
      <w:r>
        <w:rPr>
          <w:rFonts w:hint="default"/>
          <w:sz w:val="32"/>
          <w:szCs w:val="32"/>
          <w:lang w:val="en-US" w:eastAsia="zh-CN"/>
        </w:rPr>
        <w:t>。</w:t>
      </w:r>
    </w:p>
    <w:p w14:paraId="09A23EA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Nimbus Roman No9 L" w:hAnsi="Nimbus Roman No9 L" w:eastAsia="楷体" w:cs="Nimbus Roman No9 L"/>
          <w:b/>
          <w:bCs/>
          <w:color w:val="auto"/>
          <w:sz w:val="32"/>
          <w:szCs w:val="32"/>
        </w:rPr>
      </w:pPr>
      <w:r>
        <w:rPr>
          <w:rFonts w:hint="eastAsia" w:ascii="楷体_GB2312" w:hAnsi="Nimbus Roman No9 L" w:eastAsia="楷体_GB2312" w:cs="Nimbus Roman No9 L"/>
          <w:b/>
          <w:color w:val="auto"/>
          <w:sz w:val="32"/>
          <w:szCs w:val="32"/>
          <w:lang w:val="en-US" w:eastAsia="zh-CN"/>
        </w:rPr>
        <w:t>7</w:t>
      </w:r>
      <w:r>
        <w:rPr>
          <w:rFonts w:hint="eastAsia" w:ascii="楷体_GB2312" w:hAnsi="Nimbus Roman No9 L" w:eastAsia="楷体_GB2312" w:cs="Nimbus Roman No9 L"/>
          <w:b/>
          <w:color w:val="auto"/>
          <w:sz w:val="32"/>
          <w:szCs w:val="32"/>
        </w:rPr>
        <w:t>.</w:t>
      </w:r>
      <w:r>
        <w:rPr>
          <w:rFonts w:hint="default" w:ascii="Nimbus Roman No9 L" w:hAnsi="Nimbus Roman No9 L" w:eastAsia="楷体" w:cs="Nimbus Roman No9 L"/>
          <w:b/>
          <w:bCs/>
          <w:color w:val="auto"/>
          <w:sz w:val="32"/>
          <w:szCs w:val="32"/>
          <w:lang w:val="en-US" w:eastAsia="zh-CN"/>
        </w:rPr>
        <w:t>市住建部门作为农村牧区“煤改电”牵头单位，统筹协调不够，与发改、电力等相关部门未形成工作合力，系统推动“煤改电”工作不力。</w:t>
      </w:r>
    </w:p>
    <w:p w14:paraId="722210B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rPr>
          <w:rFonts w:hint="eastAsia" w:eastAsia="黑体"/>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w:t>
      </w:r>
      <w:r>
        <w:rPr>
          <w:rFonts w:hint="eastAsia" w:ascii="黑体" w:hAnsi="黑体" w:eastAsia="黑体" w:cs="黑体"/>
          <w:b w:val="0"/>
          <w:bCs/>
          <w:sz w:val="32"/>
          <w:szCs w:val="32"/>
          <w:lang w:val="en-US" w:eastAsia="zh-CN"/>
        </w:rPr>
        <w:t>2024年12月底前</w:t>
      </w:r>
      <w:r>
        <w:rPr>
          <w:rFonts w:hint="eastAsia" w:ascii="黑体" w:hAnsi="黑体" w:eastAsia="黑体" w:cs="黑体"/>
          <w:b w:val="0"/>
          <w:bCs/>
          <w:sz w:val="32"/>
          <w:szCs w:val="32"/>
          <w:lang w:eastAsia="zh-CN"/>
        </w:rPr>
        <w:t>）</w:t>
      </w:r>
    </w:p>
    <w:p w14:paraId="3EA4C23E">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default" w:ascii="仿宋_GB2312" w:hAnsi="Nimbus Roman No9 L" w:eastAsia="仿宋_GB2312" w:cs="Nimbus Roman No9 L"/>
          <w:sz w:val="32"/>
          <w:szCs w:val="32"/>
          <w:lang w:val="en-US" w:eastAsia="zh-CN"/>
        </w:rPr>
      </w:pPr>
      <w:r>
        <w:rPr>
          <w:rFonts w:hint="default" w:ascii="仿宋_GB2312" w:hAnsi="Nimbus Roman No9 L" w:eastAsia="仿宋_GB2312" w:cs="Nimbus Roman No9 L"/>
          <w:sz w:val="32"/>
          <w:szCs w:val="32"/>
          <w:lang w:val="en-US" w:eastAsia="zh-CN"/>
        </w:rPr>
        <w:t>（一）清洁取暖农村</w:t>
      </w:r>
      <w:r>
        <w:rPr>
          <w:rFonts w:hint="eastAsia" w:ascii="仿宋_GB2312" w:hAnsi="Nimbus Roman No9 L" w:eastAsia="仿宋_GB2312" w:cs="Nimbus Roman No9 L"/>
          <w:sz w:val="32"/>
          <w:szCs w:val="32"/>
          <w:lang w:val="en-US" w:eastAsia="zh-CN"/>
        </w:rPr>
        <w:t>“</w:t>
      </w:r>
      <w:r>
        <w:rPr>
          <w:rFonts w:hint="default" w:ascii="仿宋_GB2312" w:hAnsi="Nimbus Roman No9 L" w:eastAsia="仿宋_GB2312" w:cs="Nimbus Roman No9 L"/>
          <w:sz w:val="32"/>
          <w:szCs w:val="32"/>
          <w:lang w:val="en-US" w:eastAsia="zh-CN"/>
        </w:rPr>
        <w:t>煤改电</w:t>
      </w:r>
      <w:r>
        <w:rPr>
          <w:rFonts w:hint="eastAsia" w:ascii="仿宋_GB2312" w:hAnsi="Nimbus Roman No9 L" w:eastAsia="仿宋_GB2312" w:cs="Nimbus Roman No9 L"/>
          <w:sz w:val="32"/>
          <w:szCs w:val="32"/>
          <w:lang w:val="en-US" w:eastAsia="zh-CN"/>
        </w:rPr>
        <w:t>”</w:t>
      </w:r>
      <w:r>
        <w:rPr>
          <w:rFonts w:hint="default" w:ascii="仿宋_GB2312" w:hAnsi="Nimbus Roman No9 L" w:eastAsia="仿宋_GB2312" w:cs="Nimbus Roman No9 L"/>
          <w:sz w:val="32"/>
          <w:szCs w:val="32"/>
          <w:lang w:val="en-US" w:eastAsia="zh-CN"/>
        </w:rPr>
        <w:t>空气能设备已全部完成安装。</w:t>
      </w:r>
    </w:p>
    <w:p w14:paraId="0A344EE5">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default" w:ascii="仿宋_GB2312" w:hAnsi="Nimbus Roman No9 L" w:eastAsia="仿宋_GB2312" w:cs="Nimbus Roman No9 L"/>
          <w:sz w:val="32"/>
          <w:szCs w:val="32"/>
          <w:lang w:val="en-US" w:eastAsia="zh-CN"/>
        </w:rPr>
      </w:pPr>
      <w:r>
        <w:rPr>
          <w:rFonts w:hint="default" w:ascii="仿宋_GB2312" w:hAnsi="Nimbus Roman No9 L" w:eastAsia="仿宋_GB2312" w:cs="Nimbus Roman No9 L"/>
          <w:sz w:val="32"/>
          <w:szCs w:val="32"/>
          <w:lang w:val="en-US" w:eastAsia="zh-CN"/>
        </w:rPr>
        <w:t>（</w:t>
      </w:r>
      <w:r>
        <w:rPr>
          <w:rFonts w:hint="eastAsia" w:ascii="仿宋_GB2312" w:hAnsi="Nimbus Roman No9 L" w:eastAsia="仿宋_GB2312" w:cs="Nimbus Roman No9 L"/>
          <w:sz w:val="32"/>
          <w:szCs w:val="32"/>
          <w:lang w:val="en-US" w:eastAsia="zh-CN"/>
        </w:rPr>
        <w:t>二</w:t>
      </w:r>
      <w:r>
        <w:rPr>
          <w:rFonts w:hint="default" w:ascii="仿宋_GB2312" w:hAnsi="Nimbus Roman No9 L" w:eastAsia="仿宋_GB2312" w:cs="Nimbus Roman No9 L"/>
          <w:sz w:val="32"/>
          <w:szCs w:val="32"/>
          <w:lang w:val="en-US" w:eastAsia="zh-CN"/>
        </w:rPr>
        <w:t>）磴口供电公司电网改造已完成接电任务。</w:t>
      </w:r>
    </w:p>
    <w:p w14:paraId="7BDD8268">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default" w:ascii="仿宋_GB2312" w:hAnsi="Nimbus Roman No9 L" w:eastAsia="仿宋_GB2312" w:cs="Nimbus Roman No9 L"/>
          <w:sz w:val="32"/>
          <w:szCs w:val="32"/>
          <w:lang w:val="en-US" w:eastAsia="zh-CN"/>
        </w:rPr>
      </w:pPr>
      <w:r>
        <w:rPr>
          <w:rFonts w:hint="default" w:ascii="仿宋_GB2312" w:hAnsi="Nimbus Roman No9 L" w:eastAsia="仿宋_GB2312" w:cs="Nimbus Roman No9 L"/>
          <w:sz w:val="32"/>
          <w:szCs w:val="32"/>
          <w:lang w:val="en-US" w:eastAsia="zh-CN"/>
        </w:rPr>
        <w:t>（</w:t>
      </w:r>
      <w:r>
        <w:rPr>
          <w:rFonts w:hint="eastAsia" w:ascii="仿宋_GB2312" w:hAnsi="Nimbus Roman No9 L" w:eastAsia="仿宋_GB2312" w:cs="Nimbus Roman No9 L"/>
          <w:sz w:val="32"/>
          <w:szCs w:val="32"/>
          <w:lang w:val="en-US" w:eastAsia="zh-CN"/>
        </w:rPr>
        <w:t>三</w:t>
      </w:r>
      <w:r>
        <w:rPr>
          <w:rFonts w:hint="default" w:ascii="仿宋_GB2312" w:hAnsi="Nimbus Roman No9 L" w:eastAsia="仿宋_GB2312" w:cs="Nimbus Roman No9 L"/>
          <w:sz w:val="32"/>
          <w:szCs w:val="32"/>
          <w:lang w:val="en-US" w:eastAsia="zh-CN"/>
        </w:rPr>
        <w:t>）对清洁取暖农村</w:t>
      </w:r>
      <w:r>
        <w:rPr>
          <w:rFonts w:hint="eastAsia" w:ascii="仿宋_GB2312" w:hAnsi="Nimbus Roman No9 L" w:eastAsia="仿宋_GB2312" w:cs="Nimbus Roman No9 L"/>
          <w:sz w:val="32"/>
          <w:szCs w:val="32"/>
          <w:lang w:val="en-US" w:eastAsia="zh-CN"/>
        </w:rPr>
        <w:t>“</w:t>
      </w:r>
      <w:r>
        <w:rPr>
          <w:rFonts w:hint="default" w:ascii="仿宋_GB2312" w:hAnsi="Nimbus Roman No9 L" w:eastAsia="仿宋_GB2312" w:cs="Nimbus Roman No9 L"/>
          <w:sz w:val="32"/>
          <w:szCs w:val="32"/>
          <w:lang w:val="en-US" w:eastAsia="zh-CN"/>
        </w:rPr>
        <w:t>煤改电</w:t>
      </w:r>
      <w:r>
        <w:rPr>
          <w:rFonts w:hint="eastAsia" w:ascii="仿宋_GB2312" w:hAnsi="Nimbus Roman No9 L" w:eastAsia="仿宋_GB2312" w:cs="Nimbus Roman No9 L"/>
          <w:sz w:val="32"/>
          <w:szCs w:val="32"/>
          <w:lang w:val="en-US" w:eastAsia="zh-CN"/>
        </w:rPr>
        <w:t>”</w:t>
      </w:r>
      <w:r>
        <w:rPr>
          <w:rFonts w:hint="default" w:ascii="仿宋_GB2312" w:hAnsi="Nimbus Roman No9 L" w:eastAsia="仿宋_GB2312" w:cs="Nimbus Roman No9 L"/>
          <w:sz w:val="32"/>
          <w:szCs w:val="32"/>
          <w:lang w:val="en-US" w:eastAsia="zh-CN"/>
        </w:rPr>
        <w:t>开展全面排查和整治工作。2024年农村煤改电项目</w:t>
      </w:r>
      <w:r>
        <w:rPr>
          <w:rFonts w:hint="eastAsia" w:ascii="仿宋_GB2312" w:hAnsi="Nimbus Roman No9 L" w:eastAsia="仿宋_GB2312" w:cs="Nimbus Roman No9 L"/>
          <w:sz w:val="32"/>
          <w:szCs w:val="32"/>
          <w:lang w:val="en-US" w:eastAsia="zh-CN"/>
        </w:rPr>
        <w:t>完成</w:t>
      </w:r>
      <w:r>
        <w:rPr>
          <w:rFonts w:hint="default" w:ascii="仿宋_GB2312" w:hAnsi="Nimbus Roman No9 L" w:eastAsia="仿宋_GB2312" w:cs="Nimbus Roman No9 L"/>
          <w:sz w:val="32"/>
          <w:szCs w:val="32"/>
          <w:lang w:val="en-US" w:eastAsia="zh-CN"/>
        </w:rPr>
        <w:t>61户农户接电任务，采暖期农户能正常取暖。</w:t>
      </w:r>
    </w:p>
    <w:p w14:paraId="3E3DD0E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Nimbus Roman No9 L" w:hAnsi="Nimbus Roman No9 L" w:eastAsia="楷体" w:cs="Nimbus Roman No9 L"/>
          <w:b/>
          <w:bCs/>
          <w:color w:val="auto"/>
          <w:sz w:val="32"/>
          <w:szCs w:val="32"/>
        </w:rPr>
      </w:pPr>
      <w:r>
        <w:rPr>
          <w:rFonts w:hint="eastAsia" w:ascii="楷体_GB2312" w:hAnsi="Nimbus Roman No9 L" w:eastAsia="楷体_GB2312" w:cs="Nimbus Roman No9 L"/>
          <w:b/>
          <w:color w:val="auto"/>
          <w:sz w:val="32"/>
          <w:szCs w:val="32"/>
          <w:lang w:val="en-US" w:eastAsia="zh-CN"/>
        </w:rPr>
        <w:t>8</w:t>
      </w:r>
      <w:r>
        <w:rPr>
          <w:rFonts w:hint="eastAsia" w:ascii="楷体_GB2312" w:hAnsi="Nimbus Roman No9 L" w:eastAsia="楷体_GB2312" w:cs="Nimbus Roman No9 L"/>
          <w:b/>
          <w:color w:val="auto"/>
          <w:sz w:val="32"/>
          <w:szCs w:val="32"/>
        </w:rPr>
        <w:t>.</w:t>
      </w:r>
      <w:r>
        <w:rPr>
          <w:rFonts w:hint="default" w:ascii="Nimbus Roman No9 L" w:hAnsi="Nimbus Roman No9 L" w:eastAsia="楷体" w:cs="Nimbus Roman No9 L"/>
          <w:b/>
          <w:bCs/>
          <w:color w:val="auto"/>
          <w:sz w:val="32"/>
          <w:szCs w:val="32"/>
          <w:lang w:val="en-US" w:eastAsia="zh-CN"/>
        </w:rPr>
        <w:t>督察整改不严不实。督察组抽查中央生态环境保护督察整改任务29项，8项整改任务不同程度存在问题，1项未达序时进度。</w:t>
      </w:r>
    </w:p>
    <w:p w14:paraId="09174F1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rPr>
          <w:rFonts w:hint="eastAsia" w:ascii="黑体" w:hAnsi="黑体" w:eastAsia="黑体" w:cs="黑体"/>
          <w:b w:val="0"/>
          <w:bCs/>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（整改时限：立行立改，长期坚持）</w:t>
      </w:r>
    </w:p>
    <w:p w14:paraId="6538747A">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一）县整改办充分发挥统筹、协调、调度、督办的职责，定期对第二轮中央生态环境保护督察、第二轮自治区生态环境保护督察和第二轮自治区生态环境保护督察群众信访案件进展情况进行调度，在调度中传导压力，督促落实，同时建立整改落实情况台账；严格按照《内蒙古自治区落实中央生态环境保护督察整改任务验收销号办法》和市整改办《关于做好第二轮自治区生态环境保护督察报告和2023年度自治区黄河流域生态环境警示片反馈整改任务销号工作的通知》（整改办〔2024〕19号）文件要求，认真落实督察整改任务销号工作，对整改进度缓慢单位下发《关于对第二轮自治区生态环境保护督察交办群众环境信访案件办结时限的提醒函》1份，确保群众环境信访案件措施落实到位、问题得到解决，按时限要求办结。为加快推进第二轮自治区生态环境保护督察反馈意见整改进度，及时对各牵头单位下发《关于加快推进督察整改工作和做好整改任务销号的提醒函》，要求各牵头部门和责任单位主动靠前，担当作为，确保高质量如期完成整改任务。</w:t>
      </w:r>
    </w:p>
    <w:p w14:paraId="6E24F62B">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二）按照市整改办要求，今年由县政府办联合磴口县生态委员会办公室对中央、自治区生态环境保护督察整改任务和群众信访案件问题开展“回头看”并进行全面自查，同时对“回头看”期间发现的问题进行了通报，进一步夯实整改成效。</w:t>
      </w:r>
    </w:p>
    <w:p w14:paraId="29081A0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Nimbus Roman No9 L" w:hAnsi="Nimbus Roman No9 L" w:eastAsia="楷体" w:cs="Nimbus Roman No9 L"/>
          <w:b/>
          <w:bCs/>
          <w:sz w:val="32"/>
          <w:szCs w:val="32"/>
        </w:rPr>
      </w:pPr>
      <w:r>
        <w:rPr>
          <w:rFonts w:hint="eastAsia" w:ascii="楷体_GB2312" w:hAnsi="Nimbus Roman No9 L" w:eastAsia="楷体_GB2312" w:cs="Nimbus Roman No9 L"/>
          <w:b/>
          <w:kern w:val="2"/>
          <w:sz w:val="32"/>
          <w:szCs w:val="32"/>
          <w:lang w:val="en-US" w:eastAsia="zh-CN" w:bidi="ar-SA"/>
        </w:rPr>
        <w:t>9.</w:t>
      </w:r>
      <w:r>
        <w:rPr>
          <w:rFonts w:hint="default" w:ascii="Nimbus Roman No9 L" w:hAnsi="Nimbus Roman No9 L" w:eastAsia="楷体" w:cs="Nimbus Roman No9 L"/>
          <w:b/>
          <w:bCs/>
          <w:sz w:val="32"/>
          <w:szCs w:val="32"/>
          <w:lang w:val="en-US" w:eastAsia="zh-CN"/>
        </w:rPr>
        <w:t>尾矿库风险隐患排查不彻底。巴彦淖尔市对119座尾矿库中列入应急管理部门清单的83座尾矿库进行了排查，建立了环境风险隐患清单，36座未排查，未按照“一库一策”建立风险隐患清单。</w:t>
      </w:r>
    </w:p>
    <w:p w14:paraId="1D2FE31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rPr>
          <w:rFonts w:hint="eastAsia" w:eastAsia="黑体"/>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w:t>
      </w:r>
      <w:r>
        <w:rPr>
          <w:rFonts w:hint="eastAsia" w:ascii="黑体" w:hAnsi="黑体" w:eastAsia="黑体" w:cs="黑体"/>
          <w:b w:val="0"/>
          <w:bCs/>
          <w:sz w:val="32"/>
          <w:szCs w:val="32"/>
          <w:lang w:val="en-US" w:eastAsia="zh-CN"/>
        </w:rPr>
        <w:t>2024年12月底前</w:t>
      </w:r>
      <w:r>
        <w:rPr>
          <w:rFonts w:hint="eastAsia" w:ascii="黑体" w:hAnsi="黑体" w:eastAsia="黑体" w:cs="黑体"/>
          <w:b w:val="0"/>
          <w:bCs/>
          <w:sz w:val="32"/>
          <w:szCs w:val="32"/>
          <w:lang w:eastAsia="zh-CN"/>
        </w:rPr>
        <w:t>）</w:t>
      </w:r>
    </w:p>
    <w:p w14:paraId="2C8988D1">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（一）制定了《磴口县尾矿库环境风险隐患排查整治工作方案》，对庆鑫尾矿库开展风险隐患排查，并将排查情况录入信息系统，排查中未发现环境风险隐患。</w:t>
      </w:r>
    </w:p>
    <w:p w14:paraId="631572E8">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（二）磴口县庆鑫矿业尾矿库已完成闭库，编制了闭库实施方案，已完成验收并进行了公示。</w:t>
      </w:r>
    </w:p>
    <w:p w14:paraId="44478CF7">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三）庆鑫尾矿库2022年、2023年、2024年、2025年均开展了地下水自行监测，2024年上半年委托第三方公司开展环境风险隐患评估，已完成风险评估报告编制工作，并通过专家评审，已申请调出自治区尾矿库环境监管清单，该清单于2025年1月30日更新。</w:t>
      </w:r>
    </w:p>
    <w:p w14:paraId="281E8473">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黑体" w:hAnsi="黑体" w:eastAsia="黑体" w:cs="黑体"/>
          <w:b w:val="0"/>
          <w:bCs/>
          <w:sz w:val="32"/>
          <w:szCs w:val="32"/>
        </w:rPr>
      </w:pPr>
      <w:r>
        <w:rPr>
          <w:rFonts w:hint="eastAsia" w:ascii="黑体" w:hAnsi="黑体" w:eastAsia="黑体" w:cs="黑体"/>
          <w:b w:val="0"/>
          <w:bCs/>
          <w:sz w:val="32"/>
          <w:szCs w:val="32"/>
        </w:rPr>
        <w:t>第二个方面，北方重要生态安全屏障建设有短板</w:t>
      </w:r>
    </w:p>
    <w:p w14:paraId="0AAF0F3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Nimbus Roman No9 L" w:hAnsi="Nimbus Roman No9 L" w:eastAsia="楷体" w:cs="Nimbus Roman No9 L"/>
          <w:b/>
          <w:bCs/>
          <w:sz w:val="32"/>
          <w:szCs w:val="32"/>
        </w:rPr>
      </w:pPr>
      <w:r>
        <w:rPr>
          <w:rFonts w:hint="eastAsia" w:ascii="楷体_GB2312" w:hAnsi="Nimbus Roman No9 L" w:eastAsia="楷体_GB2312" w:cs="Nimbus Roman No9 L"/>
          <w:b/>
          <w:sz w:val="32"/>
          <w:szCs w:val="32"/>
        </w:rPr>
        <w:t>1</w:t>
      </w:r>
      <w:r>
        <w:rPr>
          <w:rFonts w:hint="eastAsia" w:ascii="楷体_GB2312" w:hAnsi="Nimbus Roman No9 L" w:eastAsia="楷体_GB2312" w:cs="Nimbus Roman No9 L"/>
          <w:b/>
          <w:sz w:val="32"/>
          <w:szCs w:val="32"/>
          <w:lang w:val="en-US" w:eastAsia="zh-CN"/>
        </w:rPr>
        <w:t>0</w:t>
      </w:r>
      <w:r>
        <w:rPr>
          <w:rFonts w:hint="eastAsia" w:ascii="楷体_GB2312" w:hAnsi="Nimbus Roman No9 L" w:eastAsia="楷体_GB2312" w:cs="Nimbus Roman No9 L"/>
          <w:b/>
          <w:sz w:val="32"/>
          <w:szCs w:val="32"/>
        </w:rPr>
        <w:t>.</w:t>
      </w:r>
      <w:r>
        <w:rPr>
          <w:rFonts w:hint="default" w:ascii="Nimbus Roman No9 L" w:hAnsi="Nimbus Roman No9 L" w:eastAsia="楷体" w:cs="Nimbus Roman No9 L"/>
          <w:b/>
          <w:bCs/>
          <w:sz w:val="32"/>
          <w:szCs w:val="32"/>
          <w:lang w:val="en-US" w:eastAsia="zh-CN"/>
        </w:rPr>
        <w:t>巴彦淖尔市未严格落实《内蒙古自治区人民政府办公厅关于进一步加强草畜平衡和禁牧休牧工作的指导意见》的相关要求，全市禁牧区偷牧问题多发频发，相关执法部门查处禁牧区偷牧问题力度不足，有关旗县政府均未明确扣发当年禁牧补贴或草畜平衡奖励资金标准。</w:t>
      </w:r>
    </w:p>
    <w:p w14:paraId="6B9C666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rPr>
          <w:rFonts w:hint="eastAsia" w:ascii="黑体" w:hAnsi="黑体" w:eastAsia="黑体" w:cs="黑体"/>
          <w:b w:val="0"/>
          <w:bCs/>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（整改时限：立行立改，长期坚持）</w:t>
      </w:r>
    </w:p>
    <w:p w14:paraId="7F43B040">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一）已按照《磴口县人民政府办公室关于加强管理违规放牧、超载放牧的通知》《磴口县林长制办公室关于切实加强草畜平衡和禁牧休牧工作的紧急通知》，全面强化禁牧工作，加强草原管理，促进草原休养生息。</w:t>
      </w:r>
    </w:p>
    <w:p w14:paraId="5BE180CE">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（二）已认真落实了全县草畜平衡转禁牧补贴方案，明确扣发标准，建立了禁牧举报制度，充分发挥群众和舆论监督作用。</w:t>
      </w:r>
    </w:p>
    <w:p w14:paraId="40AC571B">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（三）已建立完善草原监督管理体系。建立草原网格化监管制度，全县配齐了17名网格员，落实落细网格员职能职责，用制度管运行，逐步建立“网格化落责、数字化监管、法治化规范”的草原保护管理机制。</w:t>
      </w:r>
    </w:p>
    <w:p w14:paraId="073F37FE">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四）进一步加大草原行政执法力度，每月至少开展一次执法巡查。对偷牧、过牧、违规放牧行为进行处罚，严厉打击违反草畜平衡和禁牧休牧制度的行为，做到查处一批、教育一批、震慑一批。给予1名情节较重的违规放牧农户行政处罚、罚款5000元。对</w:t>
      </w:r>
      <w:r>
        <w:rPr>
          <w:rFonts w:hint="default" w:ascii="仿宋_GB2312" w:hAnsi="Nimbus Roman No9 L" w:eastAsia="仿宋_GB2312" w:cs="Nimbus Roman No9 L"/>
          <w:sz w:val="32"/>
          <w:szCs w:val="32"/>
          <w:lang w:val="en-US" w:eastAsia="zh-CN"/>
        </w:rPr>
        <w:t>其余7</w:t>
      </w:r>
      <w:r>
        <w:rPr>
          <w:rFonts w:hint="eastAsia" w:ascii="仿宋_GB2312" w:hAnsi="Nimbus Roman No9 L" w:eastAsia="仿宋_GB2312" w:cs="Nimbus Roman No9 L"/>
          <w:sz w:val="32"/>
          <w:szCs w:val="32"/>
          <w:lang w:val="en-US" w:eastAsia="zh-CN"/>
        </w:rPr>
        <w:t>名情节</w:t>
      </w:r>
      <w:r>
        <w:rPr>
          <w:rFonts w:hint="default" w:ascii="仿宋_GB2312" w:hAnsi="Nimbus Roman No9 L" w:eastAsia="仿宋_GB2312" w:cs="Nimbus Roman No9 L"/>
          <w:sz w:val="32"/>
          <w:szCs w:val="32"/>
          <w:lang w:val="en-US" w:eastAsia="zh-CN"/>
        </w:rPr>
        <w:t>轻微</w:t>
      </w:r>
      <w:r>
        <w:rPr>
          <w:rFonts w:hint="eastAsia" w:ascii="仿宋_GB2312" w:hAnsi="Nimbus Roman No9 L" w:eastAsia="仿宋_GB2312" w:cs="Nimbus Roman No9 L"/>
          <w:sz w:val="32"/>
          <w:szCs w:val="32"/>
          <w:lang w:val="en-US" w:eastAsia="zh-CN"/>
        </w:rPr>
        <w:t>的</w:t>
      </w:r>
      <w:r>
        <w:rPr>
          <w:rFonts w:hint="default" w:ascii="仿宋_GB2312" w:hAnsi="Nimbus Roman No9 L" w:eastAsia="仿宋_GB2312" w:cs="Nimbus Roman No9 L"/>
          <w:sz w:val="32"/>
          <w:szCs w:val="32"/>
          <w:lang w:val="en-US" w:eastAsia="zh-CN"/>
        </w:rPr>
        <w:t>违规放牧农户下发了《禁牧通告送达书》，并给予了教育警告</w:t>
      </w:r>
      <w:r>
        <w:rPr>
          <w:rFonts w:hint="eastAsia" w:ascii="仿宋_GB2312" w:hAnsi="Nimbus Roman No9 L" w:eastAsia="仿宋_GB2312" w:cs="Nimbus Roman No9 L"/>
          <w:sz w:val="32"/>
          <w:szCs w:val="32"/>
          <w:lang w:val="en-US" w:eastAsia="zh-CN"/>
        </w:rPr>
        <w:t>。</w:t>
      </w:r>
    </w:p>
    <w:p w14:paraId="7748F3E9">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3" w:firstLineChars="200"/>
        <w:jc w:val="both"/>
        <w:rPr>
          <w:rFonts w:hint="eastAsia" w:ascii="楷体_GB2312" w:hAnsi="Nimbus Roman No9 L" w:eastAsia="楷体_GB2312" w:cs="Nimbus Roman No9 L"/>
          <w:b/>
          <w:sz w:val="32"/>
          <w:szCs w:val="32"/>
        </w:rPr>
      </w:pPr>
      <w:r>
        <w:rPr>
          <w:rFonts w:hint="eastAsia" w:ascii="楷体_GB2312" w:hAnsi="Nimbus Roman No9 L" w:eastAsia="楷体_GB2312" w:cs="Nimbus Roman No9 L"/>
          <w:b/>
          <w:sz w:val="32"/>
          <w:szCs w:val="32"/>
          <w:lang w:val="en-US" w:eastAsia="zh-CN"/>
        </w:rPr>
        <w:t>11.</w:t>
      </w:r>
      <w:r>
        <w:rPr>
          <w:rFonts w:hint="default" w:ascii="Nimbus Roman No9 L" w:hAnsi="Nimbus Roman No9 L" w:eastAsia="楷体" w:cs="Nimbus Roman No9 L"/>
          <w:b/>
          <w:bCs/>
          <w:sz w:val="32"/>
          <w:szCs w:val="32"/>
          <w:lang w:val="en-US" w:eastAsia="zh-CN"/>
        </w:rPr>
        <w:t>磴口县政府将应禁牧的草场划为草畜平衡区。</w:t>
      </w:r>
    </w:p>
    <w:p w14:paraId="5401CBD3">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黑体" w:hAnsi="黑体" w:eastAsia="黑体" w:cs="黑体"/>
          <w:b w:val="0"/>
          <w:bCs/>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（整改时限：立行立改，长期坚持）</w:t>
      </w:r>
    </w:p>
    <w:p w14:paraId="1BFB9843">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（一）制定了《磴口县35万亩草畜平衡问题整改工作实施方案》，目前，已将保护区内18.6万亩的草畜平衡区全部划为禁牧区。</w:t>
      </w:r>
    </w:p>
    <w:p w14:paraId="4914307D">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Times New Roman" w:hAnsi="Times New Roman" w:eastAsia="方正仿宋简体" w:cs="Times New Roman"/>
          <w:sz w:val="32"/>
          <w:szCs w:val="32"/>
        </w:rPr>
      </w:pPr>
      <w:r>
        <w:rPr>
          <w:rFonts w:hint="eastAsia" w:ascii="仿宋_GB2312" w:hAnsi="Nimbus Roman No9 L" w:eastAsia="仿宋_GB2312" w:cs="Nimbus Roman No9 L"/>
          <w:sz w:val="32"/>
          <w:szCs w:val="32"/>
          <w:lang w:val="en-US" w:eastAsia="zh-CN"/>
        </w:rPr>
        <w:t>（二）已通过加大自然保护区巡护频次，2024年、2025年警告2起违规放牧行为，确保禁牧政策执行效果。</w:t>
      </w:r>
    </w:p>
    <w:p w14:paraId="0B5D4D3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Nimbus Roman No9 L" w:hAnsi="Nimbus Roman No9 L" w:eastAsia="楷体" w:cs="Nimbus Roman No9 L"/>
          <w:b/>
          <w:bCs/>
          <w:sz w:val="32"/>
          <w:szCs w:val="32"/>
        </w:rPr>
      </w:pPr>
      <w:r>
        <w:rPr>
          <w:rFonts w:hint="eastAsia" w:ascii="楷体_GB2312" w:hAnsi="Nimbus Roman No9 L" w:eastAsia="楷体_GB2312" w:cs="Nimbus Roman No9 L"/>
          <w:b/>
          <w:sz w:val="32"/>
          <w:szCs w:val="32"/>
          <w:lang w:val="en-US" w:eastAsia="zh-CN"/>
        </w:rPr>
        <w:t>12</w:t>
      </w:r>
      <w:r>
        <w:rPr>
          <w:rFonts w:hint="eastAsia" w:ascii="楷体_GB2312" w:hAnsi="Nimbus Roman No9 L" w:eastAsia="楷体_GB2312" w:cs="Nimbus Roman No9 L"/>
          <w:b/>
          <w:sz w:val="32"/>
          <w:szCs w:val="32"/>
        </w:rPr>
        <w:t>.</w:t>
      </w:r>
      <w:r>
        <w:rPr>
          <w:rFonts w:hint="default" w:ascii="Nimbus Roman No9 L" w:hAnsi="Nimbus Roman No9 L" w:eastAsia="楷体" w:cs="Nimbus Roman No9 L"/>
          <w:b/>
          <w:bCs/>
          <w:sz w:val="32"/>
          <w:szCs w:val="32"/>
          <w:lang w:val="en-US" w:eastAsia="zh-CN"/>
        </w:rPr>
        <w:t>乌拉特前旗、磴口县、五原县农药包装废弃物区域集中回收中心和乡镇级回收点存在不运行问题。</w:t>
      </w:r>
    </w:p>
    <w:p w14:paraId="09C65A5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rPr>
          <w:rFonts w:hint="eastAsia" w:eastAsia="黑体"/>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（整改时限：立行立改，长期坚持）</w:t>
      </w:r>
    </w:p>
    <w:p w14:paraId="41887E98">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一）2023年11月磴口农牧和科技局已经与乌兰布和农场公司签订《磴口县农药包装废弃物区域集中回收中心使用合同》，进行了托管盘活，并申请更名为“农牧业废弃物回收处理利用中心”，将废旧地膜和肥料、种子包装废弃物等纳入了收储功能范围。2024年3月开始对废旧滴灌带、地膜（棚膜）等农牧业废弃物进行回收、处理，已正常运行，充分提高了回收中心利用率。</w:t>
      </w:r>
    </w:p>
    <w:p w14:paraId="69E4C9D1">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（二）磴口县共有5个苏木镇级农药包装废弃物回收点，已申请完成更名为“农牧业废弃物回收处理利用站点”，拓宽了收储范围及功能，全部正常运行。</w:t>
      </w:r>
    </w:p>
    <w:p w14:paraId="1BA2B6DA">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3" w:firstLineChars="200"/>
        <w:jc w:val="both"/>
        <w:rPr>
          <w:rFonts w:hint="eastAsia" w:ascii="楷体_GB2312" w:hAnsi="Nimbus Roman No9 L" w:eastAsia="楷体_GB2312" w:cs="Nimbus Roman No9 L"/>
          <w:b/>
          <w:sz w:val="32"/>
          <w:szCs w:val="32"/>
        </w:rPr>
      </w:pPr>
      <w:r>
        <w:rPr>
          <w:rFonts w:hint="eastAsia" w:ascii="楷体_GB2312" w:hAnsi="Nimbus Roman No9 L" w:eastAsia="楷体_GB2312" w:cs="Nimbus Roman No9 L"/>
          <w:b/>
          <w:sz w:val="32"/>
          <w:szCs w:val="32"/>
          <w:lang w:val="en-US" w:eastAsia="zh-CN"/>
        </w:rPr>
        <w:t>13</w:t>
      </w:r>
      <w:r>
        <w:rPr>
          <w:rFonts w:hint="eastAsia" w:ascii="楷体_GB2312" w:hAnsi="Nimbus Roman No9 L" w:eastAsia="楷体_GB2312" w:cs="Nimbus Roman No9 L"/>
          <w:b/>
          <w:sz w:val="32"/>
          <w:szCs w:val="32"/>
        </w:rPr>
        <w:t>.</w:t>
      </w:r>
      <w:r>
        <w:rPr>
          <w:rFonts w:hint="default" w:ascii="Nimbus Roman No9 L" w:hAnsi="Nimbus Roman No9 L" w:eastAsia="楷体" w:cs="Nimbus Roman No9 L"/>
          <w:b/>
          <w:bCs/>
          <w:sz w:val="32"/>
          <w:szCs w:val="32"/>
          <w:lang w:val="en-US" w:eastAsia="zh-CN"/>
        </w:rPr>
        <w:t>部分智能配肥站停运。</w:t>
      </w:r>
    </w:p>
    <w:p w14:paraId="532D5CD9">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黑体" w:hAnsi="黑体" w:eastAsia="黑体" w:cs="黑体"/>
          <w:b w:val="0"/>
          <w:bCs/>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w:t>
      </w:r>
      <w:r>
        <w:rPr>
          <w:rFonts w:hint="eastAsia" w:ascii="黑体" w:hAnsi="黑体" w:eastAsia="黑体" w:cs="黑体"/>
          <w:b w:val="0"/>
          <w:bCs/>
          <w:sz w:val="32"/>
          <w:szCs w:val="32"/>
          <w:lang w:val="en-US" w:eastAsia="zh-CN"/>
        </w:rPr>
        <w:t>2024年12月底前</w:t>
      </w:r>
      <w:r>
        <w:rPr>
          <w:rFonts w:hint="eastAsia" w:ascii="黑体" w:hAnsi="黑体" w:eastAsia="黑体" w:cs="黑体"/>
          <w:b w:val="0"/>
          <w:bCs/>
          <w:sz w:val="32"/>
          <w:szCs w:val="32"/>
          <w:lang w:eastAsia="zh-CN"/>
        </w:rPr>
        <w:t>）</w:t>
      </w:r>
    </w:p>
    <w:p w14:paraId="1A7CAB4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（一）2018--2020年磴口县共建成8家配肥站。按照因地制宜，分类盘活利用，制定了《磴口县配肥站盘活利用计划》，确保配肥站能用尽用，目前5家正常运行，2家因亏损暂停运营，1家因配肥设备损坏停运。</w:t>
      </w:r>
    </w:p>
    <w:p w14:paraId="3D922D4E">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（二）对各苏木镇农场开展宣传培训12场次，普及配方施肥相关知识，提高了广大农民使用配方肥积极性。</w:t>
      </w:r>
    </w:p>
    <w:p w14:paraId="7C0F9EA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z w:val="32"/>
          <w:szCs w:val="32"/>
        </w:rPr>
      </w:pPr>
      <w:r>
        <w:rPr>
          <w:rFonts w:hint="eastAsia" w:ascii="楷体_GB2312" w:hAnsi="Nimbus Roman No9 L" w:eastAsia="楷体_GB2312" w:cs="Nimbus Roman No9 L"/>
          <w:b/>
          <w:sz w:val="32"/>
          <w:szCs w:val="32"/>
          <w:lang w:val="en-US" w:eastAsia="zh-CN"/>
        </w:rPr>
        <w:t>14</w:t>
      </w:r>
      <w:r>
        <w:rPr>
          <w:rFonts w:hint="eastAsia" w:ascii="楷体_GB2312" w:hAnsi="Nimbus Roman No9 L" w:eastAsia="楷体_GB2312" w:cs="Nimbus Roman No9 L"/>
          <w:b/>
          <w:sz w:val="32"/>
          <w:szCs w:val="32"/>
        </w:rPr>
        <w:t>.</w:t>
      </w:r>
      <w:r>
        <w:rPr>
          <w:rFonts w:hint="eastAsia" w:ascii="楷体" w:hAnsi="楷体" w:eastAsia="楷体" w:cs="楷体"/>
          <w:b/>
          <w:bCs/>
          <w:sz w:val="32"/>
          <w:szCs w:val="32"/>
          <w:lang w:val="en-US" w:eastAsia="zh-CN"/>
        </w:rPr>
        <w:t>市农牧、住建、乡村振兴、生态环境等部门在推进农村人居环境整治上，重建设轻管理现象普遍。部分农村生活垃圾焚烧设施未运行。</w:t>
      </w:r>
    </w:p>
    <w:p w14:paraId="2F4F3A3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rPr>
          <w:rFonts w:hint="eastAsia" w:eastAsia="黑体"/>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w:t>
      </w:r>
      <w:r>
        <w:rPr>
          <w:rFonts w:hint="eastAsia" w:ascii="黑体" w:hAnsi="黑体" w:eastAsia="黑体" w:cs="黑体"/>
          <w:b w:val="0"/>
          <w:bCs/>
          <w:sz w:val="32"/>
          <w:szCs w:val="32"/>
          <w:lang w:val="en-US" w:eastAsia="zh-CN"/>
        </w:rPr>
        <w:t>2024年12月底前</w:t>
      </w:r>
      <w:r>
        <w:rPr>
          <w:rFonts w:hint="eastAsia" w:ascii="黑体" w:hAnsi="黑体" w:eastAsia="黑体" w:cs="黑体"/>
          <w:b w:val="0"/>
          <w:bCs/>
          <w:sz w:val="32"/>
          <w:szCs w:val="32"/>
          <w:lang w:eastAsia="zh-CN"/>
        </w:rPr>
        <w:t>）</w:t>
      </w:r>
    </w:p>
    <w:p w14:paraId="7754BFF8">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（一）对全县已建成的5座垃圾焚烧炉开展调查，全部正常运行。</w:t>
      </w:r>
    </w:p>
    <w:p w14:paraId="3BFAFD5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（二）已制定了《磴口县农村牧区长效管理机制管理办法》，要求隆盛合镇、沙金套海苏木、纳林套海农场公司对辖区内的生活垃圾焚烧炉加强运行管理，建立运行台账。</w:t>
      </w:r>
    </w:p>
    <w:p w14:paraId="127827D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Nimbus Roman No9 L" w:hAnsi="Nimbus Roman No9 L" w:eastAsia="仿宋_GB2312" w:cs="Nimbus Roman No9 L"/>
          <w:sz w:val="32"/>
          <w:szCs w:val="32"/>
        </w:rPr>
      </w:pPr>
      <w:r>
        <w:rPr>
          <w:rFonts w:hint="eastAsia" w:ascii="楷体_GB2312" w:hAnsi="Nimbus Roman No9 L" w:eastAsia="楷体_GB2312" w:cs="Nimbus Roman No9 L"/>
          <w:b/>
          <w:sz w:val="32"/>
          <w:szCs w:val="32"/>
          <w:lang w:val="en-US" w:eastAsia="zh-CN"/>
        </w:rPr>
        <w:t>15</w:t>
      </w:r>
      <w:r>
        <w:rPr>
          <w:rFonts w:hint="eastAsia" w:ascii="楷体_GB2312" w:hAnsi="Nimbus Roman No9 L" w:eastAsia="楷体_GB2312" w:cs="Nimbus Roman No9 L"/>
          <w:b/>
          <w:sz w:val="32"/>
          <w:szCs w:val="32"/>
        </w:rPr>
        <w:t>.</w:t>
      </w:r>
      <w:r>
        <w:rPr>
          <w:rFonts w:hint="eastAsia" w:ascii="楷体" w:hAnsi="楷体" w:eastAsia="楷体" w:cs="楷体"/>
          <w:b/>
          <w:bCs/>
          <w:sz w:val="32"/>
          <w:szCs w:val="32"/>
          <w:lang w:val="en-US" w:eastAsia="zh-CN"/>
        </w:rPr>
        <w:t>部分村镇生活污水处理设施未运行。</w:t>
      </w:r>
    </w:p>
    <w:p w14:paraId="27A026D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rPr>
          <w:rFonts w:hint="eastAsia" w:ascii="黑体" w:hAnsi="黑体" w:eastAsia="黑体" w:cs="黑体"/>
          <w:b w:val="0"/>
          <w:bCs/>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w:t>
      </w:r>
      <w:r>
        <w:rPr>
          <w:rFonts w:hint="eastAsia" w:ascii="黑体" w:hAnsi="黑体" w:eastAsia="黑体" w:cs="黑体"/>
          <w:b w:val="0"/>
          <w:bCs/>
          <w:sz w:val="32"/>
          <w:szCs w:val="32"/>
          <w:lang w:val="en-US" w:eastAsia="zh-CN"/>
        </w:rPr>
        <w:t>2024年12月底前</w:t>
      </w:r>
      <w:r>
        <w:rPr>
          <w:rFonts w:hint="eastAsia" w:ascii="黑体" w:hAnsi="黑体" w:eastAsia="黑体" w:cs="黑体"/>
          <w:b w:val="0"/>
          <w:bCs/>
          <w:sz w:val="32"/>
          <w:szCs w:val="32"/>
          <w:lang w:eastAsia="zh-CN"/>
        </w:rPr>
        <w:t>）</w:t>
      </w:r>
    </w:p>
    <w:p w14:paraId="07FD379B">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一）全县共建成农村污水处理设施5处（新增1处纳林套海农场污水处理厂），其中，渡口镇污水处理厂（城西村、南滩村、城东村）日处理能力100吨，补隆淖镇污水处理厂（友谊村、新河村、河壕村、团结村）日处理能力100吨，巴彦高勒镇旧地村污水处理厂（旧地村、城关村、南粮台村）日处理能力150吨，隆盛合镇污水处理厂（镇区）日处理能力300吨，纳林套海农场（五分场）污水处理厂日处理能力70吨。全县农村污水处理设施由所在镇政府或委托第三方公司运维管理，全部正常运行，建立了运行台账，开展出水水质监测，均实现达标排放。</w:t>
      </w:r>
    </w:p>
    <w:p w14:paraId="5BE1865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color w:val="auto"/>
          <w:sz w:val="32"/>
          <w:szCs w:val="32"/>
          <w:lang w:val="en-US" w:eastAsia="zh-CN"/>
        </w:rPr>
      </w:pPr>
      <w:r>
        <w:rPr>
          <w:rFonts w:hint="eastAsia" w:ascii="仿宋_GB2312" w:hAnsi="Nimbus Roman No9 L" w:eastAsia="仿宋_GB2312" w:cs="Nimbus Roman No9 L"/>
          <w:color w:val="auto"/>
          <w:sz w:val="32"/>
          <w:szCs w:val="32"/>
          <w:lang w:val="en-US" w:eastAsia="zh-CN"/>
        </w:rPr>
        <w:t>（二）我县制定了《磴口县农村生活污水处理设施运行维护管理指南》，各苏木镇有效落实主体责任，负责组织实施农村牧区生活污水处理设施运行维护管理、统筹运行维护管理经费、开展日常运行维护管理的监管和评估考核工作。</w:t>
      </w:r>
    </w:p>
    <w:p w14:paraId="4F19646E">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color w:val="FF0000"/>
          <w:sz w:val="32"/>
          <w:szCs w:val="32"/>
          <w:lang w:val="en-US" w:eastAsia="zh-CN"/>
        </w:rPr>
      </w:pPr>
    </w:p>
    <w:p w14:paraId="7CF9BA0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Nimbus Roman No9 L" w:hAnsi="Nimbus Roman No9 L" w:eastAsia="仿宋_GB2312" w:cs="Nimbus Roman No9 L"/>
          <w:sz w:val="32"/>
          <w:szCs w:val="32"/>
        </w:rPr>
      </w:pPr>
      <w:r>
        <w:rPr>
          <w:rFonts w:hint="eastAsia" w:ascii="楷体_GB2312" w:hAnsi="Nimbus Roman No9 L" w:eastAsia="楷体_GB2312" w:cs="Nimbus Roman No9 L"/>
          <w:b/>
          <w:sz w:val="32"/>
          <w:szCs w:val="32"/>
          <w:lang w:val="en-US" w:eastAsia="zh-CN"/>
        </w:rPr>
        <w:t>16</w:t>
      </w:r>
      <w:r>
        <w:rPr>
          <w:rFonts w:hint="eastAsia" w:ascii="楷体_GB2312" w:hAnsi="Nimbus Roman No9 L" w:eastAsia="楷体_GB2312" w:cs="Nimbus Roman No9 L"/>
          <w:b/>
          <w:sz w:val="32"/>
          <w:szCs w:val="32"/>
        </w:rPr>
        <w:t>.</w:t>
      </w:r>
      <w:r>
        <w:rPr>
          <w:rFonts w:hint="eastAsia" w:ascii="楷体" w:hAnsi="楷体" w:eastAsia="楷体" w:cs="楷体"/>
          <w:b/>
          <w:bCs/>
          <w:sz w:val="32"/>
          <w:szCs w:val="32"/>
          <w:lang w:val="en-US" w:eastAsia="zh-CN"/>
        </w:rPr>
        <w:t>农业面源污染治理有差距。控肥效果好的水肥一体化方式在全市的应用面积占比不高，残膜回收机制不健全，残膜资源化利用率不高。</w:t>
      </w:r>
    </w:p>
    <w:p w14:paraId="4A732E06">
      <w:pPr>
        <w:keepNext w:val="0"/>
        <w:keepLines w:val="0"/>
        <w:pageBreakBefore w:val="0"/>
        <w:widowControl w:val="0"/>
        <w:kinsoku/>
        <w:wordWrap/>
        <w:overflowPunct/>
        <w:topLinePunct w:val="0"/>
        <w:autoSpaceDE/>
        <w:autoSpaceDN/>
        <w:bidi w:val="0"/>
        <w:adjustRightInd w:val="0"/>
        <w:snapToGrid w:val="0"/>
        <w:spacing w:before="0" w:line="600" w:lineRule="exact"/>
        <w:ind w:firstLine="640" w:firstLineChars="200"/>
        <w:jc w:val="both"/>
        <w:textAlignment w:val="center"/>
        <w:rPr>
          <w:rFonts w:hint="eastAsia" w:eastAsia="黑体"/>
          <w:color w:val="auto"/>
          <w:sz w:val="32"/>
          <w:szCs w:val="32"/>
          <w:lang w:eastAsia="zh-CN"/>
        </w:rPr>
      </w:pPr>
      <w:r>
        <w:rPr>
          <w:rFonts w:hint="eastAsia" w:ascii="黑体" w:hAnsi="黑体" w:eastAsia="黑体" w:cs="黑体"/>
          <w:b w:val="0"/>
          <w:bCs/>
          <w:sz w:val="32"/>
          <w:szCs w:val="32"/>
        </w:rPr>
        <w:t>整改进展情况</w:t>
      </w:r>
      <w:r>
        <w:rPr>
          <w:rFonts w:hint="eastAsia" w:ascii="黑体" w:hAnsi="黑体" w:eastAsia="黑体" w:cs="黑体"/>
          <w:b w:val="0"/>
          <w:bCs/>
          <w:color w:val="auto"/>
          <w:sz w:val="32"/>
          <w:szCs w:val="32"/>
        </w:rPr>
        <w:t>：已完成整改，长期坚持</w:t>
      </w:r>
      <w:r>
        <w:rPr>
          <w:rFonts w:hint="eastAsia" w:ascii="黑体" w:hAnsi="黑体" w:eastAsia="黑体" w:cs="黑体"/>
          <w:b w:val="0"/>
          <w:bCs/>
          <w:color w:val="auto"/>
          <w:sz w:val="32"/>
          <w:szCs w:val="32"/>
          <w:lang w:eastAsia="zh-CN"/>
        </w:rPr>
        <w:t>（整改时限：</w:t>
      </w:r>
      <w:r>
        <w:rPr>
          <w:rFonts w:hint="eastAsia" w:ascii="黑体" w:hAnsi="黑体" w:eastAsia="黑体" w:cs="黑体"/>
          <w:b w:val="0"/>
          <w:bCs/>
          <w:color w:val="auto"/>
          <w:sz w:val="32"/>
          <w:szCs w:val="32"/>
        </w:rPr>
        <w:t>2025年</w:t>
      </w:r>
      <w:r>
        <w:rPr>
          <w:rFonts w:hint="eastAsia" w:ascii="黑体" w:hAnsi="黑体" w:eastAsia="黑体" w:cs="黑体"/>
          <w:b w:val="0"/>
          <w:bCs/>
          <w:color w:val="auto"/>
          <w:sz w:val="32"/>
          <w:szCs w:val="32"/>
          <w:lang w:val="en-US" w:eastAsia="zh-CN"/>
        </w:rPr>
        <w:t>6</w:t>
      </w:r>
      <w:r>
        <w:rPr>
          <w:rFonts w:hint="eastAsia" w:ascii="黑体" w:hAnsi="黑体" w:eastAsia="黑体" w:cs="黑体"/>
          <w:b w:val="0"/>
          <w:bCs/>
          <w:color w:val="auto"/>
          <w:sz w:val="32"/>
          <w:szCs w:val="32"/>
        </w:rPr>
        <w:t>月底前</w:t>
      </w:r>
      <w:r>
        <w:rPr>
          <w:rFonts w:hint="eastAsia" w:ascii="黑体" w:hAnsi="黑体" w:eastAsia="黑体" w:cs="黑体"/>
          <w:b w:val="0"/>
          <w:bCs/>
          <w:color w:val="auto"/>
          <w:sz w:val="32"/>
          <w:szCs w:val="32"/>
          <w:lang w:eastAsia="zh-CN"/>
        </w:rPr>
        <w:t>）</w:t>
      </w:r>
    </w:p>
    <w:p w14:paraId="46999F5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（一）磴口县持续提升耕地质量，提高化肥利用率。截至目前，实施高标准农田建设13.44万亩，盐碱地综合利用2.21万亩，增施有机肥84.4万亩，深松深翻15万亩；</w:t>
      </w:r>
      <w:r>
        <w:rPr>
          <w:rFonts w:hint="default" w:ascii="仿宋_GB2312" w:hAnsi="Nimbus Roman No9 L" w:eastAsia="仿宋_GB2312" w:cs="Nimbus Roman No9 L"/>
          <w:sz w:val="32"/>
          <w:szCs w:val="32"/>
          <w:lang w:val="en-US" w:eastAsia="zh-CN"/>
        </w:rPr>
        <w:t>推广小流量滴灌技术6.5万亩</w:t>
      </w:r>
      <w:r>
        <w:rPr>
          <w:rFonts w:hint="eastAsia" w:ascii="仿宋_GB2312" w:hAnsi="Nimbus Roman No9 L" w:eastAsia="仿宋_GB2312" w:cs="Nimbus Roman No9 L"/>
          <w:sz w:val="32"/>
          <w:szCs w:val="32"/>
          <w:lang w:val="en-US" w:eastAsia="zh-CN"/>
        </w:rPr>
        <w:t>，推广新型肥、配方肥92.3万亩，推广机械侧深施技术48.7万亩。</w:t>
      </w:r>
    </w:p>
    <w:p w14:paraId="00A7F90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（二）降低除草剂用量，提高农药利用率。截至目前，推广除草剂减量技术27.3万亩；绿色防控和统防统治面积分别增加到69.7万亩和63.2万亩。</w:t>
      </w:r>
    </w:p>
    <w:p w14:paraId="4A83AAAB">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三）完善地膜回收机制，提高资源利用率。持续发挥134个残膜回收网点作用，加大回收力度。截至目前，推广“一膜两用”地膜源头减量技术10万亩、加厚高强度地膜16.05万亩、全生物降解地膜4.5万亩。依托资源化再利用企业，对废旧残膜进行资源化利用。</w:t>
      </w:r>
    </w:p>
    <w:p w14:paraId="2CF0F3C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3" w:firstLineChars="200"/>
        <w:jc w:val="both"/>
        <w:rPr>
          <w:rFonts w:hint="eastAsia" w:ascii="楷体_GB2312" w:hAnsi="Nimbus Roman No9 L" w:eastAsia="楷体_GB2312" w:cs="Nimbus Roman No9 L"/>
          <w:b/>
          <w:sz w:val="32"/>
          <w:szCs w:val="32"/>
          <w:lang w:eastAsia="zh-CN"/>
        </w:rPr>
      </w:pPr>
      <w:r>
        <w:rPr>
          <w:rFonts w:hint="eastAsia" w:ascii="楷体_GB2312" w:hAnsi="Nimbus Roman No9 L" w:eastAsia="楷体_GB2312" w:cs="Nimbus Roman No9 L"/>
          <w:b/>
          <w:sz w:val="32"/>
          <w:szCs w:val="32"/>
          <w:lang w:val="en-US" w:eastAsia="zh-CN"/>
        </w:rPr>
        <w:t>17</w:t>
      </w:r>
      <w:r>
        <w:rPr>
          <w:rFonts w:hint="eastAsia" w:ascii="楷体_GB2312" w:hAnsi="Nimbus Roman No9 L" w:eastAsia="楷体_GB2312" w:cs="Nimbus Roman No9 L"/>
          <w:b/>
          <w:sz w:val="32"/>
          <w:szCs w:val="32"/>
        </w:rPr>
        <w:t>.</w:t>
      </w:r>
      <w:r>
        <w:rPr>
          <w:rFonts w:hint="eastAsia" w:ascii="楷体" w:hAnsi="楷体" w:eastAsia="楷体" w:cs="楷体"/>
          <w:b/>
          <w:bCs/>
          <w:sz w:val="32"/>
          <w:szCs w:val="32"/>
          <w:lang w:val="en-US" w:eastAsia="zh-CN"/>
        </w:rPr>
        <w:t>地膜生产和销售监督执法乏力，2023年全市仅抽检了15家生产企业、28家销售企业，检出不合格地膜15批次，对生产和销售不合格地膜的企业一罚了之，以罚代管。</w:t>
      </w:r>
    </w:p>
    <w:p w14:paraId="64E9AB4C">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黑体" w:hAnsi="黑体" w:eastAsia="黑体" w:cs="黑体"/>
          <w:b w:val="0"/>
          <w:bCs/>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w:t>
      </w:r>
      <w:r>
        <w:rPr>
          <w:rFonts w:hint="eastAsia" w:ascii="黑体" w:hAnsi="黑体" w:eastAsia="黑体" w:cs="黑体"/>
          <w:b w:val="0"/>
          <w:bCs/>
          <w:sz w:val="32"/>
          <w:szCs w:val="32"/>
          <w:lang w:val="en-US" w:eastAsia="zh-CN"/>
        </w:rPr>
        <w:t>2024年12月底前</w:t>
      </w:r>
      <w:r>
        <w:rPr>
          <w:rFonts w:hint="eastAsia" w:ascii="黑体" w:hAnsi="黑体" w:eastAsia="黑体" w:cs="黑体"/>
          <w:b w:val="0"/>
          <w:bCs/>
          <w:sz w:val="32"/>
          <w:szCs w:val="32"/>
          <w:lang w:eastAsia="zh-CN"/>
        </w:rPr>
        <w:t>）</w:t>
      </w:r>
    </w:p>
    <w:p w14:paraId="00A2BEFE">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一）按照《巴彦淖尔市农用地膜管理办法》，我县严厉打击和查处违反国家强制标准生产、销售超薄农用地膜及生产原料掺杂使假等违法行为，制定印发了《关于开展2023—2024年农用地膜、滴灌带产品质量监管专项行动的通知》。</w:t>
      </w:r>
    </w:p>
    <w:p w14:paraId="04C2C9CD">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二）2024年，根据抽检计划共抽检地膜9批次（其中包括生产领域1批次，流通领域8批次），目前抽检计划全部完成，抽检结果为流通领域不合格3个批次，分别生产于宁夏和临河企业，依法对涉及的2户地膜销售商户进行行政处罚，并将2户地膜销售商户列入下一年度重点抽检对象，加强日常巡查监督频次，同时开展农用地膜质量溯源工作。2024年，共监督检查农用地膜生产企业1家，农用地膜销售商户26家，农用地膜监督检查和质量抽检达到100%全覆盖。</w:t>
      </w:r>
    </w:p>
    <w:p w14:paraId="76DB4DA7">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三）我县持续深入开展农膜质量源头治理宣传活动，会同相关职能部门、农资企业参与活动，利用3.15国际消费者权益日、质量月宣传等活动，现场发放宣传册500份，宣传单1000份，设立活动宣传展板5块，宣传解答农牧民咨询16件。</w:t>
      </w:r>
    </w:p>
    <w:p w14:paraId="113F63D0">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黑体" w:hAnsi="黑体" w:eastAsia="黑体" w:cs="黑体"/>
          <w:b w:val="0"/>
          <w:bCs/>
          <w:sz w:val="32"/>
          <w:szCs w:val="32"/>
        </w:rPr>
      </w:pPr>
      <w:r>
        <w:rPr>
          <w:rFonts w:hint="eastAsia" w:ascii="黑体" w:hAnsi="黑体" w:eastAsia="黑体" w:cs="黑体"/>
          <w:b w:val="0"/>
          <w:bCs/>
          <w:sz w:val="32"/>
          <w:szCs w:val="32"/>
        </w:rPr>
        <w:t>第三个方面，黄河流域生态保护与治理力度不够</w:t>
      </w:r>
    </w:p>
    <w:p w14:paraId="5A8F3AA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z w:val="32"/>
          <w:szCs w:val="32"/>
        </w:rPr>
      </w:pPr>
      <w:r>
        <w:rPr>
          <w:rFonts w:hint="eastAsia" w:ascii="楷体_GB2312" w:hAnsi="Nimbus Roman No9 L" w:eastAsia="楷体_GB2312" w:cs="Nimbus Roman No9 L"/>
          <w:b/>
          <w:sz w:val="32"/>
          <w:szCs w:val="32"/>
          <w:lang w:val="en-US" w:eastAsia="zh-CN"/>
        </w:rPr>
        <w:t>18</w:t>
      </w:r>
      <w:r>
        <w:rPr>
          <w:rFonts w:hint="eastAsia" w:ascii="楷体_GB2312" w:hAnsi="Nimbus Roman No9 L" w:eastAsia="楷体_GB2312" w:cs="Nimbus Roman No9 L"/>
          <w:b/>
          <w:sz w:val="32"/>
          <w:szCs w:val="32"/>
        </w:rPr>
        <w:t>.</w:t>
      </w:r>
      <w:r>
        <w:rPr>
          <w:rFonts w:hint="eastAsia" w:ascii="楷体" w:hAnsi="楷体" w:eastAsia="楷体" w:cs="楷体"/>
          <w:b/>
          <w:bCs/>
          <w:sz w:val="32"/>
          <w:szCs w:val="32"/>
          <w:lang w:val="en-US" w:eastAsia="zh-CN"/>
        </w:rPr>
        <w:t>黄河流经巴彦淖尔市333.5公里，占黄河内蒙古段全长的39.5%，生态地位极其重要。一些地区和部门对黄河流域生态保护和治理重视不够，存在违规取用水问题，节水工作推进有差距，水污染防治形势依然严峻。</w:t>
      </w:r>
    </w:p>
    <w:p w14:paraId="3557A01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rPr>
          <w:rFonts w:hint="eastAsia" w:eastAsia="黑体"/>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（整改时限：立行立改，长期坚持）</w:t>
      </w:r>
    </w:p>
    <w:p w14:paraId="4577FE4C">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（一）磴口县黄河流域生态保护和高质量发展年度工作任务已印发并成立领导小组，下发至各部门。</w:t>
      </w:r>
    </w:p>
    <w:p w14:paraId="181FF650">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（二）磴口县持续开展违规取水监管和检查力度，规范各类用水主体取用水行为。截至目前，水利局针对林草图斑案件非法取水行为的种植户下达停止水事违法通知书32份，填埋非法机电井15眼。</w:t>
      </w:r>
    </w:p>
    <w:p w14:paraId="41372F1F">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三）依托高标准农田建设项目将高效节水滴灌措施在全县范围内进行推广，2024年度完成高标准农田建设任务13.44万亩，2025年至2027年已完成高标准农田项目储备65万亩，正在与自治区、市主管部门争取逐年实施。</w:t>
      </w:r>
    </w:p>
    <w:p w14:paraId="669E1662">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both"/>
        <w:rPr>
          <w:rFonts w:hint="eastAsia" w:ascii="仿宋_GB2312" w:hAnsi="Nimbus Roman No9 L" w:eastAsia="仿宋_GB2312" w:cs="Nimbus Roman No9 L"/>
          <w:sz w:val="32"/>
          <w:szCs w:val="32"/>
          <w:lang w:val="en-US" w:eastAsia="zh-CN"/>
        </w:rPr>
      </w:pPr>
      <w:r>
        <w:rPr>
          <w:rFonts w:hint="eastAsia" w:ascii="仿宋_GB2312" w:hAnsi="Nimbus Roman No9 L" w:eastAsia="仿宋_GB2312" w:cs="Nimbus Roman No9 L"/>
          <w:sz w:val="32"/>
          <w:szCs w:val="32"/>
          <w:lang w:val="en-US" w:eastAsia="zh-CN"/>
        </w:rPr>
        <w:t>（四）完成入河排污口监督管理系统数据更新。按照巴彦淖尔市生态环境监测方案的要求，完成年度入河排污口水质监测，完成4家重点污染源监测。对重点涉水企业进行检查，企业污水处理设施运行正常，污水稳定达标排放。</w:t>
      </w:r>
    </w:p>
    <w:p w14:paraId="6C768AD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z w:val="32"/>
          <w:szCs w:val="32"/>
        </w:rPr>
      </w:pPr>
      <w:r>
        <w:rPr>
          <w:rFonts w:hint="eastAsia" w:ascii="楷体_GB2312" w:hAnsi="Nimbus Roman No9 L" w:eastAsia="楷体_GB2312" w:cs="Nimbus Roman No9 L"/>
          <w:b/>
          <w:sz w:val="32"/>
          <w:szCs w:val="32"/>
          <w:lang w:val="en-US" w:eastAsia="zh-CN"/>
        </w:rPr>
        <w:t>19.</w:t>
      </w:r>
      <w:r>
        <w:rPr>
          <w:rFonts w:hint="eastAsia" w:ascii="楷体" w:hAnsi="楷体" w:eastAsia="楷体" w:cs="楷体"/>
          <w:b/>
          <w:bCs/>
          <w:sz w:val="32"/>
          <w:szCs w:val="32"/>
          <w:lang w:val="en-US" w:eastAsia="zh-CN"/>
        </w:rPr>
        <w:t>磴口县红卫南支渠灌溉范围内的部分农田无证取用黄河水。</w:t>
      </w:r>
    </w:p>
    <w:p w14:paraId="5BBA6E8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rPr>
          <w:rFonts w:hint="eastAsia" w:eastAsia="黑体"/>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w:t>
      </w:r>
      <w:r>
        <w:rPr>
          <w:rFonts w:hint="eastAsia" w:ascii="黑体" w:hAnsi="黑体" w:eastAsia="黑体" w:cs="黑体"/>
          <w:b w:val="0"/>
          <w:bCs/>
          <w:sz w:val="32"/>
          <w:szCs w:val="32"/>
          <w:lang w:val="en-US" w:eastAsia="zh-CN"/>
        </w:rPr>
        <w:t>2024年12月底前</w:t>
      </w:r>
      <w:r>
        <w:rPr>
          <w:rFonts w:hint="eastAsia" w:ascii="黑体" w:hAnsi="黑体" w:eastAsia="黑体" w:cs="黑体"/>
          <w:b w:val="0"/>
          <w:bCs/>
          <w:sz w:val="32"/>
          <w:szCs w:val="32"/>
          <w:lang w:eastAsia="zh-CN"/>
        </w:rPr>
        <w:t>）</w:t>
      </w:r>
    </w:p>
    <w:p w14:paraId="4814C5B7">
      <w:pPr>
        <w:pStyle w:val="5"/>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Nimbus Roman No9 L" w:eastAsia="仿宋_GB2312" w:cs="Nimbus Roman No9 L"/>
          <w:kern w:val="2"/>
          <w:sz w:val="32"/>
          <w:szCs w:val="32"/>
          <w:lang w:val="en-US" w:eastAsia="zh-CN" w:bidi="ar-SA"/>
        </w:rPr>
      </w:pPr>
      <w:r>
        <w:rPr>
          <w:rFonts w:hint="eastAsia" w:ascii="仿宋_GB2312" w:hAnsi="Nimbus Roman No9 L" w:eastAsia="仿宋_GB2312" w:cs="Nimbus Roman No9 L"/>
          <w:kern w:val="2"/>
          <w:sz w:val="32"/>
          <w:szCs w:val="32"/>
          <w:lang w:val="en-US" w:eastAsia="zh-CN" w:bidi="ar-SA"/>
        </w:rPr>
        <w:t>（一）磴口县红卫南支渠进水闸取水工程项目水资源论证报告和整改方案编制完成。</w:t>
      </w:r>
    </w:p>
    <w:p w14:paraId="18BE28BA">
      <w:pPr>
        <w:pStyle w:val="5"/>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Nimbus Roman No9 L" w:eastAsia="仿宋_GB2312" w:cs="Nimbus Roman No9 L"/>
          <w:kern w:val="2"/>
          <w:sz w:val="32"/>
          <w:szCs w:val="32"/>
          <w:lang w:val="en-US" w:eastAsia="zh-CN" w:bidi="ar-SA"/>
        </w:rPr>
      </w:pPr>
      <w:r>
        <w:rPr>
          <w:rFonts w:hint="eastAsia" w:ascii="仿宋_GB2312" w:hAnsi="Nimbus Roman No9 L" w:eastAsia="仿宋_GB2312" w:cs="Nimbus Roman No9 L"/>
          <w:kern w:val="2"/>
          <w:sz w:val="32"/>
          <w:szCs w:val="32"/>
          <w:lang w:val="en-US" w:eastAsia="zh-CN" w:bidi="ar-SA"/>
        </w:rPr>
        <w:t>（二）取水工程项目已经黄委审核通过，正在等待批准下发红卫南支渠进水闸取水工程项目取水许可证。</w:t>
      </w:r>
    </w:p>
    <w:p w14:paraId="14B22BD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楷体" w:hAnsi="楷体" w:eastAsia="楷体" w:cs="楷体"/>
          <w:b/>
          <w:bCs/>
          <w:sz w:val="32"/>
          <w:szCs w:val="32"/>
          <w:lang w:val="en-US" w:eastAsia="zh-CN"/>
        </w:rPr>
      </w:pPr>
      <w:r>
        <w:rPr>
          <w:rFonts w:hint="eastAsia" w:ascii="楷体_GB2312" w:hAnsi="Nimbus Roman No9 L" w:eastAsia="楷体_GB2312" w:cs="Nimbus Roman No9 L"/>
          <w:b/>
          <w:sz w:val="32"/>
          <w:szCs w:val="32"/>
          <w:lang w:val="en-US" w:eastAsia="zh-CN"/>
        </w:rPr>
        <w:t>20</w:t>
      </w:r>
      <w:r>
        <w:rPr>
          <w:rFonts w:hint="eastAsia" w:ascii="楷体_GB2312" w:hAnsi="Nimbus Roman No9 L" w:eastAsia="楷体_GB2312" w:cs="Nimbus Roman No9 L"/>
          <w:b/>
          <w:sz w:val="32"/>
          <w:szCs w:val="32"/>
        </w:rPr>
        <w:t>.</w:t>
      </w:r>
      <w:r>
        <w:rPr>
          <w:rFonts w:hint="default" w:ascii="楷体" w:hAnsi="楷体" w:eastAsia="楷体" w:cs="楷体"/>
          <w:b/>
          <w:bCs/>
          <w:sz w:val="32"/>
          <w:szCs w:val="32"/>
          <w:lang w:val="en-US" w:eastAsia="zh-CN"/>
        </w:rPr>
        <w:t>节水工作推进还有差距。巴彦淖尔市尚未实现科学、精准、智慧化农业节水，灌区骨干渠道衬砌改造仅完成1709.64公里，占比40.2%。</w:t>
      </w:r>
    </w:p>
    <w:p w14:paraId="2BEA41A5">
      <w:pPr>
        <w:keepNext w:val="0"/>
        <w:keepLines w:val="0"/>
        <w:pageBreakBefore w:val="0"/>
        <w:widowControl w:val="0"/>
        <w:kinsoku/>
        <w:wordWrap/>
        <w:overflowPunct/>
        <w:topLinePunct w:val="0"/>
        <w:autoSpaceDE/>
        <w:autoSpaceDN/>
        <w:bidi w:val="0"/>
        <w:adjustRightInd w:val="0"/>
        <w:snapToGrid w:val="0"/>
        <w:spacing w:before="0" w:line="600" w:lineRule="exact"/>
        <w:ind w:firstLine="640" w:firstLineChars="200"/>
        <w:jc w:val="both"/>
        <w:textAlignment w:val="center"/>
        <w:rPr>
          <w:rFonts w:hint="eastAsia" w:eastAsia="黑体"/>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w:t>
      </w:r>
      <w:r>
        <w:rPr>
          <w:rFonts w:hint="eastAsia" w:ascii="黑体" w:hAnsi="黑体" w:eastAsia="黑体" w:cs="黑体"/>
          <w:b w:val="0"/>
          <w:bCs/>
          <w:sz w:val="32"/>
          <w:szCs w:val="32"/>
        </w:rPr>
        <w:t>2025年12月底前</w:t>
      </w:r>
      <w:r>
        <w:rPr>
          <w:rFonts w:hint="eastAsia" w:ascii="黑体" w:hAnsi="黑体" w:eastAsia="黑体" w:cs="黑体"/>
          <w:b w:val="0"/>
          <w:bCs/>
          <w:sz w:val="32"/>
          <w:szCs w:val="32"/>
          <w:lang w:eastAsia="zh-CN"/>
        </w:rPr>
        <w:t>）</w:t>
      </w:r>
    </w:p>
    <w:p w14:paraId="795427EF">
      <w:pPr>
        <w:pStyle w:val="5"/>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default" w:ascii="仿宋_GB2312" w:hAnsi="Nimbus Roman No9 L" w:eastAsia="仿宋_GB2312" w:cs="Nimbus Roman No9 L"/>
          <w:kern w:val="2"/>
          <w:sz w:val="32"/>
          <w:szCs w:val="32"/>
          <w:lang w:val="en-US" w:eastAsia="zh-CN" w:bidi="ar-SA"/>
        </w:rPr>
      </w:pPr>
      <w:r>
        <w:rPr>
          <w:rFonts w:hint="default" w:ascii="仿宋_GB2312" w:hAnsi="Nimbus Roman No9 L" w:eastAsia="仿宋_GB2312" w:cs="Nimbus Roman No9 L"/>
          <w:kern w:val="2"/>
          <w:sz w:val="32"/>
          <w:szCs w:val="32"/>
          <w:lang w:val="en-US" w:eastAsia="zh-CN" w:bidi="ar-SA"/>
        </w:rPr>
        <w:t>（一）</w:t>
      </w:r>
      <w:r>
        <w:rPr>
          <w:rFonts w:hint="eastAsia" w:ascii="仿宋_GB2312" w:hAnsi="Nimbus Roman No9 L" w:eastAsia="仿宋_GB2312" w:cs="Nimbus Roman No9 L"/>
          <w:kern w:val="2"/>
          <w:sz w:val="32"/>
          <w:szCs w:val="32"/>
          <w:lang w:val="en-US" w:eastAsia="zh-CN" w:bidi="ar-SA"/>
        </w:rPr>
        <w:t>磴口县</w:t>
      </w:r>
      <w:r>
        <w:rPr>
          <w:rFonts w:hint="default" w:ascii="仿宋_GB2312" w:hAnsi="Nimbus Roman No9 L" w:eastAsia="仿宋_GB2312" w:cs="Nimbus Roman No9 L"/>
          <w:kern w:val="2"/>
          <w:sz w:val="32"/>
          <w:szCs w:val="32"/>
          <w:lang w:val="en-US" w:eastAsia="zh-CN" w:bidi="ar-SA"/>
        </w:rPr>
        <w:t>制定</w:t>
      </w:r>
      <w:r>
        <w:rPr>
          <w:rFonts w:hint="eastAsia" w:ascii="仿宋_GB2312" w:hAnsi="Nimbus Roman No9 L" w:eastAsia="仿宋_GB2312" w:cs="Nimbus Roman No9 L"/>
          <w:kern w:val="2"/>
          <w:sz w:val="32"/>
          <w:szCs w:val="32"/>
          <w:lang w:val="en-US" w:eastAsia="zh-CN" w:bidi="ar-SA"/>
        </w:rPr>
        <w:t>了</w:t>
      </w:r>
      <w:r>
        <w:rPr>
          <w:rFonts w:hint="default" w:ascii="仿宋_GB2312" w:hAnsi="Nimbus Roman No9 L" w:eastAsia="仿宋_GB2312" w:cs="Nimbus Roman No9 L"/>
          <w:kern w:val="2"/>
          <w:sz w:val="32"/>
          <w:szCs w:val="32"/>
          <w:lang w:val="en-US" w:eastAsia="zh-CN" w:bidi="ar-SA"/>
        </w:rPr>
        <w:t>《解决乌兰布和灌域</w:t>
      </w:r>
      <w:r>
        <w:rPr>
          <w:rFonts w:hint="eastAsia" w:ascii="仿宋_GB2312" w:hAnsi="Nimbus Roman No9 L" w:eastAsia="仿宋_GB2312" w:cs="Nimbus Roman No9 L"/>
          <w:kern w:val="2"/>
          <w:sz w:val="32"/>
          <w:szCs w:val="32"/>
          <w:lang w:val="en-US" w:eastAsia="zh-CN" w:bidi="ar-SA"/>
        </w:rPr>
        <w:t>“</w:t>
      </w:r>
      <w:r>
        <w:rPr>
          <w:rFonts w:hint="default" w:ascii="仿宋_GB2312" w:hAnsi="Nimbus Roman No9 L" w:eastAsia="仿宋_GB2312" w:cs="Nimbus Roman No9 L"/>
          <w:kern w:val="2"/>
          <w:sz w:val="32"/>
          <w:szCs w:val="32"/>
          <w:lang w:val="en-US" w:eastAsia="zh-CN" w:bidi="ar-SA"/>
        </w:rPr>
        <w:t>大水漫灌</w:t>
      </w:r>
      <w:r>
        <w:rPr>
          <w:rFonts w:hint="eastAsia" w:ascii="仿宋_GB2312" w:hAnsi="Nimbus Roman No9 L" w:eastAsia="仿宋_GB2312" w:cs="Nimbus Roman No9 L"/>
          <w:kern w:val="2"/>
          <w:sz w:val="32"/>
          <w:szCs w:val="32"/>
          <w:lang w:val="en-US" w:eastAsia="zh-CN" w:bidi="ar-SA"/>
        </w:rPr>
        <w:t>”</w:t>
      </w:r>
      <w:r>
        <w:rPr>
          <w:rFonts w:hint="default" w:ascii="仿宋_GB2312" w:hAnsi="Nimbus Roman No9 L" w:eastAsia="仿宋_GB2312" w:cs="Nimbus Roman No9 L"/>
          <w:kern w:val="2"/>
          <w:sz w:val="32"/>
          <w:szCs w:val="32"/>
          <w:lang w:val="en-US" w:eastAsia="zh-CN" w:bidi="ar-SA"/>
        </w:rPr>
        <w:t>问题2024年工作实施方案》；2024年底计划完成高标准农田建设项目13.44万亩，现已完成引黄滴灌高效节水面积4.2万亩。</w:t>
      </w:r>
    </w:p>
    <w:p w14:paraId="5E6597C7">
      <w:pPr>
        <w:pStyle w:val="5"/>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default" w:ascii="仿宋_GB2312" w:hAnsi="Nimbus Roman No9 L" w:eastAsia="仿宋_GB2312" w:cs="Nimbus Roman No9 L"/>
          <w:kern w:val="2"/>
          <w:sz w:val="32"/>
          <w:szCs w:val="32"/>
          <w:lang w:val="en-US" w:eastAsia="zh-CN" w:bidi="ar-SA"/>
        </w:rPr>
      </w:pPr>
      <w:r>
        <w:rPr>
          <w:rFonts w:hint="default" w:ascii="仿宋_GB2312" w:hAnsi="Nimbus Roman No9 L" w:eastAsia="仿宋_GB2312" w:cs="Nimbus Roman No9 L"/>
          <w:kern w:val="2"/>
          <w:sz w:val="32"/>
          <w:szCs w:val="32"/>
          <w:lang w:val="en-US" w:eastAsia="zh-CN" w:bidi="ar-SA"/>
        </w:rPr>
        <w:t>（</w:t>
      </w:r>
      <w:r>
        <w:rPr>
          <w:rFonts w:hint="eastAsia" w:ascii="仿宋_GB2312" w:hAnsi="Nimbus Roman No9 L" w:eastAsia="仿宋_GB2312" w:cs="Nimbus Roman No9 L"/>
          <w:kern w:val="2"/>
          <w:sz w:val="32"/>
          <w:szCs w:val="32"/>
          <w:lang w:val="en-US" w:eastAsia="zh-CN" w:bidi="ar-SA"/>
        </w:rPr>
        <w:t>二</w:t>
      </w:r>
      <w:r>
        <w:rPr>
          <w:rFonts w:hint="default" w:ascii="仿宋_GB2312" w:hAnsi="Nimbus Roman No9 L" w:eastAsia="仿宋_GB2312" w:cs="Nimbus Roman No9 L"/>
          <w:kern w:val="2"/>
          <w:sz w:val="32"/>
          <w:szCs w:val="32"/>
          <w:lang w:val="en-US" w:eastAsia="zh-CN" w:bidi="ar-SA"/>
        </w:rPr>
        <w:t>）乌兰布和灌域骨干渠道衬砌率为96.78%。</w:t>
      </w:r>
    </w:p>
    <w:p w14:paraId="481BE711">
      <w:pPr>
        <w:pStyle w:val="5"/>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default" w:ascii="仿宋_GB2312" w:hAnsi="Nimbus Roman No9 L" w:eastAsia="仿宋_GB2312" w:cs="Nimbus Roman No9 L"/>
          <w:kern w:val="2"/>
          <w:sz w:val="32"/>
          <w:szCs w:val="32"/>
          <w:lang w:val="en-US" w:eastAsia="zh-CN" w:bidi="ar-SA"/>
        </w:rPr>
      </w:pPr>
      <w:r>
        <w:rPr>
          <w:rFonts w:hint="default" w:ascii="仿宋_GB2312" w:hAnsi="Nimbus Roman No9 L" w:eastAsia="仿宋_GB2312" w:cs="Nimbus Roman No9 L"/>
          <w:kern w:val="2"/>
          <w:sz w:val="32"/>
          <w:szCs w:val="32"/>
          <w:lang w:val="en-US" w:eastAsia="zh-CN" w:bidi="ar-SA"/>
        </w:rPr>
        <w:t>（</w:t>
      </w:r>
      <w:r>
        <w:rPr>
          <w:rFonts w:hint="eastAsia" w:ascii="仿宋_GB2312" w:hAnsi="Nimbus Roman No9 L" w:eastAsia="仿宋_GB2312" w:cs="Nimbus Roman No9 L"/>
          <w:kern w:val="2"/>
          <w:sz w:val="32"/>
          <w:szCs w:val="32"/>
          <w:lang w:val="en-US" w:eastAsia="zh-CN" w:bidi="ar-SA"/>
        </w:rPr>
        <w:t>三</w:t>
      </w:r>
      <w:r>
        <w:rPr>
          <w:rFonts w:hint="default" w:ascii="仿宋_GB2312" w:hAnsi="Nimbus Roman No9 L" w:eastAsia="仿宋_GB2312" w:cs="Nimbus Roman No9 L"/>
          <w:kern w:val="2"/>
          <w:sz w:val="32"/>
          <w:szCs w:val="32"/>
          <w:lang w:val="en-US" w:eastAsia="zh-CN" w:bidi="ar-SA"/>
        </w:rPr>
        <w:t>）已完成推广小流量节水1.6万亩。</w:t>
      </w:r>
    </w:p>
    <w:p w14:paraId="029051F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楷体" w:hAnsi="楷体" w:eastAsia="楷体" w:cs="楷体"/>
          <w:b/>
          <w:bCs/>
          <w:sz w:val="32"/>
          <w:szCs w:val="32"/>
          <w:lang w:val="en-US" w:eastAsia="zh-CN"/>
        </w:rPr>
      </w:pPr>
      <w:r>
        <w:rPr>
          <w:rFonts w:hint="eastAsia" w:ascii="楷体_GB2312" w:hAnsi="Nimbus Roman No9 L" w:eastAsia="楷体_GB2312" w:cs="Nimbus Roman No9 L"/>
          <w:b/>
          <w:sz w:val="32"/>
          <w:szCs w:val="32"/>
          <w:lang w:val="en-US" w:eastAsia="zh-CN"/>
        </w:rPr>
        <w:t>21</w:t>
      </w:r>
      <w:r>
        <w:rPr>
          <w:rFonts w:hint="eastAsia" w:ascii="楷体_GB2312" w:hAnsi="Nimbus Roman No9 L" w:eastAsia="楷体_GB2312" w:cs="Nimbus Roman No9 L"/>
          <w:b/>
          <w:sz w:val="32"/>
          <w:szCs w:val="32"/>
        </w:rPr>
        <w:t>.</w:t>
      </w:r>
      <w:r>
        <w:rPr>
          <w:rFonts w:hint="default" w:ascii="楷体" w:hAnsi="楷体" w:eastAsia="楷体" w:cs="楷体"/>
          <w:b/>
          <w:bCs/>
          <w:sz w:val="32"/>
          <w:szCs w:val="32"/>
          <w:lang w:val="en-US" w:eastAsia="zh-CN"/>
        </w:rPr>
        <w:t>国管调度断面自动化测流设施配套率为62.2%，群管直口渠测流断面自动化测流设施配套率不足。</w:t>
      </w:r>
    </w:p>
    <w:p w14:paraId="38EF308E">
      <w:pPr>
        <w:keepNext w:val="0"/>
        <w:keepLines w:val="0"/>
        <w:pageBreakBefore w:val="0"/>
        <w:widowControl w:val="0"/>
        <w:kinsoku/>
        <w:wordWrap/>
        <w:overflowPunct/>
        <w:topLinePunct w:val="0"/>
        <w:autoSpaceDE/>
        <w:autoSpaceDN/>
        <w:bidi w:val="0"/>
        <w:adjustRightInd w:val="0"/>
        <w:snapToGrid w:val="0"/>
        <w:spacing w:before="0" w:line="600" w:lineRule="exact"/>
        <w:ind w:firstLine="640" w:firstLineChars="200"/>
        <w:jc w:val="both"/>
        <w:textAlignment w:val="center"/>
        <w:rPr>
          <w:rFonts w:hint="eastAsia" w:ascii="黑体" w:hAnsi="黑体" w:eastAsia="黑体" w:cs="黑体"/>
          <w:b w:val="0"/>
          <w:bCs/>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w:t>
      </w:r>
      <w:r>
        <w:rPr>
          <w:rFonts w:hint="eastAsia" w:eastAsia="方正仿宋简体"/>
          <w:sz w:val="32"/>
          <w:szCs w:val="32"/>
        </w:rPr>
        <w:t>2025年12</w:t>
      </w:r>
      <w:r>
        <w:rPr>
          <w:rFonts w:hint="eastAsia" w:ascii="黑体" w:hAnsi="黑体" w:eastAsia="黑体" w:cs="黑体"/>
          <w:b w:val="0"/>
          <w:bCs/>
          <w:sz w:val="32"/>
          <w:szCs w:val="32"/>
          <w:lang w:eastAsia="zh-CN"/>
        </w:rPr>
        <w:t>月底前取得阶段性进展，长期坚持）</w:t>
      </w:r>
    </w:p>
    <w:p w14:paraId="5828AD6A">
      <w:pPr>
        <w:pStyle w:val="5"/>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Nimbus Roman No9 L" w:eastAsia="仿宋_GB2312" w:cs="Nimbus Roman No9 L"/>
          <w:kern w:val="2"/>
          <w:sz w:val="32"/>
          <w:szCs w:val="32"/>
          <w:lang w:val="en-US" w:eastAsia="zh-CN" w:bidi="ar-SA"/>
        </w:rPr>
      </w:pPr>
      <w:r>
        <w:rPr>
          <w:rFonts w:hint="eastAsia" w:ascii="仿宋_GB2312" w:hAnsi="Nimbus Roman No9 L" w:eastAsia="仿宋_GB2312" w:cs="Nimbus Roman No9 L"/>
          <w:kern w:val="2"/>
          <w:sz w:val="32"/>
          <w:szCs w:val="32"/>
          <w:lang w:val="en-US" w:eastAsia="zh-CN" w:bidi="ar-SA"/>
        </w:rPr>
        <w:t>（一）磴口县域内16处国管调度断面已全部安装自动化测流设施，配套率达100%。</w:t>
      </w:r>
    </w:p>
    <w:p w14:paraId="37307BF5">
      <w:pPr>
        <w:pStyle w:val="5"/>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Times New Roman" w:hAnsi="Times New Roman" w:eastAsia="方正仿宋简体" w:cs="Times New Roman"/>
          <w:kern w:val="2"/>
          <w:sz w:val="32"/>
          <w:szCs w:val="32"/>
          <w:lang w:val="en-US" w:eastAsia="zh-CN" w:bidi="ar-SA"/>
        </w:rPr>
      </w:pPr>
      <w:r>
        <w:rPr>
          <w:rFonts w:hint="eastAsia" w:ascii="仿宋_GB2312" w:hAnsi="Nimbus Roman No9 L" w:eastAsia="仿宋_GB2312" w:cs="Nimbus Roman No9 L"/>
          <w:kern w:val="2"/>
          <w:sz w:val="32"/>
          <w:szCs w:val="32"/>
          <w:lang w:val="en-US" w:eastAsia="zh-CN" w:bidi="ar-SA"/>
        </w:rPr>
        <w:t>（二）积极申报项目。严格执行“同监互测”的测流计量。磴口县群管直口渠671条，截至目前实现自动测流能力的共43处（其中安装测控一体化闸门7套，自动化测流设施35套），群管直口渠测流断面自动化测流设施配套率达到6.4%。</w:t>
      </w:r>
    </w:p>
    <w:p w14:paraId="04EAB0C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楷体" w:hAnsi="楷体" w:eastAsia="楷体" w:cs="楷体"/>
          <w:b/>
          <w:bCs/>
          <w:color w:val="auto"/>
          <w:sz w:val="32"/>
          <w:szCs w:val="32"/>
          <w:lang w:val="en-US" w:eastAsia="zh-CN"/>
        </w:rPr>
      </w:pPr>
      <w:r>
        <w:rPr>
          <w:rFonts w:hint="eastAsia" w:ascii="楷体_GB2312" w:hAnsi="Nimbus Roman No9 L" w:eastAsia="楷体_GB2312" w:cs="Nimbus Roman No9 L"/>
          <w:b/>
          <w:color w:val="auto"/>
          <w:kern w:val="2"/>
          <w:sz w:val="32"/>
          <w:szCs w:val="32"/>
          <w:lang w:val="en-US" w:eastAsia="zh-CN" w:bidi="ar-SA"/>
        </w:rPr>
        <w:t>22.</w:t>
      </w:r>
      <w:r>
        <w:rPr>
          <w:rFonts w:hint="default" w:ascii="楷体" w:hAnsi="楷体" w:eastAsia="楷体" w:cs="楷体"/>
          <w:b/>
          <w:bCs/>
          <w:color w:val="auto"/>
          <w:sz w:val="32"/>
          <w:szCs w:val="32"/>
          <w:lang w:val="en-US" w:eastAsia="zh-CN"/>
        </w:rPr>
        <w:t>《内蒙古自治区地下水保护和管理条例》要求“城市绿化优先使用再生水”，巴彦淖尔市再生水未充分利用与违规取用地下水绿化问题并存临河区、乌拉特前旗存在再生水未利用和园林绿化取用地下水问题。</w:t>
      </w:r>
    </w:p>
    <w:p w14:paraId="5C23F83C">
      <w:pPr>
        <w:keepNext w:val="0"/>
        <w:keepLines w:val="0"/>
        <w:pageBreakBefore w:val="0"/>
        <w:widowControl w:val="0"/>
        <w:kinsoku/>
        <w:wordWrap/>
        <w:overflowPunct/>
        <w:topLinePunct w:val="0"/>
        <w:autoSpaceDE/>
        <w:autoSpaceDN/>
        <w:bidi w:val="0"/>
        <w:adjustRightInd w:val="0"/>
        <w:snapToGrid w:val="0"/>
        <w:spacing w:before="0" w:line="600" w:lineRule="exact"/>
        <w:ind w:firstLine="640" w:firstLineChars="200"/>
        <w:jc w:val="both"/>
        <w:textAlignment w:val="center"/>
        <w:rPr>
          <w:rFonts w:hint="eastAsia"/>
          <w:color w:val="auto"/>
          <w:sz w:val="32"/>
          <w:szCs w:val="32"/>
        </w:rPr>
      </w:pPr>
      <w:r>
        <w:rPr>
          <w:rFonts w:hint="eastAsia" w:ascii="黑体" w:hAnsi="黑体" w:eastAsia="黑体" w:cs="黑体"/>
          <w:b w:val="0"/>
          <w:bCs/>
          <w:color w:val="auto"/>
          <w:sz w:val="32"/>
          <w:szCs w:val="32"/>
        </w:rPr>
        <w:t>整改进展情况：已完成整改，长期坚持</w:t>
      </w:r>
      <w:r>
        <w:rPr>
          <w:rFonts w:hint="eastAsia" w:ascii="黑体" w:hAnsi="黑体" w:eastAsia="黑体" w:cs="黑体"/>
          <w:b w:val="0"/>
          <w:bCs/>
          <w:color w:val="auto"/>
          <w:sz w:val="32"/>
          <w:szCs w:val="32"/>
          <w:lang w:eastAsia="zh-CN"/>
        </w:rPr>
        <w:t>（整改时限：</w:t>
      </w:r>
      <w:r>
        <w:rPr>
          <w:rFonts w:hint="eastAsia" w:ascii="黑体" w:hAnsi="黑体" w:eastAsia="黑体" w:cs="黑体"/>
          <w:b w:val="0"/>
          <w:bCs/>
          <w:color w:val="auto"/>
          <w:sz w:val="32"/>
          <w:szCs w:val="32"/>
        </w:rPr>
        <w:t>2025年12月底前</w:t>
      </w:r>
      <w:r>
        <w:rPr>
          <w:rFonts w:hint="eastAsia" w:ascii="黑体" w:hAnsi="黑体" w:eastAsia="黑体" w:cs="黑体"/>
          <w:b w:val="0"/>
          <w:bCs/>
          <w:color w:val="auto"/>
          <w:sz w:val="32"/>
          <w:szCs w:val="32"/>
          <w:lang w:eastAsia="zh-CN"/>
        </w:rPr>
        <w:t>）</w:t>
      </w:r>
    </w:p>
    <w:p w14:paraId="6CC215A7">
      <w:pPr>
        <w:pStyle w:val="5"/>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Nimbus Roman No9 L" w:eastAsia="仿宋_GB2312" w:cs="Nimbus Roman No9 L"/>
          <w:color w:val="auto"/>
          <w:kern w:val="2"/>
          <w:sz w:val="32"/>
          <w:szCs w:val="32"/>
          <w:lang w:val="en-US" w:eastAsia="zh-CN" w:bidi="ar-SA"/>
        </w:rPr>
      </w:pPr>
      <w:r>
        <w:rPr>
          <w:rFonts w:hint="eastAsia" w:ascii="仿宋_GB2312" w:hAnsi="Nimbus Roman No9 L" w:eastAsia="仿宋_GB2312" w:cs="Nimbus Roman No9 L"/>
          <w:color w:val="auto"/>
          <w:kern w:val="2"/>
          <w:sz w:val="32"/>
          <w:szCs w:val="32"/>
          <w:lang w:val="en-US" w:eastAsia="zh-CN" w:bidi="ar-SA"/>
        </w:rPr>
        <w:t>（一）实施磴口县“十四五”期间排水、中水管道老化更新改造及资源化利用项目，包括建成园区中水管网11635米，贺兰北路中水管网2000米，2025年完成了剩余9635米中水管网，目前可覆盖工业用水企业和部分光伏企业。</w:t>
      </w:r>
    </w:p>
    <w:p w14:paraId="15CD80FC">
      <w:pPr>
        <w:pStyle w:val="5"/>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Nimbus Roman No9 L" w:eastAsia="仿宋_GB2312" w:cs="Nimbus Roman No9 L"/>
          <w:color w:val="auto"/>
          <w:kern w:val="2"/>
          <w:sz w:val="32"/>
          <w:szCs w:val="32"/>
          <w:lang w:val="en-US" w:eastAsia="zh-CN" w:bidi="ar-SA"/>
        </w:rPr>
      </w:pPr>
      <w:r>
        <w:rPr>
          <w:rFonts w:hint="eastAsia" w:ascii="仿宋_GB2312" w:hAnsi="Nimbus Roman No9 L" w:eastAsia="仿宋_GB2312" w:cs="Nimbus Roman No9 L"/>
          <w:color w:val="auto"/>
          <w:kern w:val="2"/>
          <w:sz w:val="32"/>
          <w:szCs w:val="32"/>
          <w:lang w:val="en-US" w:eastAsia="zh-CN" w:bidi="ar-SA"/>
        </w:rPr>
        <w:t>（二）环卫将逐步加大道路清扫、城市绿化、车辆冲洗等市政领域再生水利用力度，逐步提高园林绿化再生水利用率。</w:t>
      </w:r>
    </w:p>
    <w:p w14:paraId="62CAE46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楷体" w:hAnsi="楷体" w:eastAsia="楷体" w:cs="楷体"/>
          <w:b/>
          <w:bCs/>
          <w:sz w:val="32"/>
          <w:szCs w:val="32"/>
          <w:lang w:val="en-US" w:eastAsia="zh-CN"/>
        </w:rPr>
      </w:pPr>
      <w:r>
        <w:rPr>
          <w:rFonts w:hint="eastAsia" w:ascii="楷体_GB2312" w:hAnsi="Nimbus Roman No9 L" w:eastAsia="楷体_GB2312" w:cs="Nimbus Roman No9 L"/>
          <w:b/>
          <w:sz w:val="32"/>
          <w:szCs w:val="32"/>
          <w:lang w:val="en-US" w:eastAsia="zh-CN"/>
        </w:rPr>
        <w:t>23.</w:t>
      </w:r>
      <w:r>
        <w:rPr>
          <w:rFonts w:hint="default" w:ascii="楷体" w:hAnsi="楷体" w:eastAsia="楷体" w:cs="楷体"/>
          <w:b/>
          <w:bCs/>
          <w:sz w:val="32"/>
          <w:szCs w:val="32"/>
          <w:lang w:val="en-US" w:eastAsia="zh-CN"/>
        </w:rPr>
        <w:t>磴口县沈乌干渠岸线管理范围内存在奶牛</w:t>
      </w:r>
      <w:r>
        <w:rPr>
          <w:rFonts w:hint="eastAsia" w:ascii="楷体" w:hAnsi="楷体" w:eastAsia="楷体" w:cs="楷体"/>
          <w:b/>
          <w:bCs/>
          <w:sz w:val="32"/>
          <w:szCs w:val="32"/>
          <w:lang w:val="en-US" w:eastAsia="zh-CN"/>
        </w:rPr>
        <w:t>养殖场</w:t>
      </w:r>
      <w:r>
        <w:rPr>
          <w:rFonts w:hint="default" w:ascii="楷体" w:hAnsi="楷体" w:eastAsia="楷体" w:cs="楷体"/>
          <w:b/>
          <w:bCs/>
          <w:sz w:val="32"/>
          <w:szCs w:val="32"/>
          <w:lang w:val="en-US" w:eastAsia="zh-CN"/>
        </w:rPr>
        <w:t>和私建泵站等问题。</w:t>
      </w:r>
    </w:p>
    <w:p w14:paraId="795CDFF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rPr>
          <w:rFonts w:hint="eastAsia" w:ascii="黑体" w:hAnsi="黑体" w:eastAsia="黑体" w:cs="黑体"/>
          <w:b w:val="0"/>
          <w:bCs/>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w:t>
      </w:r>
      <w:r>
        <w:rPr>
          <w:rFonts w:hint="eastAsia" w:ascii="黑体" w:hAnsi="黑体" w:eastAsia="黑体" w:cs="黑体"/>
          <w:b w:val="0"/>
          <w:bCs/>
          <w:sz w:val="32"/>
          <w:szCs w:val="32"/>
          <w:lang w:val="en-US" w:eastAsia="zh-CN"/>
        </w:rPr>
        <w:t>2024年12月底前</w:t>
      </w:r>
      <w:r>
        <w:rPr>
          <w:rFonts w:hint="eastAsia" w:ascii="黑体" w:hAnsi="黑体" w:eastAsia="黑体" w:cs="黑体"/>
          <w:b w:val="0"/>
          <w:bCs/>
          <w:sz w:val="32"/>
          <w:szCs w:val="32"/>
          <w:lang w:eastAsia="zh-CN"/>
        </w:rPr>
        <w:t>）</w:t>
      </w:r>
    </w:p>
    <w:p w14:paraId="0E8D3CE2">
      <w:pPr>
        <w:pStyle w:val="5"/>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Nimbus Roman No9 L" w:eastAsia="仿宋_GB2312" w:cs="Nimbus Roman No9 L"/>
          <w:kern w:val="2"/>
          <w:sz w:val="32"/>
          <w:szCs w:val="32"/>
          <w:lang w:val="en-US" w:eastAsia="zh-CN" w:bidi="ar-SA"/>
        </w:rPr>
      </w:pPr>
      <w:r>
        <w:rPr>
          <w:rFonts w:hint="eastAsia" w:ascii="仿宋_GB2312" w:hAnsi="Nimbus Roman No9 L" w:eastAsia="仿宋_GB2312" w:cs="Nimbus Roman No9 L"/>
          <w:kern w:val="2"/>
          <w:sz w:val="32"/>
          <w:szCs w:val="32"/>
          <w:lang w:val="en-US" w:eastAsia="zh-CN" w:bidi="ar-SA"/>
        </w:rPr>
        <w:t>（一）磴口县私建泵站和奶牛养殖场已全部拆除，完成整改。</w:t>
      </w:r>
    </w:p>
    <w:p w14:paraId="35219379">
      <w:pPr>
        <w:pStyle w:val="5"/>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eastAsia" w:ascii="仿宋_GB2312" w:hAnsi="Nimbus Roman No9 L" w:eastAsia="仿宋_GB2312" w:cs="Nimbus Roman No9 L"/>
          <w:kern w:val="2"/>
          <w:sz w:val="32"/>
          <w:szCs w:val="32"/>
          <w:lang w:val="en-US" w:eastAsia="zh-CN" w:bidi="ar-SA"/>
        </w:rPr>
      </w:pPr>
      <w:r>
        <w:rPr>
          <w:rFonts w:hint="eastAsia" w:ascii="仿宋_GB2312" w:hAnsi="Nimbus Roman No9 L" w:eastAsia="仿宋_GB2312" w:cs="Nimbus Roman No9 L"/>
          <w:kern w:val="2"/>
          <w:sz w:val="32"/>
          <w:szCs w:val="32"/>
          <w:lang w:val="en-US" w:eastAsia="zh-CN" w:bidi="ar-SA"/>
        </w:rPr>
        <w:t>（二）进一步压紧压实各级河湖长责任，实施常态化巡河湖，各级河湖长巡河湖共计3119次，共计发动干部群众186人次，动用机械、车辆60台次，清理垃圾104吨。</w:t>
      </w:r>
    </w:p>
    <w:p w14:paraId="168C33F7">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firstLine="643" w:firstLineChars="200"/>
        <w:jc w:val="both"/>
        <w:textAlignment w:val="auto"/>
        <w:rPr>
          <w:rFonts w:hint="eastAsia" w:ascii="黑体" w:hAnsi="黑体" w:eastAsia="黑体" w:cs="黑体"/>
          <w:b/>
          <w:sz w:val="32"/>
          <w:szCs w:val="32"/>
        </w:rPr>
      </w:pPr>
      <w:r>
        <w:rPr>
          <w:rFonts w:hint="eastAsia" w:ascii="黑体" w:hAnsi="黑体" w:eastAsia="黑体" w:cs="黑体"/>
          <w:b/>
          <w:sz w:val="32"/>
          <w:szCs w:val="32"/>
        </w:rPr>
        <w:t>第四个方面，污染防治攻坚战存在薄弱环节</w:t>
      </w:r>
    </w:p>
    <w:p w14:paraId="6EB8047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楷体" w:hAnsi="楷体" w:eastAsia="楷体" w:cs="楷体"/>
          <w:b/>
          <w:bCs/>
          <w:sz w:val="32"/>
          <w:szCs w:val="32"/>
          <w:lang w:val="en-US" w:eastAsia="zh-CN"/>
        </w:rPr>
      </w:pPr>
      <w:r>
        <w:rPr>
          <w:rFonts w:hint="eastAsia" w:ascii="楷体_GB2312" w:hAnsi="Nimbus Roman No9 L" w:eastAsia="楷体_GB2312" w:cs="Nimbus Roman No9 L"/>
          <w:b/>
          <w:sz w:val="32"/>
          <w:szCs w:val="32"/>
          <w:lang w:val="en-US" w:eastAsia="zh-CN"/>
        </w:rPr>
        <w:t>24</w:t>
      </w:r>
      <w:r>
        <w:rPr>
          <w:rFonts w:hint="eastAsia" w:ascii="楷体_GB2312" w:hAnsi="Nimbus Roman No9 L" w:eastAsia="楷体_GB2312" w:cs="Nimbus Roman No9 L"/>
          <w:b/>
          <w:sz w:val="32"/>
          <w:szCs w:val="32"/>
        </w:rPr>
        <w:t>.</w:t>
      </w:r>
      <w:r>
        <w:rPr>
          <w:rFonts w:hint="default" w:ascii="楷体" w:hAnsi="楷体" w:eastAsia="楷体" w:cs="楷体"/>
          <w:b/>
          <w:bCs/>
          <w:sz w:val="32"/>
          <w:szCs w:val="32"/>
          <w:lang w:val="en-US" w:eastAsia="zh-CN"/>
        </w:rPr>
        <w:t>包银高铁巴彦淖尔段施工沿线拌合站存在扬尘问题突出。</w:t>
      </w:r>
    </w:p>
    <w:p w14:paraId="565E946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rPr>
          <w:rFonts w:hint="eastAsia" w:eastAsia="黑体"/>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（整改时限：立行立改，长期坚持）</w:t>
      </w:r>
    </w:p>
    <w:p w14:paraId="12BE3BAC">
      <w:pPr>
        <w:pStyle w:val="5"/>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default" w:ascii="仿宋_GB2312" w:hAnsi="Nimbus Roman No9 L" w:eastAsia="仿宋_GB2312" w:cs="Nimbus Roman No9 L"/>
          <w:kern w:val="2"/>
          <w:sz w:val="32"/>
          <w:szCs w:val="32"/>
          <w:lang w:val="en-US" w:eastAsia="zh-CN" w:bidi="ar-SA"/>
        </w:rPr>
      </w:pPr>
      <w:r>
        <w:rPr>
          <w:rFonts w:hint="default" w:ascii="仿宋_GB2312" w:hAnsi="Nimbus Roman No9 L" w:eastAsia="仿宋_GB2312" w:cs="Nimbus Roman No9 L"/>
          <w:kern w:val="2"/>
          <w:sz w:val="32"/>
          <w:szCs w:val="32"/>
          <w:lang w:val="en-US" w:eastAsia="zh-CN" w:bidi="ar-SA"/>
        </w:rPr>
        <w:t>（一）已建立管控清单，包银高铁沿线共7个</w:t>
      </w:r>
      <w:r>
        <w:rPr>
          <w:rFonts w:hint="eastAsia" w:ascii="仿宋_GB2312" w:hAnsi="Nimbus Roman No9 L" w:eastAsia="仿宋_GB2312" w:cs="Nimbus Roman No9 L"/>
          <w:kern w:val="2"/>
          <w:sz w:val="32"/>
          <w:szCs w:val="32"/>
          <w:lang w:val="en-US" w:eastAsia="zh-CN" w:bidi="ar-SA"/>
        </w:rPr>
        <w:t>拌和站</w:t>
      </w:r>
      <w:r>
        <w:rPr>
          <w:rFonts w:hint="default" w:ascii="仿宋_GB2312" w:hAnsi="Nimbus Roman No9 L" w:eastAsia="仿宋_GB2312" w:cs="Nimbus Roman No9 L"/>
          <w:kern w:val="2"/>
          <w:sz w:val="32"/>
          <w:szCs w:val="32"/>
          <w:lang w:val="en-US" w:eastAsia="zh-CN" w:bidi="ar-SA"/>
        </w:rPr>
        <w:t>、1个在建高铁车站。</w:t>
      </w:r>
    </w:p>
    <w:p w14:paraId="6B410181">
      <w:pPr>
        <w:pStyle w:val="5"/>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default" w:ascii="仿宋_GB2312" w:hAnsi="Nimbus Roman No9 L" w:eastAsia="仿宋_GB2312" w:cs="Nimbus Roman No9 L"/>
          <w:kern w:val="2"/>
          <w:sz w:val="32"/>
          <w:szCs w:val="32"/>
          <w:lang w:val="en-US" w:eastAsia="zh-CN" w:bidi="ar-SA"/>
        </w:rPr>
      </w:pPr>
      <w:r>
        <w:rPr>
          <w:rFonts w:hint="default" w:ascii="仿宋_GB2312" w:hAnsi="Nimbus Roman No9 L" w:eastAsia="仿宋_GB2312" w:cs="Nimbus Roman No9 L"/>
          <w:kern w:val="2"/>
          <w:sz w:val="32"/>
          <w:szCs w:val="32"/>
          <w:lang w:val="en-US" w:eastAsia="zh-CN" w:bidi="ar-SA"/>
        </w:rPr>
        <w:t>（</w:t>
      </w:r>
      <w:r>
        <w:rPr>
          <w:rFonts w:hint="eastAsia" w:ascii="仿宋_GB2312" w:hAnsi="Nimbus Roman No9 L" w:eastAsia="仿宋_GB2312" w:cs="Nimbus Roman No9 L"/>
          <w:kern w:val="2"/>
          <w:sz w:val="32"/>
          <w:szCs w:val="32"/>
          <w:lang w:val="en-US" w:eastAsia="zh-CN" w:bidi="ar-SA"/>
        </w:rPr>
        <w:t>二</w:t>
      </w:r>
      <w:r>
        <w:rPr>
          <w:rFonts w:hint="default" w:ascii="仿宋_GB2312" w:hAnsi="Nimbus Roman No9 L" w:eastAsia="仿宋_GB2312" w:cs="Nimbus Roman No9 L"/>
          <w:kern w:val="2"/>
          <w:sz w:val="32"/>
          <w:szCs w:val="32"/>
          <w:lang w:val="en-US" w:eastAsia="zh-CN" w:bidi="ar-SA"/>
        </w:rPr>
        <w:t>）各拌合站露天临时堆放的砂石料已采取了苫盖措施，对施工道路定期洒水抑尘。</w:t>
      </w:r>
    </w:p>
    <w:p w14:paraId="21D98862">
      <w:pPr>
        <w:pStyle w:val="5"/>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640" w:firstLineChars="200"/>
        <w:jc w:val="both"/>
        <w:textAlignment w:val="auto"/>
        <w:rPr>
          <w:rFonts w:hint="default" w:ascii="仿宋_GB2312" w:hAnsi="Nimbus Roman No9 L" w:eastAsia="仿宋_GB2312" w:cs="Nimbus Roman No9 L"/>
          <w:kern w:val="2"/>
          <w:sz w:val="32"/>
          <w:szCs w:val="32"/>
          <w:lang w:val="en-US" w:eastAsia="zh-CN" w:bidi="ar-SA"/>
        </w:rPr>
      </w:pPr>
      <w:r>
        <w:rPr>
          <w:rFonts w:hint="default" w:ascii="仿宋_GB2312" w:hAnsi="Nimbus Roman No9 L" w:eastAsia="仿宋_GB2312" w:cs="Nimbus Roman No9 L"/>
          <w:kern w:val="2"/>
          <w:sz w:val="32"/>
          <w:szCs w:val="32"/>
          <w:lang w:val="en-US" w:eastAsia="zh-CN" w:bidi="ar-SA"/>
        </w:rPr>
        <w:t>（</w:t>
      </w:r>
      <w:r>
        <w:rPr>
          <w:rFonts w:hint="eastAsia" w:ascii="仿宋_GB2312" w:hAnsi="Nimbus Roman No9 L" w:eastAsia="仿宋_GB2312" w:cs="Nimbus Roman No9 L"/>
          <w:kern w:val="2"/>
          <w:sz w:val="32"/>
          <w:szCs w:val="32"/>
          <w:lang w:val="en-US" w:eastAsia="zh-CN" w:bidi="ar-SA"/>
        </w:rPr>
        <w:t>三</w:t>
      </w:r>
      <w:r>
        <w:rPr>
          <w:rFonts w:hint="default" w:ascii="仿宋_GB2312" w:hAnsi="Nimbus Roman No9 L" w:eastAsia="仿宋_GB2312" w:cs="Nimbus Roman No9 L"/>
          <w:kern w:val="2"/>
          <w:sz w:val="32"/>
          <w:szCs w:val="32"/>
          <w:lang w:val="en-US" w:eastAsia="zh-CN" w:bidi="ar-SA"/>
        </w:rPr>
        <w:t>）县生态环境</w:t>
      </w:r>
      <w:r>
        <w:rPr>
          <w:rFonts w:hint="eastAsia" w:ascii="仿宋_GB2312" w:hAnsi="Nimbus Roman No9 L" w:eastAsia="仿宋_GB2312" w:cs="Nimbus Roman No9 L"/>
          <w:kern w:val="2"/>
          <w:sz w:val="32"/>
          <w:szCs w:val="32"/>
          <w:lang w:val="en-US" w:eastAsia="zh-CN" w:bidi="ar-SA"/>
        </w:rPr>
        <w:t>分</w:t>
      </w:r>
      <w:r>
        <w:rPr>
          <w:rFonts w:hint="default" w:ascii="仿宋_GB2312" w:hAnsi="Nimbus Roman No9 L" w:eastAsia="仿宋_GB2312" w:cs="Nimbus Roman No9 L"/>
          <w:kern w:val="2"/>
          <w:sz w:val="32"/>
          <w:szCs w:val="32"/>
          <w:lang w:val="en-US" w:eastAsia="zh-CN" w:bidi="ar-SA"/>
        </w:rPr>
        <w:t>局每月对高铁沿线拌合站开展监督检查，形成常态化监管。</w:t>
      </w:r>
    </w:p>
    <w:p w14:paraId="212FCA0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楷体" w:hAnsi="楷体" w:eastAsia="楷体" w:cs="楷体"/>
          <w:b/>
          <w:bCs/>
          <w:sz w:val="32"/>
          <w:szCs w:val="32"/>
          <w:lang w:val="en-US" w:eastAsia="zh-CN"/>
        </w:rPr>
      </w:pPr>
      <w:r>
        <w:rPr>
          <w:rFonts w:hint="eastAsia" w:ascii="楷体_GB2312" w:hAnsi="Nimbus Roman No9 L" w:eastAsia="楷体_GB2312" w:cs="Nimbus Roman No9 L"/>
          <w:b/>
          <w:sz w:val="32"/>
          <w:szCs w:val="32"/>
          <w:lang w:val="en-US" w:eastAsia="zh-CN"/>
        </w:rPr>
        <w:t>25.</w:t>
      </w:r>
      <w:r>
        <w:rPr>
          <w:rFonts w:hint="default" w:ascii="楷体" w:hAnsi="楷体" w:eastAsia="楷体" w:cs="楷体"/>
          <w:b/>
          <w:bCs/>
          <w:sz w:val="32"/>
          <w:szCs w:val="32"/>
          <w:lang w:val="en-US" w:eastAsia="zh-CN"/>
        </w:rPr>
        <w:t>磴口金牛电厂未落实灰渣和脱硫石膏全部综合利用的环评批复要求，将灰渣和脱硫石膏填埋在磴口工业园区工业固废填埋场及可利用工业废渣堆场（一期），填埋场超库容运行。</w:t>
      </w:r>
    </w:p>
    <w:p w14:paraId="1980CCE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rPr>
          <w:rFonts w:hint="eastAsia" w:eastAsia="黑体"/>
          <w:sz w:val="32"/>
          <w:szCs w:val="32"/>
          <w:lang w:eastAsia="zh-CN"/>
        </w:rPr>
      </w:pPr>
      <w:r>
        <w:rPr>
          <w:rFonts w:hint="eastAsia" w:ascii="黑体" w:hAnsi="黑体" w:eastAsia="黑体" w:cs="黑体"/>
          <w:b w:val="0"/>
          <w:bCs/>
          <w:sz w:val="32"/>
          <w:szCs w:val="32"/>
        </w:rPr>
        <w:t>整改进展情况：已完成整改，长期坚持</w:t>
      </w:r>
      <w:r>
        <w:rPr>
          <w:rFonts w:hint="eastAsia" w:ascii="黑体" w:hAnsi="黑体" w:eastAsia="黑体" w:cs="黑体"/>
          <w:b w:val="0"/>
          <w:bCs/>
          <w:sz w:val="32"/>
          <w:szCs w:val="32"/>
          <w:lang w:eastAsia="zh-CN"/>
        </w:rPr>
        <w:t>（整改时限：</w:t>
      </w:r>
      <w:r>
        <w:rPr>
          <w:rFonts w:hint="eastAsia" w:ascii="黑体" w:hAnsi="黑体" w:eastAsia="黑体" w:cs="黑体"/>
          <w:b w:val="0"/>
          <w:bCs/>
          <w:sz w:val="32"/>
          <w:szCs w:val="32"/>
          <w:lang w:val="en-US" w:eastAsia="zh-CN"/>
        </w:rPr>
        <w:t>2024年12月底前</w:t>
      </w:r>
      <w:r>
        <w:rPr>
          <w:rFonts w:hint="eastAsia" w:ascii="黑体" w:hAnsi="黑体" w:eastAsia="黑体" w:cs="黑体"/>
          <w:b w:val="0"/>
          <w:bCs/>
          <w:sz w:val="32"/>
          <w:szCs w:val="32"/>
          <w:lang w:eastAsia="zh-CN"/>
        </w:rPr>
        <w:t>）</w:t>
      </w:r>
    </w:p>
    <w:p w14:paraId="2D93C100">
      <w:pPr>
        <w:pStyle w:val="5"/>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方正仿宋_GB2312" w:hAnsi="方正仿宋_GB2312" w:eastAsia="方正仿宋_GB2312" w:cs="方正仿宋_GB2312"/>
          <w:color w:val="auto"/>
          <w:kern w:val="2"/>
          <w:sz w:val="32"/>
          <w:szCs w:val="32"/>
          <w:highlight w:val="none"/>
          <w:u w:val="none"/>
          <w:lang w:val="en-US" w:eastAsia="zh-CN" w:bidi="ar-SA"/>
        </w:rPr>
      </w:pPr>
      <w:r>
        <w:rPr>
          <w:rFonts w:hint="eastAsia" w:ascii="方正仿宋_GB2312" w:hAnsi="方正仿宋_GB2312" w:eastAsia="方正仿宋_GB2312" w:cs="方正仿宋_GB2312"/>
          <w:color w:val="auto"/>
          <w:kern w:val="2"/>
          <w:sz w:val="32"/>
          <w:szCs w:val="32"/>
          <w:highlight w:val="none"/>
          <w:u w:val="none"/>
          <w:lang w:val="en-US" w:eastAsia="zh-CN" w:bidi="ar-SA"/>
        </w:rPr>
        <w:t>（一）</w:t>
      </w:r>
      <w:r>
        <w:rPr>
          <w:rFonts w:hint="eastAsia" w:ascii="方正仿宋_GB2312" w:hAnsi="方正仿宋_GB2312" w:eastAsia="方正仿宋_GB2312" w:cs="方正仿宋_GB2312"/>
          <w:b w:val="0"/>
          <w:bCs w:val="0"/>
          <w:sz w:val="32"/>
          <w:szCs w:val="32"/>
          <w:lang w:val="en-US" w:eastAsia="zh-CN"/>
        </w:rPr>
        <w:t>磴口金牛电厂</w:t>
      </w:r>
      <w:r>
        <w:rPr>
          <w:rFonts w:hint="eastAsia" w:ascii="方正仿宋_GB2312" w:hAnsi="方正仿宋_GB2312" w:eastAsia="方正仿宋_GB2312" w:cs="方正仿宋_GB2312"/>
          <w:b w:val="0"/>
          <w:bCs w:val="0"/>
          <w:color w:val="auto"/>
          <w:kern w:val="2"/>
          <w:sz w:val="32"/>
          <w:szCs w:val="32"/>
          <w:highlight w:val="none"/>
          <w:u w:val="none"/>
          <w:lang w:val="en-US" w:eastAsia="zh-CN" w:bidi="ar-SA"/>
        </w:rPr>
        <w:t>对固</w:t>
      </w:r>
      <w:r>
        <w:rPr>
          <w:rFonts w:hint="eastAsia" w:ascii="方正仿宋_GB2312" w:hAnsi="方正仿宋_GB2312" w:eastAsia="方正仿宋_GB2312" w:cs="方正仿宋_GB2312"/>
          <w:color w:val="auto"/>
          <w:kern w:val="2"/>
          <w:sz w:val="32"/>
          <w:szCs w:val="32"/>
          <w:highlight w:val="none"/>
          <w:u w:val="none"/>
          <w:lang w:val="en-US" w:eastAsia="zh-CN" w:bidi="ar-SA"/>
        </w:rPr>
        <w:t>废渣场一期实施了边坡固化扩容工程，共计固化台阶69722米。</w:t>
      </w:r>
    </w:p>
    <w:p w14:paraId="66553543">
      <w:pPr>
        <w:pStyle w:val="5"/>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方正仿宋_GB2312" w:hAnsi="方正仿宋_GB2312" w:eastAsia="方正仿宋_GB2312" w:cs="方正仿宋_GB2312"/>
          <w:b/>
          <w:bCs/>
          <w:color w:val="auto"/>
          <w:kern w:val="2"/>
          <w:sz w:val="32"/>
          <w:szCs w:val="32"/>
          <w:highlight w:val="none"/>
          <w:u w:val="none"/>
          <w:lang w:val="en-US" w:eastAsia="zh-CN" w:bidi="ar-SA"/>
        </w:rPr>
      </w:pPr>
      <w:r>
        <w:rPr>
          <w:rFonts w:hint="eastAsia" w:ascii="方正仿宋_GB2312" w:hAnsi="方正仿宋_GB2312" w:eastAsia="方正仿宋_GB2312" w:cs="方正仿宋_GB2312"/>
          <w:color w:val="auto"/>
          <w:kern w:val="2"/>
          <w:sz w:val="32"/>
          <w:szCs w:val="32"/>
          <w:highlight w:val="none"/>
          <w:u w:val="none"/>
          <w:lang w:val="en-US" w:eastAsia="zh-CN" w:bidi="ar-SA"/>
        </w:rPr>
        <w:t>（二）与团羊水泥、西蒙水泥、乌拉特后旗祺祥建材公司、巴彦淖尔市新恩建材公司、磴口县弘扬建材公司及国道110线改线工程签订粉煤灰销售合同，已销售粉煤灰72.72万吨。</w:t>
      </w:r>
    </w:p>
    <w:p w14:paraId="689652F7">
      <w:pPr>
        <w:rPr>
          <w:rFonts w:hint="eastAsia" w:eastAsia="宋体"/>
          <w:lang w:val="en-US" w:eastAsia="zh-CN"/>
        </w:rPr>
      </w:pPr>
    </w:p>
    <w:sectPr>
      <w:footerReference r:id="rId3" w:type="default"/>
      <w:pgSz w:w="11906" w:h="16838"/>
      <w:pgMar w:top="2098" w:right="1474" w:bottom="1985"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1E189F-780F-4AC6-A42E-92976FC890C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1AEA9C7E-F867-4C25-83BD-5E061C31ED7F}"/>
  </w:font>
  <w:font w:name="Cambria">
    <w:panose1 w:val="02040503050406030204"/>
    <w:charset w:val="00"/>
    <w:family w:val="roman"/>
    <w:pitch w:val="default"/>
    <w:sig w:usb0="E00002FF" w:usb1="400004FF" w:usb2="00000000"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方正仿宋简体">
    <w:altName w:val="微软雅黑"/>
    <w:panose1 w:val="02000000000000000000"/>
    <w:charset w:val="86"/>
    <w:family w:val="auto"/>
    <w:pitch w:val="default"/>
    <w:sig w:usb0="00000000" w:usb1="00000000" w:usb2="00000012" w:usb3="00000000" w:csb0="00040001" w:csb1="00000000"/>
    <w:embedRegular r:id="rId3" w:fontKey="{2DB16E47-0818-4F08-A488-FA8E03311219}"/>
  </w:font>
  <w:font w:name="微软雅黑">
    <w:panose1 w:val="020B0503020204020204"/>
    <w:charset w:val="86"/>
    <w:family w:val="auto"/>
    <w:pitch w:val="default"/>
    <w:sig w:usb0="80000287" w:usb1="280F3C52" w:usb2="00000016" w:usb3="00000000" w:csb0="0004001F" w:csb1="00000000"/>
    <w:embedRegular r:id="rId4" w:fontKey="{43511187-FE06-49AC-9A2C-17A96DC130B0}"/>
  </w:font>
  <w:font w:name="仿宋_GB2312">
    <w:altName w:val="仿宋"/>
    <w:panose1 w:val="02010609030101010101"/>
    <w:charset w:val="86"/>
    <w:family w:val="modern"/>
    <w:pitch w:val="default"/>
    <w:sig w:usb0="00000000" w:usb1="00000000" w:usb2="00000000" w:usb3="00000000" w:csb0="00040000" w:csb1="00000000"/>
    <w:embedRegular r:id="rId5" w:fontKey="{D2DA8B3C-E25F-4B04-9312-CA6F30E6D85B}"/>
  </w:font>
  <w:font w:name="仿宋">
    <w:panose1 w:val="02010609060101010101"/>
    <w:charset w:val="86"/>
    <w:family w:val="auto"/>
    <w:pitch w:val="default"/>
    <w:sig w:usb0="800002BF" w:usb1="38CF7CFA" w:usb2="00000016" w:usb3="00000000" w:csb0="00040001" w:csb1="00000000"/>
  </w:font>
  <w:font w:name="Nimbus Roman No9 L">
    <w:altName w:val="微软雅黑"/>
    <w:panose1 w:val="00000000000000000000"/>
    <w:charset w:val="00"/>
    <w:family w:val="auto"/>
    <w:pitch w:val="default"/>
    <w:sig w:usb0="00000000" w:usb1="00000000" w:usb2="00000000" w:usb3="00000000" w:csb0="00040001" w:csb1="00000000"/>
    <w:embedRegular r:id="rId6" w:fontKey="{4118BC53-CEF3-4E52-ADDF-8CB9ED9D7644}"/>
  </w:font>
  <w:font w:name="楷体_GB2312">
    <w:altName w:val="楷体"/>
    <w:panose1 w:val="02010609030101010101"/>
    <w:charset w:val="86"/>
    <w:family w:val="modern"/>
    <w:pitch w:val="default"/>
    <w:sig w:usb0="00000000" w:usb1="00000000" w:usb2="00000000" w:usb3="00000000" w:csb0="00040000" w:csb1="00000000"/>
    <w:embedRegular r:id="rId7" w:fontKey="{DAD025C7-5E41-4009-AF63-6A7FE04F71D8}"/>
  </w:font>
  <w:font w:name="楷体">
    <w:panose1 w:val="02010609060101010101"/>
    <w:charset w:val="86"/>
    <w:family w:val="auto"/>
    <w:pitch w:val="default"/>
    <w:sig w:usb0="800002BF" w:usb1="38CF7CFA" w:usb2="00000016" w:usb3="00000000" w:csb0="00040001" w:csb1="00000000"/>
    <w:embedRegular r:id="rId8" w:fontKey="{22B64D08-29F0-46EA-8DB9-7066C769E261}"/>
  </w:font>
  <w:font w:name="方正仿宋_GB2312">
    <w:panose1 w:val="02000000000000000000"/>
    <w:charset w:val="86"/>
    <w:family w:val="auto"/>
    <w:pitch w:val="default"/>
    <w:sig w:usb0="A00002BF" w:usb1="184F6CFA" w:usb2="00000012" w:usb3="00000000" w:csb0="00040001" w:csb1="00000000"/>
    <w:embedRegular r:id="rId9" w:fontKey="{F4E6FF33-904F-4D00-BEA8-1907C0BE9431}"/>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D18B8">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035E4A">
                          <w:pPr>
                            <w:pStyle w:val="6"/>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PAGE  \* MERGEFORMAT </w:instrText>
                          </w:r>
                          <w:r>
                            <w:rPr>
                              <w:rFonts w:hint="eastAsia" w:ascii="宋体" w:hAnsi="宋体" w:cs="宋体"/>
                              <w:sz w:val="24"/>
                            </w:rPr>
                            <w:fldChar w:fldCharType="separate"/>
                          </w:r>
                          <w:r>
                            <w:rPr>
                              <w:rFonts w:ascii="宋体" w:hAnsi="宋体" w:cs="宋体"/>
                              <w:sz w:val="24"/>
                            </w:rPr>
                            <w:t>- 20 -</w:t>
                          </w:r>
                          <w:r>
                            <w:rPr>
                              <w:rFonts w:hint="eastAsia" w:ascii="宋体" w:hAnsi="宋体" w:cs="宋体"/>
                              <w:sz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9035E4A">
                    <w:pPr>
                      <w:pStyle w:val="6"/>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PAGE  \* MERGEFORMAT </w:instrText>
                    </w:r>
                    <w:r>
                      <w:rPr>
                        <w:rFonts w:hint="eastAsia" w:ascii="宋体" w:hAnsi="宋体" w:cs="宋体"/>
                        <w:sz w:val="24"/>
                      </w:rPr>
                      <w:fldChar w:fldCharType="separate"/>
                    </w:r>
                    <w:r>
                      <w:rPr>
                        <w:rFonts w:ascii="宋体" w:hAnsi="宋体" w:cs="宋体"/>
                        <w:sz w:val="24"/>
                      </w:rPr>
                      <w:t>- 20 -</w:t>
                    </w:r>
                    <w:r>
                      <w:rPr>
                        <w:rFonts w:hint="eastAsia" w:ascii="宋体" w:hAnsi="宋体" w:cs="宋体"/>
                        <w:sz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0A66AF"/>
    <w:rsid w:val="16816FD1"/>
    <w:rsid w:val="1C166ABB"/>
    <w:rsid w:val="22F10EAE"/>
    <w:rsid w:val="2F366DBC"/>
    <w:rsid w:val="410A1661"/>
    <w:rsid w:val="433A027D"/>
    <w:rsid w:val="4B1771FE"/>
    <w:rsid w:val="4FDA1833"/>
    <w:rsid w:val="51644226"/>
    <w:rsid w:val="51750D79"/>
    <w:rsid w:val="520C20E2"/>
    <w:rsid w:val="61F35033"/>
    <w:rsid w:val="66D103A8"/>
    <w:rsid w:val="6C6501B5"/>
    <w:rsid w:val="70550D26"/>
    <w:rsid w:val="7A4A4FB0"/>
    <w:rsid w:val="7BC3587E"/>
    <w:rsid w:val="7EA420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mbria" w:hAnsi="Cambria" w:eastAsia="宋体" w:cs="Times New Roman"/>
      <w:b/>
      <w:bCs/>
      <w:sz w:val="32"/>
      <w:szCs w:val="32"/>
    </w:rPr>
  </w:style>
  <w:style w:type="paragraph" w:styleId="3">
    <w:name w:val="Body Text"/>
    <w:basedOn w:val="1"/>
    <w:next w:val="4"/>
    <w:unhideWhenUsed/>
    <w:qFormat/>
    <w:uiPriority w:val="99"/>
    <w:pPr>
      <w:widowControl w:val="0"/>
      <w:spacing w:after="120"/>
      <w:jc w:val="both"/>
    </w:pPr>
    <w:rPr>
      <w:rFonts w:ascii="Times New Roman" w:hAnsi="Times New Roman" w:eastAsia="宋体" w:cs="Times New Roman"/>
      <w:kern w:val="2"/>
      <w:sz w:val="21"/>
      <w:szCs w:val="21"/>
      <w:lang w:val="en-US" w:eastAsia="zh-CN" w:bidi="ar-SA"/>
    </w:rPr>
  </w:style>
  <w:style w:type="paragraph" w:styleId="4">
    <w:name w:val="Normal (Web)"/>
    <w:basedOn w:val="1"/>
    <w:next w:val="5"/>
    <w:qFormat/>
    <w:uiPriority w:val="0"/>
    <w:rPr>
      <w:sz w:val="24"/>
    </w:rPr>
  </w:style>
  <w:style w:type="paragraph" w:styleId="5">
    <w:name w:val="Body Text First Indent"/>
    <w:basedOn w:val="3"/>
    <w:next w:val="1"/>
    <w:qFormat/>
    <w:uiPriority w:val="0"/>
    <w:pPr>
      <w:ind w:firstLine="420" w:firstLineChars="100"/>
    </w:pPr>
  </w:style>
  <w:style w:type="paragraph" w:styleId="6">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2169</Words>
  <Characters>2265</Characters>
  <Lines>0</Lines>
  <Paragraphs>0</Paragraphs>
  <TotalTime>14</TotalTime>
  <ScaleCrop>false</ScaleCrop>
  <LinksUpToDate>false</LinksUpToDate>
  <CharactersWithSpaces>2265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2025-12-29T03:21:00Z</dcterms:created>
  <dc:creator>Administrator</dc:creator>
  <cp:lastModifiedBy>WPS_1729516128</cp:lastModifiedBy>
  <dcterms:modified xsi:type="dcterms:W3CDTF">2026-01-07T01:50:48Z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eyJoZGlkIjoiYmJjMDQ0NzZmODI3MjA5ZmU1MDEyZDlmN2RmMTVlZWQiLCJ1c2VySWQiOiIxNjQ2Njg3NTM2In0=</vt:lpwstr>
  </property>
  <property fmtid="{D5CDD505-2E9C-101B-9397-08002B2CF9AE}" pid="4" name="ICV">
    <vt:lpwstr>B7CEBDCB9BD24DFAAA2799EB2FB26B83_13</vt:lpwstr>
  </property>
</Properties>
</file>