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pStyle w:val="2"/>
        <w:ind w:firstLine="440"/>
        <w:rPr>
          <w:rFonts w:ascii="方正小标宋简体" w:hAnsi="方正小标宋简体" w:eastAsia="方正小标宋简体" w:cs="方正小标宋简体"/>
          <w:sz w:val="44"/>
          <w:szCs w:val="44"/>
        </w:rPr>
      </w:pPr>
    </w:p>
    <w:p>
      <w:pPr>
        <w:pStyle w:val="2"/>
        <w:ind w:firstLine="440"/>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磴口县安全生产委员会</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关于印发《磴口县交通运输安全应急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“十四五”发展规划》的通知</w:t>
      </w:r>
    </w:p>
    <w:p>
      <w:pPr>
        <w:spacing w:line="560" w:lineRule="exact"/>
        <w:rPr>
          <w:rFonts w:ascii="宋体" w:hAnsi="宋体" w:eastAsia="宋体" w:cs="宋体"/>
          <w:sz w:val="32"/>
          <w:szCs w:val="32"/>
        </w:rPr>
      </w:pPr>
      <w:r>
        <w:rPr>
          <w:rFonts w:hint="eastAsia" w:ascii="宋体" w:hAnsi="宋体" w:eastAsia="宋体" w:cs="宋体"/>
          <w:sz w:val="32"/>
          <w:szCs w:val="32"/>
        </w:rPr>
        <w:t>各苏木镇、农场公司，交通运输局，交警队，巴彦淖尔市交通运输综合行政执法支队磴口大队，巴彦淖尔市道路运输事业发展中心磴口所：</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现将《磴口县交通运输安全应急“十四五”发展规划》印发给你们，请各单位认真贯彻落实</w:t>
      </w:r>
    </w:p>
    <w:p>
      <w:pPr>
        <w:spacing w:line="560" w:lineRule="exact"/>
        <w:ind w:firstLine="320" w:firstLineChars="100"/>
        <w:rPr>
          <w:rFonts w:ascii="宋体" w:hAnsi="宋体" w:eastAsia="宋体" w:cs="宋体"/>
          <w:sz w:val="32"/>
          <w:szCs w:val="32"/>
        </w:rPr>
      </w:pPr>
    </w:p>
    <w:p>
      <w:pPr>
        <w:spacing w:line="560" w:lineRule="exact"/>
        <w:ind w:firstLine="320" w:firstLineChars="100"/>
        <w:rPr>
          <w:rFonts w:ascii="宋体" w:hAnsi="宋体" w:eastAsia="宋体" w:cs="宋体"/>
          <w:sz w:val="32"/>
          <w:szCs w:val="32"/>
        </w:rPr>
      </w:pPr>
    </w:p>
    <w:p>
      <w:pPr>
        <w:spacing w:line="560" w:lineRule="exact"/>
        <w:ind w:firstLine="320" w:firstLineChars="100"/>
        <w:rPr>
          <w:rFonts w:ascii="宋体" w:hAnsi="宋体" w:eastAsia="宋体" w:cs="宋体"/>
          <w:sz w:val="32"/>
          <w:szCs w:val="32"/>
        </w:rPr>
      </w:pPr>
    </w:p>
    <w:p>
      <w:pPr>
        <w:spacing w:line="560" w:lineRule="exact"/>
        <w:ind w:firstLine="2880" w:firstLineChars="900"/>
        <w:rPr>
          <w:rFonts w:ascii="宋体" w:hAnsi="宋体" w:eastAsia="宋体" w:cs="宋体"/>
          <w:sz w:val="32"/>
          <w:szCs w:val="32"/>
        </w:rPr>
      </w:pPr>
      <w:r>
        <w:rPr>
          <w:rFonts w:hint="eastAsia" w:ascii="宋体" w:hAnsi="宋体" w:eastAsia="宋体" w:cs="宋体"/>
          <w:sz w:val="32"/>
          <w:szCs w:val="32"/>
        </w:rPr>
        <w:t>磴口县安全生产委员会</w:t>
      </w:r>
    </w:p>
    <w:p>
      <w:pPr>
        <w:pStyle w:val="2"/>
        <w:spacing w:line="560" w:lineRule="exact"/>
        <w:ind w:firstLine="3200" w:firstLineChars="1000"/>
      </w:pPr>
      <w:r>
        <w:rPr>
          <w:rFonts w:hint="eastAsia" w:ascii="宋体" w:hAnsi="宋体" w:eastAsia="宋体" w:cs="宋体"/>
          <w:sz w:val="32"/>
          <w:szCs w:val="32"/>
        </w:rPr>
        <w:t>2022年3月28日</w:t>
      </w:r>
    </w:p>
    <w:p>
      <w:pPr>
        <w:pStyle w:val="2"/>
        <w:ind w:firstLine="210"/>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磴口县交通运输安全应急</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“十四五”发展规划</w:t>
      </w:r>
    </w:p>
    <w:p>
      <w:pPr>
        <w:pStyle w:val="2"/>
        <w:ind w:firstLine="210"/>
      </w:pPr>
    </w:p>
    <w:p>
      <w:pPr>
        <w:spacing w:line="56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spacing w:line="560" w:lineRule="exact"/>
        <w:ind w:firstLine="2880" w:firstLineChars="900"/>
        <w:rPr>
          <w:rFonts w:ascii="宋体" w:hAnsi="宋体" w:eastAsia="宋体" w:cs="宋体"/>
          <w:sz w:val="32"/>
          <w:szCs w:val="32"/>
        </w:rPr>
      </w:pPr>
      <w:r>
        <w:rPr>
          <w:rFonts w:hint="eastAsia" w:ascii="宋体" w:hAnsi="宋体" w:eastAsia="宋体" w:cs="宋体"/>
          <w:sz w:val="32"/>
          <w:szCs w:val="32"/>
        </w:rPr>
        <w:t>磴口县安全生产委员会</w:t>
      </w:r>
    </w:p>
    <w:p>
      <w:pPr>
        <w:pStyle w:val="2"/>
        <w:ind w:firstLine="320"/>
        <w:jc w:val="center"/>
        <w:rPr>
          <w:rFonts w:ascii="宋体" w:hAnsi="宋体" w:eastAsia="宋体" w:cs="宋体"/>
          <w:sz w:val="32"/>
          <w:szCs w:val="32"/>
        </w:rPr>
      </w:pPr>
      <w:r>
        <w:rPr>
          <w:rFonts w:hint="eastAsia" w:ascii="宋体" w:hAnsi="宋体" w:eastAsia="宋体" w:cs="宋体"/>
          <w:sz w:val="32"/>
          <w:szCs w:val="32"/>
        </w:rPr>
        <w:t>2022年3月</w:t>
      </w: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pStyle w:val="2"/>
        <w:ind w:firstLine="440"/>
        <w:rPr>
          <w:rFonts w:ascii="宋体" w:hAnsi="宋体" w:eastAsia="宋体" w:cs="宋体"/>
          <w:sz w:val="44"/>
          <w:szCs w:val="44"/>
        </w:rPr>
      </w:pPr>
    </w:p>
    <w:p>
      <w:pPr>
        <w:spacing w:line="560" w:lineRule="exact"/>
        <w:jc w:val="center"/>
        <w:rPr>
          <w:rFonts w:hint="eastAsia" w:ascii="宋体" w:hAnsi="宋体" w:eastAsia="宋体" w:cs="宋体"/>
          <w:sz w:val="32"/>
          <w:szCs w:val="32"/>
        </w:rPr>
      </w:pPr>
    </w:p>
    <w:p>
      <w:pPr>
        <w:spacing w:line="560" w:lineRule="exact"/>
        <w:jc w:val="center"/>
        <w:rPr>
          <w:rFonts w:hint="eastAsia" w:ascii="宋体" w:hAnsi="宋体" w:eastAsia="宋体" w:cs="宋体"/>
          <w:sz w:val="32"/>
          <w:szCs w:val="32"/>
        </w:rPr>
      </w:pPr>
    </w:p>
    <w:p>
      <w:pPr>
        <w:spacing w:line="560" w:lineRule="exact"/>
        <w:jc w:val="center"/>
        <w:rPr>
          <w:rFonts w:ascii="宋体" w:hAnsi="宋体" w:eastAsia="宋体" w:cs="宋体"/>
          <w:sz w:val="32"/>
          <w:szCs w:val="32"/>
        </w:rPr>
      </w:pPr>
      <w:r>
        <w:rPr>
          <w:rFonts w:hint="eastAsia" w:ascii="宋体" w:hAnsi="宋体" w:eastAsia="宋体" w:cs="宋体"/>
          <w:sz w:val="32"/>
          <w:szCs w:val="32"/>
        </w:rPr>
        <w:t>目录</w:t>
      </w:r>
    </w:p>
    <w:p>
      <w:pPr>
        <w:spacing w:line="800" w:lineRule="exact"/>
        <w:rPr>
          <w:rFonts w:ascii="宋体" w:hAnsi="宋体" w:eastAsia="宋体" w:cs="宋体"/>
          <w:sz w:val="32"/>
          <w:szCs w:val="32"/>
        </w:rPr>
      </w:pPr>
      <w:r>
        <w:rPr>
          <w:rFonts w:hint="eastAsia" w:ascii="宋体" w:hAnsi="宋体" w:eastAsia="宋体" w:cs="宋体"/>
          <w:sz w:val="32"/>
          <w:szCs w:val="32"/>
        </w:rPr>
        <w:t>一、指导思想......................................3</w:t>
      </w:r>
    </w:p>
    <w:p>
      <w:pPr>
        <w:spacing w:line="800" w:lineRule="exact"/>
        <w:rPr>
          <w:rFonts w:ascii="宋体" w:hAnsi="宋体" w:eastAsia="宋体" w:cs="宋体"/>
          <w:sz w:val="32"/>
          <w:szCs w:val="32"/>
        </w:rPr>
      </w:pPr>
      <w:r>
        <w:rPr>
          <w:rFonts w:hint="eastAsia" w:ascii="宋体" w:hAnsi="宋体" w:eastAsia="宋体" w:cs="宋体"/>
          <w:sz w:val="32"/>
          <w:szCs w:val="32"/>
        </w:rPr>
        <w:t>二、规划原则......................................3</w:t>
      </w:r>
    </w:p>
    <w:p>
      <w:pPr>
        <w:spacing w:line="800" w:lineRule="exact"/>
        <w:rPr>
          <w:rFonts w:ascii="宋体" w:hAnsi="宋体" w:eastAsia="宋体" w:cs="宋体"/>
          <w:sz w:val="44"/>
          <w:szCs w:val="44"/>
        </w:rPr>
      </w:pPr>
      <w:r>
        <w:rPr>
          <w:rFonts w:hint="eastAsia" w:ascii="宋体" w:hAnsi="宋体" w:eastAsia="宋体" w:cs="宋体"/>
          <w:sz w:val="32"/>
          <w:szCs w:val="32"/>
        </w:rPr>
        <w:t>三、规划目标......................................4</w:t>
      </w:r>
    </w:p>
    <w:p>
      <w:pPr>
        <w:spacing w:line="800" w:lineRule="exact"/>
        <w:ind w:firstLine="640" w:firstLineChars="200"/>
        <w:rPr>
          <w:rFonts w:ascii="宋体" w:hAnsi="宋体" w:eastAsia="宋体" w:cs="宋体"/>
          <w:sz w:val="32"/>
          <w:szCs w:val="32"/>
        </w:rPr>
      </w:pPr>
      <w:r>
        <w:rPr>
          <w:rFonts w:hint="eastAsia" w:ascii="宋体" w:hAnsi="宋体" w:eastAsia="宋体" w:cs="宋体"/>
          <w:sz w:val="32"/>
          <w:szCs w:val="32"/>
        </w:rPr>
        <w:t>1.总目标......................................4</w:t>
      </w:r>
    </w:p>
    <w:p>
      <w:pPr>
        <w:spacing w:line="800" w:lineRule="exact"/>
        <w:ind w:firstLine="640" w:firstLineChars="200"/>
        <w:rPr>
          <w:rFonts w:ascii="宋体" w:hAnsi="宋体" w:eastAsia="宋体" w:cs="宋体"/>
          <w:sz w:val="32"/>
          <w:szCs w:val="32"/>
        </w:rPr>
      </w:pPr>
      <w:r>
        <w:rPr>
          <w:rFonts w:hint="eastAsia" w:ascii="宋体" w:hAnsi="宋体" w:eastAsia="宋体" w:cs="宋体"/>
          <w:sz w:val="32"/>
          <w:szCs w:val="32"/>
        </w:rPr>
        <w:t>2.具体目标....................................4</w:t>
      </w:r>
    </w:p>
    <w:p>
      <w:pPr>
        <w:spacing w:line="800" w:lineRule="exact"/>
        <w:rPr>
          <w:rFonts w:ascii="宋体" w:hAnsi="宋体" w:eastAsia="宋体" w:cs="宋体"/>
          <w:sz w:val="44"/>
          <w:szCs w:val="44"/>
        </w:rPr>
      </w:pPr>
      <w:r>
        <w:rPr>
          <w:rFonts w:hint="eastAsia" w:ascii="宋体" w:hAnsi="宋体" w:eastAsia="宋体" w:cs="宋体"/>
          <w:sz w:val="32"/>
          <w:szCs w:val="32"/>
        </w:rPr>
        <w:t>四、规划任务......................................5</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（一）加强法规制度建设，提升依法监管水平........5</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（二）加强责任体系建设，强化各方责任落实........5</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（三）加强双控机制建设，提高事故防控能力........7</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（四）加强基础设施建设，推动实现本质安全........9</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（五）加强安全科技建设，推进科技兴安战略.......12</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（六）加强安全文化建设，营造安全良好氛围.......13</w:t>
      </w:r>
    </w:p>
    <w:p>
      <w:pPr>
        <w:spacing w:line="800" w:lineRule="exact"/>
        <w:ind w:firstLine="320" w:firstLineChars="100"/>
        <w:rPr>
          <w:rFonts w:ascii="宋体" w:hAnsi="宋体" w:eastAsia="宋体" w:cs="宋体"/>
          <w:sz w:val="44"/>
          <w:szCs w:val="44"/>
        </w:rPr>
      </w:pPr>
      <w:r>
        <w:rPr>
          <w:rFonts w:hint="eastAsia" w:ascii="宋体" w:hAnsi="宋体" w:eastAsia="宋体" w:cs="宋体"/>
          <w:sz w:val="32"/>
          <w:szCs w:val="32"/>
        </w:rPr>
        <w:t>（七）加强应急能力建设，增强应急救援效能.......14</w:t>
      </w:r>
    </w:p>
    <w:p>
      <w:pPr>
        <w:spacing w:line="800" w:lineRule="exact"/>
        <w:ind w:firstLine="320" w:firstLineChars="100"/>
        <w:rPr>
          <w:rFonts w:ascii="宋体" w:hAnsi="宋体" w:eastAsia="宋体" w:cs="宋体"/>
          <w:sz w:val="32"/>
          <w:szCs w:val="32"/>
        </w:rPr>
      </w:pPr>
      <w:r>
        <w:rPr>
          <w:rFonts w:hint="eastAsia" w:ascii="宋体" w:hAnsi="宋体" w:eastAsia="宋体" w:cs="宋体"/>
          <w:sz w:val="32"/>
          <w:szCs w:val="32"/>
        </w:rPr>
        <w:t>五、保障措施...................................16</w:t>
      </w:r>
    </w:p>
    <w:p>
      <w:pPr>
        <w:spacing w:line="80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p>
    <w:p>
      <w:pPr>
        <w:spacing w:line="560" w:lineRule="exact"/>
        <w:rPr>
          <w:rFonts w:ascii="宋体" w:hAnsi="宋体" w:eastAsia="宋体" w:cs="宋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坚决贯彻落实习近平总书记关于安全生产的重要指示，全面贯彻落实党的十九大历届全会精神，落实自治区、市委</w:t>
      </w:r>
      <w:r>
        <w:rPr>
          <w:rFonts w:hint="eastAsia" w:ascii="宋体" w:hAnsi="宋体" w:eastAsia="宋体" w:cs="宋体"/>
          <w:sz w:val="32"/>
          <w:szCs w:val="32"/>
          <w:lang w:eastAsia="zh-CN"/>
        </w:rPr>
        <w:t>市</w:t>
      </w:r>
      <w:r>
        <w:rPr>
          <w:rFonts w:hint="eastAsia" w:ascii="宋体" w:hAnsi="宋体" w:eastAsia="宋体" w:cs="宋体"/>
          <w:sz w:val="32"/>
          <w:szCs w:val="32"/>
        </w:rPr>
        <w:t>政府、市交通运输局的要求，牢固树立安全发展理念，坚持人民至上、生命至上，坚持新发展理念，强化底线思维和红线意识，聚焦交通运输安全生产应急工作短板和突出问题，深化改革创新，提升本质安全水平，深化和完善安全体系，强化应急救援能力，着力防范化解重大风险，坚决遏制重特大安全生产事故，建设更高水平的平安交通，为磴口人民群众的美好生活，提供安全有序的交通运输安全保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二、规划原则</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坚持依法治安。强化依法治理，用法治思维和法治手段解决安全生产问题，加快把安全生产工作纳入法治化轨道。健全完善安全责任网络，突出落实企业安全生产主体责任、部门监管责任，推动提高安全应急工作执行力。</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坚持问题导向。全面梳理交通运输安全生产工作存在的突出问题，系统研究补短板、强弱项、固底板的对策措施；明确提出“十四五”时期应实现的安全应急发展量化目标，加强安全应急能力建设、着眼夯实基层基础基本功。</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3.基层系统治理。充分发挥法治、科技、文化等方面的作用。综合运用行政、经济市场等手段，统筹推进安全体系建设各项任务，推进磴口县交通运输安全发展能力和保障水平。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4.坚持有序推进，根据磴口县交通运输行业特点，既要考虑当前的实现可行性，又要兼顾今后长远发展的需要。合理安排规划任务，做好远近结合，分期实施，逐步推进，确保规划任务得到有效实施。</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三、规划目标</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1.总目标</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到2025年，贯彻落实“党政同责、一岗双责、齐抓共管</w:t>
      </w:r>
      <w:r>
        <w:rPr>
          <w:rFonts w:hint="eastAsia" w:ascii="宋体" w:hAnsi="宋体" w:eastAsia="宋体" w:cs="宋体"/>
          <w:sz w:val="32"/>
          <w:szCs w:val="32"/>
          <w:lang w:eastAsia="zh-CN"/>
        </w:rPr>
        <w:t>、失职追责</w:t>
      </w:r>
      <w:r>
        <w:rPr>
          <w:rFonts w:hint="eastAsia" w:ascii="宋体" w:hAnsi="宋体" w:eastAsia="宋体" w:cs="宋体"/>
          <w:sz w:val="32"/>
          <w:szCs w:val="32"/>
        </w:rPr>
        <w:t>”和“管行业必须管安全、管业务必须管安全、管生产经营必须管安全”要求，有效遏制重特大事故，事故总量保持低位，安全责任明晰落实，安全保障基础更加坚实，安全管理水平明显提高，防范化解重大风险能力显著增强，应急救援能力持续提升，为磴口县交通运输快速发展和交通强国建设筑牢安全基础。</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2.具体目标</w:t>
      </w:r>
    </w:p>
    <w:p>
      <w:pPr>
        <w:spacing w:line="560" w:lineRule="exact"/>
        <w:jc w:val="center"/>
        <w:rPr>
          <w:rFonts w:ascii="宋体" w:hAnsi="宋体" w:eastAsia="宋体" w:cs="宋体"/>
          <w:sz w:val="32"/>
          <w:szCs w:val="32"/>
        </w:rPr>
      </w:pPr>
      <w:r>
        <w:rPr>
          <w:rFonts w:hint="eastAsia" w:ascii="宋体" w:hAnsi="宋体" w:eastAsia="宋体" w:cs="宋体"/>
          <w:sz w:val="32"/>
          <w:szCs w:val="32"/>
        </w:rPr>
        <w:t>磴口县交通运输“十四五”交通运输应急规划指标</w:t>
      </w:r>
    </w:p>
    <w:tbl>
      <w:tblPr>
        <w:tblStyle w:val="6"/>
        <w:tblW w:w="8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4677"/>
        <w:gridCol w:w="1418"/>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ascii="Times New Roman" w:hAnsi="Times New Roman"/>
                <w:bCs/>
                <w:kern w:val="0"/>
                <w:sz w:val="28"/>
                <w:szCs w:val="28"/>
              </w:rPr>
              <w:t>序号</w:t>
            </w:r>
          </w:p>
        </w:tc>
        <w:tc>
          <w:tcPr>
            <w:tcW w:w="46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ascii="Times New Roman" w:hAnsi="Times New Roman"/>
                <w:bCs/>
                <w:kern w:val="0"/>
                <w:sz w:val="28"/>
                <w:szCs w:val="28"/>
              </w:rPr>
              <w:t>指标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ind w:right="-80" w:rightChars="-38"/>
              <w:jc w:val="center"/>
              <w:rPr>
                <w:rFonts w:ascii="Times New Roman" w:hAnsi="Times New Roman"/>
                <w:bCs/>
                <w:kern w:val="0"/>
                <w:sz w:val="28"/>
                <w:szCs w:val="28"/>
              </w:rPr>
            </w:pPr>
            <w:r>
              <w:rPr>
                <w:rFonts w:ascii="Times New Roman" w:hAnsi="Times New Roman"/>
                <w:bCs/>
                <w:kern w:val="0"/>
                <w:sz w:val="28"/>
                <w:szCs w:val="28"/>
              </w:rPr>
              <w:t>202</w:t>
            </w:r>
            <w:r>
              <w:rPr>
                <w:rFonts w:hint="eastAsia" w:ascii="Times New Roman" w:hAnsi="Times New Roman"/>
                <w:bCs/>
                <w:kern w:val="0"/>
                <w:sz w:val="28"/>
                <w:szCs w:val="28"/>
              </w:rPr>
              <w:t>5</w:t>
            </w:r>
            <w:r>
              <w:rPr>
                <w:rFonts w:ascii="Times New Roman" w:hAnsi="Times New Roman"/>
                <w:bCs/>
                <w:kern w:val="0"/>
                <w:sz w:val="28"/>
                <w:szCs w:val="28"/>
              </w:rPr>
              <w:t>年</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ascii="Times New Roman" w:hAnsi="Times New Roman"/>
                <w:bCs/>
                <w:kern w:val="0"/>
                <w:sz w:val="28"/>
                <w:szCs w:val="28"/>
              </w:rPr>
              <w:t>指标</w:t>
            </w:r>
          </w:p>
          <w:p>
            <w:pPr>
              <w:adjustRightInd w:val="0"/>
              <w:snapToGrid w:val="0"/>
              <w:jc w:val="center"/>
              <w:rPr>
                <w:rFonts w:ascii="Times New Roman" w:hAnsi="Times New Roman"/>
                <w:bCs/>
                <w:kern w:val="0"/>
                <w:sz w:val="28"/>
                <w:szCs w:val="28"/>
              </w:rPr>
            </w:pPr>
            <w:r>
              <w:rPr>
                <w:rFonts w:ascii="Times New Roman" w:hAnsi="Times New Roman"/>
                <w:bCs/>
                <w:kern w:val="0"/>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shd w:val="clear" w:color="auto" w:fill="4F81BD"/>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（一）</w:t>
            </w:r>
          </w:p>
        </w:tc>
        <w:tc>
          <w:tcPr>
            <w:tcW w:w="4677" w:type="dxa"/>
            <w:tcBorders>
              <w:top w:val="single" w:color="auto" w:sz="4" w:space="0"/>
              <w:left w:val="single" w:color="auto" w:sz="4" w:space="0"/>
              <w:bottom w:val="single" w:color="auto" w:sz="4" w:space="0"/>
              <w:right w:val="single" w:color="auto" w:sz="4" w:space="0"/>
            </w:tcBorders>
            <w:shd w:val="clear" w:color="auto" w:fill="4F81BD"/>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安全事故指标</w:t>
            </w:r>
          </w:p>
        </w:tc>
        <w:tc>
          <w:tcPr>
            <w:tcW w:w="1418"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center"/>
              <w:rPr>
                <w:rFonts w:ascii="Times New Roman" w:hAnsi="Times New Roman"/>
                <w:bCs/>
                <w:kern w:val="0"/>
                <w:sz w:val="28"/>
                <w:szCs w:val="28"/>
              </w:rPr>
            </w:pPr>
          </w:p>
        </w:tc>
        <w:tc>
          <w:tcPr>
            <w:tcW w:w="1254" w:type="dxa"/>
            <w:tcBorders>
              <w:top w:val="single" w:color="auto" w:sz="4" w:space="0"/>
              <w:left w:val="single" w:color="auto" w:sz="4" w:space="0"/>
              <w:bottom w:val="single" w:color="auto" w:sz="4" w:space="0"/>
              <w:right w:val="single" w:color="auto" w:sz="4" w:space="0"/>
            </w:tcBorders>
            <w:shd w:val="clear" w:color="auto" w:fill="4F81BD"/>
          </w:tcPr>
          <w:p>
            <w:pPr>
              <w:adjustRightInd w:val="0"/>
              <w:snapToGrid w:val="0"/>
              <w:jc w:val="center"/>
              <w:rPr>
                <w:rFonts w:ascii="Times New Roman" w:hAnsi="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1</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公路水路行业安全生产事故起数、死亡人数与“十三五”时期相比下降率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color w:val="0000FF"/>
                <w:kern w:val="0"/>
                <w:sz w:val="28"/>
                <w:szCs w:val="28"/>
              </w:rPr>
            </w:pPr>
            <w:r>
              <w:rPr>
                <w:rFonts w:hint="eastAsia" w:ascii="Times New Roman" w:hAnsi="Times New Roman" w:cs="Times New Roman"/>
                <w:bCs/>
                <w:kern w:val="0"/>
                <w:sz w:val="28"/>
                <w:szCs w:val="28"/>
              </w:rPr>
              <w:t>10%</w:t>
            </w:r>
          </w:p>
        </w:tc>
        <w:tc>
          <w:tcPr>
            <w:tcW w:w="1254" w:type="dxa"/>
            <w:tcBorders>
              <w:top w:val="single" w:color="auto" w:sz="4" w:space="0"/>
              <w:left w:val="single" w:color="auto" w:sz="4" w:space="0"/>
              <w:bottom w:val="single" w:color="auto" w:sz="4" w:space="0"/>
              <w:right w:val="single" w:color="auto" w:sz="4" w:space="0"/>
            </w:tcBorders>
            <w:vAlign w:val="center"/>
          </w:tcPr>
          <w:p>
            <w:pPr>
              <w:pStyle w:val="2"/>
              <w:adjustRightInd w:val="0"/>
              <w:snapToGrid w:val="0"/>
              <w:ind w:firstLine="0" w:firstLineChars="0"/>
            </w:pPr>
            <w:r>
              <w:rPr>
                <w:rFonts w:hint="eastAsia" w:ascii="Times New Roman" w:hAnsi="Times New Roman" w:cs="Times New Roman"/>
                <w:bCs/>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（二）</w:t>
            </w:r>
          </w:p>
        </w:tc>
        <w:tc>
          <w:tcPr>
            <w:tcW w:w="4677" w:type="dxa"/>
            <w:tcBorders>
              <w:top w:val="single" w:color="auto" w:sz="4" w:space="0"/>
              <w:left w:val="single" w:color="auto" w:sz="4" w:space="0"/>
              <w:bottom w:val="single" w:color="auto" w:sz="4" w:space="0"/>
              <w:right w:val="single" w:color="auto" w:sz="4" w:space="0"/>
            </w:tcBorders>
            <w:shd w:val="clear" w:color="auto" w:fill="4F81BD"/>
          </w:tcPr>
          <w:p>
            <w:pPr>
              <w:adjustRightInd w:val="0"/>
              <w:snapToGrid w:val="0"/>
              <w:jc w:val="center"/>
              <w:rPr>
                <w:rFonts w:ascii="Times New Roman" w:hAnsi="Times New Roman"/>
                <w:bCs/>
                <w:color w:val="0000FF"/>
                <w:kern w:val="0"/>
                <w:sz w:val="28"/>
                <w:szCs w:val="28"/>
              </w:rPr>
            </w:pPr>
            <w:r>
              <w:rPr>
                <w:rFonts w:hint="eastAsia" w:ascii="Times New Roman" w:hAnsi="Times New Roman"/>
                <w:bCs/>
                <w:color w:val="0000FF"/>
                <w:kern w:val="0"/>
                <w:sz w:val="28"/>
                <w:szCs w:val="28"/>
              </w:rPr>
              <w:t>安全管理指标</w:t>
            </w:r>
          </w:p>
        </w:tc>
        <w:tc>
          <w:tcPr>
            <w:tcW w:w="1418"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center"/>
              <w:rPr>
                <w:rFonts w:ascii="Times New Roman" w:hAnsi="Times New Roman"/>
                <w:bCs/>
                <w:kern w:val="0"/>
                <w:sz w:val="28"/>
                <w:szCs w:val="28"/>
              </w:rPr>
            </w:pPr>
          </w:p>
        </w:tc>
        <w:tc>
          <w:tcPr>
            <w:tcW w:w="1254"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left"/>
              <w:rPr>
                <w:rFonts w:ascii="Times New Roman" w:hAnsi="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2</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辨识确定的安全生产重大风险源管控率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100%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3</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上级挂牌督办的重大事故隐患整改率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100%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4</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农村公路安全隐患路段治理率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100%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5</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危险货物道路运输电子运单使用率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80%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6</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交通运输重点领域企业主要负责人和安全生产管理人员安全考核率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100%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7</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安全生产监督管理人员年度培训覆盖率</w:t>
            </w: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100%</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（三）</w:t>
            </w:r>
          </w:p>
        </w:tc>
        <w:tc>
          <w:tcPr>
            <w:tcW w:w="4677" w:type="dxa"/>
            <w:tcBorders>
              <w:top w:val="single" w:color="auto" w:sz="4" w:space="0"/>
              <w:left w:val="single" w:color="auto" w:sz="4" w:space="0"/>
              <w:bottom w:val="single" w:color="auto" w:sz="4" w:space="0"/>
              <w:right w:val="single" w:color="auto" w:sz="4" w:space="0"/>
            </w:tcBorders>
            <w:shd w:val="clear" w:color="auto" w:fill="4F81BD"/>
          </w:tcPr>
          <w:p>
            <w:pPr>
              <w:adjustRightInd w:val="0"/>
              <w:snapToGrid w:val="0"/>
              <w:jc w:val="center"/>
              <w:rPr>
                <w:rFonts w:ascii="Times New Roman" w:hAnsi="Times New Roman"/>
                <w:bCs/>
                <w:kern w:val="0"/>
                <w:sz w:val="28"/>
                <w:szCs w:val="28"/>
              </w:rPr>
            </w:pPr>
            <w:r>
              <w:rPr>
                <w:rFonts w:hint="eastAsia" w:ascii="Times New Roman" w:hAnsi="Times New Roman"/>
                <w:bCs/>
                <w:kern w:val="0"/>
                <w:sz w:val="28"/>
                <w:szCs w:val="28"/>
              </w:rPr>
              <w:t>应急管理指标</w:t>
            </w:r>
          </w:p>
        </w:tc>
        <w:tc>
          <w:tcPr>
            <w:tcW w:w="1418"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center"/>
              <w:rPr>
                <w:rFonts w:ascii="Times New Roman" w:hAnsi="Times New Roman"/>
                <w:bCs/>
                <w:kern w:val="0"/>
                <w:sz w:val="28"/>
                <w:szCs w:val="28"/>
              </w:rPr>
            </w:pPr>
          </w:p>
        </w:tc>
        <w:tc>
          <w:tcPr>
            <w:tcW w:w="1254" w:type="dxa"/>
            <w:tcBorders>
              <w:top w:val="single" w:color="auto" w:sz="4" w:space="0"/>
              <w:left w:val="single" w:color="auto" w:sz="4" w:space="0"/>
              <w:bottom w:val="single" w:color="auto" w:sz="4" w:space="0"/>
              <w:right w:val="single" w:color="auto" w:sz="4" w:space="0"/>
            </w:tcBorders>
            <w:shd w:val="clear" w:color="auto" w:fill="4F81BD"/>
            <w:vAlign w:val="center"/>
          </w:tcPr>
          <w:p>
            <w:pPr>
              <w:adjustRightInd w:val="0"/>
              <w:snapToGrid w:val="0"/>
              <w:jc w:val="left"/>
              <w:rPr>
                <w:rFonts w:ascii="Times New Roman" w:hAnsi="Times New Roman"/>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bCs/>
                <w:kern w:val="0"/>
                <w:sz w:val="28"/>
                <w:szCs w:val="28"/>
              </w:rPr>
            </w:pPr>
            <w:r>
              <w:rPr>
                <w:rFonts w:hint="eastAsia" w:ascii="Times New Roman" w:hAnsi="Times New Roman" w:eastAsia="仿宋_GB2312"/>
                <w:bCs/>
                <w:kern w:val="0"/>
                <w:sz w:val="28"/>
                <w:szCs w:val="28"/>
              </w:rPr>
              <w:t>8</w:t>
            </w:r>
          </w:p>
        </w:tc>
        <w:tc>
          <w:tcPr>
            <w:tcW w:w="4677"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一般灾害情况下灾害公路路段抢通平均时间</w:t>
            </w:r>
          </w:p>
          <w:p>
            <w:pPr>
              <w:adjustRightInd w:val="0"/>
              <w:snapToGrid w:val="0"/>
              <w:jc w:val="left"/>
              <w:rPr>
                <w:rFonts w:ascii="Times New Roman" w:hAnsi="Times New Roman"/>
                <w:bCs/>
                <w:kern w:val="0"/>
                <w:sz w:val="28"/>
                <w:szCs w:val="28"/>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不超过24小时</w:t>
            </w:r>
          </w:p>
        </w:tc>
        <w:tc>
          <w:tcPr>
            <w:tcW w:w="125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bCs/>
                <w:kern w:val="0"/>
                <w:sz w:val="28"/>
                <w:szCs w:val="28"/>
              </w:rPr>
            </w:pPr>
            <w:r>
              <w:rPr>
                <w:rFonts w:hint="eastAsia" w:ascii="Times New Roman" w:hAnsi="Times New Roman"/>
                <w:bCs/>
                <w:kern w:val="0"/>
                <w:sz w:val="28"/>
                <w:szCs w:val="28"/>
              </w:rPr>
              <w:t>预期性</w:t>
            </w:r>
          </w:p>
        </w:tc>
      </w:tr>
    </w:tbl>
    <w:p>
      <w:pPr>
        <w:spacing w:line="560" w:lineRule="exact"/>
        <w:rPr>
          <w:rFonts w:ascii="宋体" w:hAnsi="宋体" w:eastAsia="宋体" w:cs="宋体"/>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四、规划任务</w:t>
      </w:r>
    </w:p>
    <w:p>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（一）加强法规制度建设，提升依法监管水平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1.加强规章制度建设</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严格落实《中华人民共和国安全生产法》等法律法规，适时修订完善相关规章制度。结合交通运输安全生产实践创新和安全生产专项整治三年行动经验做法，建立完善行业安全管理制度，进一步健全安全监督管理制度体系。督促交通运输企业按照相关法规要求完善企业内部各项安全生产规章制度。</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2.健全依法监管机制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健全安全生产依法监管制度，完善安全生产监督检查规定，规范安全生产监督检查行为。推动安全生产由行政检查转变为执法检查，提升安全监管效果。进一步加强企业安全准入、重大危险源管理、隐患排查治理，健全安全生产联合执法机制，实现安全监管信息互通，消除漏管或重复执法漏洞。发挥市场化手段作用，鼓励购买有资质的第三方安全技术服务，进一步提高安全监管的专业化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（二）加强责任体系建设，强化各方责任落实</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1.压实企业安全生产主体责任</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严格落实企业主体责任，推进以生产经营单位为排查治理责任主体、政府部门为督促执法主体的隐患排查治理体系建设，严格落实“三个必须”和“一岗双责”。督促推动各类企业按要求进行企业安全生产标准化建设，各级主管部门将企业安全生产标准化建设效果，作为实施分级分类监管的重要依据，实施差异化管理，提高企业安全生产本质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指导企业按照有关法律法规标准，建立健全覆盖企业生产经营各环节、责任明晰的全员安全生产责任制，把责任落实到班组、个人。明确企业主要负责人、管理人员和每个岗位的岗位责任，落实一岗双责制度。</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监督企业履行安全生产法定责任，落实自我约束、持续改进安全生产内生机制和监督考核机制，实现安全责任、管理、投入、培训和应急救援“五到位”。建立完善的安全生产风险分级管控与隐患排查治理双重预防体系，建立健全重大事故隐患治理制度。</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2.健全企业安全生产责任追究机制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严格执行事故责任追究制度，建立企业惩戒约束机制。建立企业生产经营全过程安全责任追溯制度，严格事故直报制度，对瞒报、谎报、漏报、迟报事故的单位和个人依法依规追责。依法依规从严查处事故责任企业及其主要负责人、相关责任人，严格追究相关责任单位和责任人管理责任。对事故发生负有重大责任的生产经营单位、社会服务机构和人员依法实施相应的行业禁入。</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建立完善安全生产信用体系，加强安全生产诚信管理，将企业隐患排查治理情况纳入企业诚信体系。完善安全生产激励和违法惩戒机制，依据运输企业安全诚信等级实施相关激励和限制政策。</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3.健全安全生产监管责任体系</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不断加强交通运输安全生产监管执法体系建设，明确安全监管职责分工。进一步理清安全生产监管职责边界，横向同级部门划清安全监管范围，纵向上下级单位划清权力范围，做到逆向可追。通过安全监管责任清单数据化、履职行为规范化、监管督办闭环化，全力推进安全监管工作系统化、痕迹化、规范化、精细化。着力加强基层安全监管机构建设并纳入政府安全监管体系。</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全面加强安全监管机构队伍和安全监管职业能力建设。大力改善监管监察工作条件，建立与经济社会发展、监管范围、安全形势相适应的监管力量配备和工作经费、条件保障机制。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持续开展安全生产监督检查。主管部门按报批计划，充分运用“四不两直”、明察暗访、“双随机</w:t>
      </w:r>
      <w:r>
        <w:rPr>
          <w:rFonts w:hint="eastAsia" w:ascii="宋体" w:hAnsi="宋体" w:eastAsia="宋体" w:cs="宋体"/>
          <w:sz w:val="32"/>
          <w:szCs w:val="32"/>
          <w:lang w:eastAsia="zh-CN"/>
        </w:rPr>
        <w:t>、</w:t>
      </w:r>
      <w:r>
        <w:rPr>
          <w:rFonts w:hint="eastAsia" w:ascii="宋体" w:hAnsi="宋体" w:eastAsia="宋体" w:cs="宋体"/>
          <w:sz w:val="32"/>
          <w:szCs w:val="32"/>
        </w:rPr>
        <w:t>一公开”方式开展监督检查。</w:t>
      </w:r>
    </w:p>
    <w:p>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（三）加强双控机制建设，提高事故防控能力</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1.健全风险预防控制机制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进一步健全安全生产预防控制机制，推进安全生产风险管理工作由事后处理转变为事前预防，加强形势分析和隐患排查，安全关口前移。进一步健全完善重大风险防范化解事项工作机制，积极推进将行业安全生产重大风险纳入同级人民政府重大风险防范化解工作内容。</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2.建立安全生产形势分析研判机制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立重大风险、重大安全隐患清单，围绕风险和隐患分析研判，跟踪评估。建立重大风险分析研判机制，实现分析研判常态化。在分析研判的基础上，总结安全生产规律，发现生产环境特点，严格风险管理控制，强化隐患排查治理。推进完善安全生产风险管理信息平台建设，建立行业重大风险一张图，实现行业安全生产风险动态检测、预防预警和联防联控。</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3.健全隐患排查治理机制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立完善隐患排查发现机制，制定完善行业领域隐患排查标准，对重大隐患实行严格的挂牌督办，严格执行全员、全过程、全方位的安全生产隐患排查。建立健全安全生产监管信息系统，督促企业加大生产安全事故隐患整改力度。强化事故隐患“清单管理”，建立隐患清单销项机制，建立重大风险县、苏木镇农场二级清单管理，严格落实隐患排查治理闭环要求。</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4.健全事故调查整改机制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按照县人民政府有关规定和部署，配合有关部门严肃事故调查，加强事故原因调查分析，督促整改隐患、堵塞漏洞。深化事故调查报告联合审核和生产安全事故约谈工作，推动相关部门、企业落实整改。完善事故调查处理机制，坚持问责和整改并重，充分发挥事故查处对加强和改进安全生产工作的促进作用。健全完善事故通报机制，对典型安全生产事故及其原因进行通报，举一反三、汲取教训。</w:t>
      </w:r>
    </w:p>
    <w:p>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（四）加强基础设施建设，推动实现本质安全</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1.加强工程建设施工安全监管</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严格农村公路建设</w:t>
      </w:r>
      <w:bookmarkStart w:id="0" w:name="_GoBack"/>
      <w:bookmarkEnd w:id="0"/>
      <w:r>
        <w:rPr>
          <w:rFonts w:hint="eastAsia" w:ascii="宋体" w:hAnsi="宋体" w:eastAsia="宋体" w:cs="宋体"/>
          <w:sz w:val="32"/>
          <w:szCs w:val="32"/>
        </w:rPr>
        <w:t>，以更严措施加强农村公路建设施工安全监管，严查工程建设领域违规和冒险作业行为。推进项目施工现场标准化建设，严格按要求开展施工安全风险评估，重点加强桥梁、专项施工方案、安全教育培训、特种设备安全管理。建立较大及以上风险辨识分析月调度预警制度和较大及以上风险监管制度；建立施工重点部位和关键作业工序领导带班巡视及现场技术员和安全员值守制度。做到参建各类人员到位，安全经费投入到位，安全培训到位。</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2.加强道路运输运营环境整治</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加强依法运营检查，严把市场准入关口，加强市场准入管理。加强在用客车使用性质排查整治，市交通运输综合行政执法支队磴口大队与公安部门全面排查在用大中型客车，加强使用性质和运营性质比对，依法责令停止擅自经营车辆，从严处罚。深化货车超限超载治理，会同公安、市场监管等部门建立源头治超信息监管系统，加快推进治超站称重设施联网。加强超限超载车辆及其处罚信息共享，切实落实“一超四罚”措施。</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强化道路运输载运工具质量管理。严格执行国家制定的客运车辆、旅游客车、危险物品运输车辆等运营车辆安全技术准入标准，提高安全性能。加强客运车辆使用性能排查，有效提升客车安全水平，加大风险管控力度，对已运行的要加快安全技术装备改造升级。持续开展隐患车辆专项整治，加大对客运、货运车辆的检查力度。稳步推进超长平板半挂车和超长集装箱半挂车治理，从源头控制安全事故的发生。</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加强危险化学品运输安全监管。进一步加大对危险化学品运输企业主体责任落实情况的监督检查，对“三违”现象突出、存在重大事故隐患的企业要加大检查频次。加快危险化学品安全监管信息共享平台建设，运用“互联网+监管”推进监管数据归集共享，综合利用大数据、云计算、人工智能等高新技术，对危险化学品运输各环节进行全过程信息化管理和监控，提高危险化学品运输安全监管水平。加强危险货物运输安全监管，切实强化危险货物承运、车辆运行等全链条安全监管，推动构建“政府主导、多部门协同、信息化支撑、全链条监管”的危险化学品运输安全防控体系。</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3.加强基础设施安全防护投入</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一是持续加大基础设施安全防护投入，深入实施农村公路急弯陡坡、临水重点危险路段公路安全生命防护工程建设，加快嘎查村建设双车道。</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二是推进农村公路安全防护工程建设，根据乡道、村道设计标准科学设置警示标志，提升道路通行安全保障水平。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三是提升公路桥梁安全防护和连续长陡下坡路段安全通行能力，全面开展农村公路桥梁排查，组织开展农村公路、危桥改造。</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4.强化交通基础设施运营养护</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严格落实公路养护相关规定，严格开展桥梁和临边、临水等重点区域的检查、检测，加大道路、桥梁、码头等安全运行检测与智能预警系统建设力度。全面开展现有公路桥梁安全风险排查评估，切实做好自然灾害综合风险公路水路承灾体普查，对危及行车安全的自然灾害进行重点防治，努力提高公路水路防灾水平。加强安全防护设施的检查、维修、养护、更换、日常养护力度。</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5.加强水上交通安全水平提升</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以重点通航水域码头、航道、安全监管系统建设为重点，强化安全管理，提升安全智能化水平，加快推进巡航救助一体化船艇和海事监管、船舶应急设备库建设，加大对监管救援装备、视频监控系统、应急通信系统、基础配套设备投资建设。进一步加强水上应急物资储备，强化协调联动，提升水上应急能力。</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强化水路运输企业准入管理，加大水上涉客运输安全治理，严禁水上涉客运输企业违法运营、超经营范围经营。积极推进老旧码头升级改造，加强航道整治。严格执行国家制定的船舶安全技术准入要求、船检技术标准和强制报废标准。完善老旧船舶管理制度，加快推动老旧船舶更新换代、技术改造。完善船舶安装防碰撞等技术装备，提高船舶装备主动安全防御能力，提升安全性能。</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推进铁路沿线安全环境治理工作，督促铁路部门与地方人民政府做好铁路安全环境治理工作，持续开展治理工作，及时消除安全隐患，夯实铁路安全发展基础。</w:t>
      </w:r>
    </w:p>
    <w:p>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（五）加强安全科技建设，推进科技兴安战略</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1.建立安全科技创新机制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按照市场主导，政府引导的思路，强化企业、社会参与，建立以企业为主体、以市场为导向、产学研用相结合的安全科技创新机制。加强科技信息技术在安全领域的应用，为监管执法的网络化、数字化、智慧化提供强大的技术保障。</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2.加强安全科技成果推广</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不断加强科技成果推广应用，鼓励引导安全科技成果转化，加大安全科技推广力度，推动现代科技创新技术成果在安全生产各个环节的深入应用，大力推广应用新技术、新材料、新工艺、新方法。</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3.加快提升信息化管理水平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积极推进安全监管信息化、智能化建设，大力推进“互联网+安全生产”发展战略。依托大数据、云计算、互联网等手段，进一步推进风险管理、隐患排查治理、安全生产信用管理、安全生产综合监管等功能类型的信息化管理系统的使用，实现安全生产标准化、安全生产信用管理、风险隐患双重预防管理等系统的</w:t>
      </w:r>
      <w:r>
        <w:rPr>
          <w:rFonts w:hint="eastAsia" w:ascii="宋体" w:hAnsi="宋体" w:eastAsia="宋体" w:cs="宋体"/>
          <w:sz w:val="32"/>
          <w:szCs w:val="32"/>
          <w:lang w:eastAsia="zh-CN"/>
        </w:rPr>
        <w:t>融会贯通</w:t>
      </w:r>
      <w:r>
        <w:rPr>
          <w:rFonts w:hint="eastAsia" w:ascii="宋体" w:hAnsi="宋体" w:eastAsia="宋体" w:cs="宋体"/>
          <w:sz w:val="32"/>
          <w:szCs w:val="32"/>
        </w:rPr>
        <w:t>，实现信息共享、互联互通。</w:t>
      </w:r>
    </w:p>
    <w:p>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（六）加强安全文化建设，营造安全良好氛围</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1.加强行业安全宣传</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立健全安全生产宣传教育机制，多渠道开展安全生产宣传活动，加强安全生产法律法规、安全和应急知识宣传。充分运用客运场站、物流园区、码头、办公区域等场所，通过广播、电视等多种渠道播放安全警示教育宣传片，加强安全生产法律法规、灾害防范、应急自救互救等知识宣传。加强新媒体在交通运输安全生产宣传上的应用，推进“微安全”文化品牌建设，普及安全文化。</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2.加强行业安全文化建设</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积极推进行业安全文化建设，充分发挥企业营造安全文化氛围的能动性，推动建立一批安全文化示范企业，培育和塑造具有吸引力和感染力的安全文化活动载体，建立以企业为主导的安全文化体系，提升行业安全文化内涵和关键岗位职业操守。鼓励和引导企业和社会力量参与创作和推广，营造全社会关注、支持、参与交通运输安全文化建设的氛围和安全文化建设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3.加强从业人员安全教育培训</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设完善的安全生产教育培训机制，大力实施从业人员安全素质提升工程。创新拓展安全教育方式和平台，充分利用“互联网+”技术，发展多样化、信息化、现代化、日常化的教育模式，加强对监管人员、交通运输企业主要负责人、安全管理人员和企业从业人员教育培训和能力考核。加强交通建设工程“三类人员”培训，开展新进人员入职培训、在职人员继续教育以及农民工工前强制性安全及应急培训。</w:t>
      </w:r>
    </w:p>
    <w:p>
      <w:pPr>
        <w:spacing w:line="560" w:lineRule="exact"/>
        <w:ind w:firstLine="643" w:firstLineChars="200"/>
        <w:rPr>
          <w:rFonts w:ascii="宋体" w:hAnsi="宋体" w:eastAsia="宋体" w:cs="宋体"/>
          <w:sz w:val="32"/>
          <w:szCs w:val="32"/>
        </w:rPr>
      </w:pPr>
      <w:r>
        <w:rPr>
          <w:rFonts w:hint="eastAsia" w:ascii="宋体" w:hAnsi="宋体" w:eastAsia="宋体" w:cs="宋体"/>
          <w:b/>
          <w:bCs/>
          <w:sz w:val="32"/>
          <w:szCs w:val="32"/>
        </w:rPr>
        <w:t>（七）加强应急能力建设，增强应急救援效能</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1.完善应急管理机制</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进一步健全完善应急管理体制、机制，建立统筹建设、合理布局的综合交通应急体系，为突发事件应对提供全面的运输保障。优化交通运输应急管理机构职能配置，加强交通运输行业应急管理部门工作力量。按照“统一领导、综合协调、分类管理、分级负责、属地管理为主”的原则，建立县、苏木镇农场二级应急管理机构，加强统筹指导和综合协调职能，切实发挥指挥机构的防范部署与应急指挥作用。</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进一步健全各相关机构应急救援队伍之间的应急联动机制和事故现场统一指挥机制，健全指挥协调工作制度和流程，完善各层级应急运输协调沟通机制，确保紧急状态下的沟通顺畅。进一步完善值班和信息报送机制，加强值班信息化建设，创新工作手段，提高信息报告工作水平。</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2.加强应急设施建设</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进一步提升应急物资保障能力，继续推进县、苏木镇农场农村公路交通应急装备物资储备体系，继续推进各类各级应急物资储备库建设，优化物资仓库布局，改善仓储条件，满足各类公路交通突发事件对应急装备物资的需求。</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3.加强应急信息化应用</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争取财政支持加大自然灾害、安全生产事故应急处置装备投入。加强各领域专业救援装备配置，重点加强配备智能化、信息化高机动性应急救援成套设备、智能化生命搜救设备。</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建设应急物资储备管理动态数据库，实现储备物资信息化、智能化管理。运用5G通信、北斗系统等技术，提高应急管理信息化水平，提升突发事件现场应急救援指挥通信保障能力。</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4.加强应急队伍建设</w:t>
      </w:r>
    </w:p>
    <w:p>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完善应急运输储备体系，建立储备梯队应急运力储备机制。针对全县救援力量现状及市内客货运输、路网建设情况，加强核心救援力量建设，优化专业应急救援队伍的规模和布局。</w:t>
      </w:r>
    </w:p>
    <w:p>
      <w:pPr>
        <w:pStyle w:val="2"/>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保障措施</w:t>
      </w:r>
    </w:p>
    <w:p>
      <w:pPr>
        <w:pStyle w:val="2"/>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加强政策支持，加大投入力度，提高执行力是全面实现“十四五”安全应急规划目标和任务的基本前提和重要保障，为确保规划实施，应当切实加强规划实施的监督管理，加强实施力度。</w:t>
      </w:r>
    </w:p>
    <w:p>
      <w:pPr>
        <w:pStyle w:val="2"/>
        <w:numPr>
          <w:ilvl w:val="0"/>
          <w:numId w:val="2"/>
        </w:numPr>
        <w:spacing w:line="560" w:lineRule="exact"/>
        <w:ind w:firstLine="640" w:firstLineChars="0"/>
        <w:rPr>
          <w:rFonts w:ascii="宋体" w:hAnsi="宋体" w:eastAsia="宋体" w:cs="宋体"/>
          <w:b/>
          <w:bCs/>
          <w:sz w:val="32"/>
          <w:szCs w:val="32"/>
        </w:rPr>
      </w:pPr>
      <w:r>
        <w:rPr>
          <w:rFonts w:hint="eastAsia" w:ascii="宋体" w:hAnsi="宋体" w:eastAsia="宋体" w:cs="宋体"/>
          <w:b/>
          <w:bCs/>
          <w:sz w:val="32"/>
          <w:szCs w:val="32"/>
        </w:rPr>
        <w:t>加强组织领导</w:t>
      </w:r>
    </w:p>
    <w:p>
      <w:pPr>
        <w:pStyle w:val="2"/>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规划实施过程中，各单位要加强组织领导，明确实施主体责任和保障主体责任。要明确一把手负总责，分管领导具体负责，责任到岗到人，明确实施计划，确保规划各项目标和任务。</w:t>
      </w:r>
    </w:p>
    <w:p>
      <w:pPr>
        <w:pStyle w:val="2"/>
        <w:numPr>
          <w:ilvl w:val="0"/>
          <w:numId w:val="2"/>
        </w:numPr>
        <w:spacing w:line="560" w:lineRule="exact"/>
        <w:ind w:firstLine="640" w:firstLineChars="0"/>
        <w:rPr>
          <w:rFonts w:ascii="宋体" w:hAnsi="宋体" w:eastAsia="宋体" w:cs="宋体"/>
          <w:b/>
          <w:bCs/>
          <w:sz w:val="32"/>
          <w:szCs w:val="32"/>
        </w:rPr>
      </w:pPr>
      <w:r>
        <w:rPr>
          <w:rFonts w:hint="eastAsia" w:ascii="宋体" w:hAnsi="宋体" w:eastAsia="宋体" w:cs="宋体"/>
          <w:b/>
          <w:bCs/>
          <w:sz w:val="32"/>
          <w:szCs w:val="32"/>
        </w:rPr>
        <w:t>强化资金保障</w:t>
      </w:r>
    </w:p>
    <w:p>
      <w:pPr>
        <w:pStyle w:val="2"/>
        <w:spacing w:line="560" w:lineRule="exact"/>
        <w:ind w:firstLine="0" w:firstLineChars="0"/>
        <w:rPr>
          <w:rFonts w:ascii="宋体" w:hAnsi="宋体" w:eastAsia="宋体" w:cs="宋体"/>
          <w:sz w:val="32"/>
          <w:szCs w:val="32"/>
        </w:rPr>
      </w:pPr>
      <w:r>
        <w:rPr>
          <w:rFonts w:hint="eastAsia" w:ascii="宋体" w:hAnsi="宋体" w:eastAsia="宋体" w:cs="宋体"/>
          <w:sz w:val="32"/>
          <w:szCs w:val="32"/>
        </w:rPr>
        <w:t xml:space="preserve">    建立完善交通运输安全生产监督执法经费保障机制，争取地方政府将安全监管执法经费纳入同级财政全额保障范围。推动地方政府落实交通运输安全生产经费保障，加大交通基础设施管养投入。各单位要积极沟通协调，争取安全生产和应急专项资金支持。督促交通运输企业确保安全生产经费按有关计提标准足额投入。</w:t>
      </w:r>
    </w:p>
    <w:p>
      <w:pPr>
        <w:pStyle w:val="2"/>
        <w:numPr>
          <w:ilvl w:val="0"/>
          <w:numId w:val="2"/>
        </w:numPr>
        <w:spacing w:line="560" w:lineRule="exact"/>
        <w:ind w:firstLine="640" w:firstLineChars="0"/>
        <w:rPr>
          <w:rFonts w:ascii="宋体" w:hAnsi="宋体" w:eastAsia="宋体" w:cs="宋体"/>
          <w:b/>
          <w:bCs/>
          <w:sz w:val="32"/>
          <w:szCs w:val="32"/>
        </w:rPr>
      </w:pPr>
      <w:r>
        <w:rPr>
          <w:rFonts w:hint="eastAsia" w:ascii="宋体" w:hAnsi="宋体" w:eastAsia="宋体" w:cs="宋体"/>
          <w:b/>
          <w:bCs/>
          <w:sz w:val="32"/>
          <w:szCs w:val="32"/>
        </w:rPr>
        <w:t>强化政策支持</w:t>
      </w:r>
    </w:p>
    <w:p>
      <w:pPr>
        <w:pStyle w:val="2"/>
        <w:spacing w:line="560" w:lineRule="exact"/>
        <w:ind w:firstLine="0" w:firstLineChars="0"/>
        <w:rPr>
          <w:rFonts w:ascii="宋体" w:hAnsi="宋体" w:eastAsia="宋体" w:cs="宋体"/>
          <w:sz w:val="32"/>
          <w:szCs w:val="32"/>
        </w:rPr>
      </w:pPr>
      <w:r>
        <w:rPr>
          <w:rFonts w:hint="eastAsia" w:ascii="宋体" w:hAnsi="宋体" w:eastAsia="宋体" w:cs="宋体"/>
          <w:sz w:val="32"/>
          <w:szCs w:val="32"/>
        </w:rPr>
        <w:t xml:space="preserve">    统筹谋划安全应急政策措施，着力破解影响交通运输行业安全应急发展的重点难点问题。打造科技兴安示范应用，及时总结推广形成良好的示范效应。</w:t>
      </w:r>
    </w:p>
    <w:p>
      <w:pPr>
        <w:pStyle w:val="2"/>
        <w:numPr>
          <w:ilvl w:val="0"/>
          <w:numId w:val="2"/>
        </w:numPr>
        <w:spacing w:line="560" w:lineRule="exact"/>
        <w:ind w:firstLine="640" w:firstLineChars="0"/>
        <w:rPr>
          <w:rFonts w:ascii="宋体" w:hAnsi="宋体" w:eastAsia="宋体" w:cs="宋体"/>
          <w:b/>
          <w:bCs/>
          <w:sz w:val="32"/>
          <w:szCs w:val="32"/>
        </w:rPr>
      </w:pPr>
      <w:r>
        <w:rPr>
          <w:rFonts w:hint="eastAsia" w:ascii="宋体" w:hAnsi="宋体" w:eastAsia="宋体" w:cs="宋体"/>
          <w:b/>
          <w:bCs/>
          <w:sz w:val="32"/>
          <w:szCs w:val="32"/>
        </w:rPr>
        <w:t>加强考核评估</w:t>
      </w:r>
    </w:p>
    <w:p>
      <w:pPr>
        <w:pStyle w:val="2"/>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要把规划实施作为年度目标考核重要内容，监督过程监督，定期检查规划实施情况，开展中期评估，及时解决实施过程中出现的问题，总结推广经验，确保规划顺利实施。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6A9D7"/>
    <w:multiLevelType w:val="singleLevel"/>
    <w:tmpl w:val="A3A6A9D7"/>
    <w:lvl w:ilvl="0" w:tentative="0">
      <w:start w:val="1"/>
      <w:numFmt w:val="chineseCounting"/>
      <w:suff w:val="nothing"/>
      <w:lvlText w:val="（%1）"/>
      <w:lvlJc w:val="left"/>
      <w:pPr>
        <w:ind w:left="-10"/>
      </w:pPr>
      <w:rPr>
        <w:rFonts w:hint="eastAsia"/>
      </w:rPr>
    </w:lvl>
  </w:abstractNum>
  <w:abstractNum w:abstractNumId="1">
    <w:nsid w:val="3CACA1DD"/>
    <w:multiLevelType w:val="singleLevel"/>
    <w:tmpl w:val="3CACA1D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wZThiMDg4OWMxOTE4NGQzNjBlMDJlZGQyNmU4YjEifQ=="/>
  </w:docVars>
  <w:rsids>
    <w:rsidRoot w:val="00013814"/>
    <w:rsid w:val="00013814"/>
    <w:rsid w:val="00EB5CFE"/>
    <w:rsid w:val="07DE427B"/>
    <w:rsid w:val="0BEF2849"/>
    <w:rsid w:val="16BC62F0"/>
    <w:rsid w:val="16D03ECB"/>
    <w:rsid w:val="1BF519FE"/>
    <w:rsid w:val="23AA0320"/>
    <w:rsid w:val="24741976"/>
    <w:rsid w:val="291630F0"/>
    <w:rsid w:val="2EC87C28"/>
    <w:rsid w:val="4D213A44"/>
    <w:rsid w:val="63143DFA"/>
    <w:rsid w:val="6EBA5717"/>
    <w:rsid w:val="72ED678F"/>
    <w:rsid w:val="76F54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7182</Words>
  <Characters>7566</Characters>
  <Lines>4</Lines>
  <Paragraphs>15</Paragraphs>
  <TotalTime>34</TotalTime>
  <ScaleCrop>false</ScaleCrop>
  <LinksUpToDate>false</LinksUpToDate>
  <CharactersWithSpaces>7574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2022-03-24T03:01:00Z</cp:lastPrinted>
  <dcterms:modified xsi:type="dcterms:W3CDTF">2023-07-14T07:35:28Z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588C101FEE0A4111AE44300F83925988</vt:lpwstr>
  </property>
</Properties>
</file>