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F6D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1"/>
        <w:rPr>
          <w:rFonts w:hint="eastAsia" w:ascii="黑体" w:hAnsi="黑体" w:eastAsia="黑体" w:cs="黑体"/>
          <w:b w:val="0"/>
          <w:bCs w:val="0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28"/>
          <w:lang w:val="en-US" w:eastAsia="zh-CN"/>
        </w:rPr>
        <w:t>附件5</w:t>
      </w:r>
      <w:bookmarkStart w:id="0" w:name="_Toc16275"/>
    </w:p>
    <w:p w14:paraId="293C53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扬尘源应急减排清单</w:t>
      </w:r>
      <w:bookmarkEnd w:id="1"/>
      <w:bookmarkEnd w:id="0"/>
    </w:p>
    <w:tbl>
      <w:tblPr>
        <w:tblStyle w:val="6"/>
        <w:tblW w:w="139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7"/>
        <w:gridCol w:w="1666"/>
        <w:gridCol w:w="4033"/>
        <w:gridCol w:w="3233"/>
        <w:gridCol w:w="4069"/>
      </w:tblGrid>
      <w:tr w14:paraId="566DA2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57" w:type="dxa"/>
            <w:tcBorders>
              <w:tl2br w:val="nil"/>
              <w:tr2bl w:val="nil"/>
            </w:tcBorders>
            <w:noWrap w:val="0"/>
            <w:vAlign w:val="center"/>
          </w:tcPr>
          <w:p w14:paraId="6271E7C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sz w:val="28"/>
                <w:szCs w:val="28"/>
              </w:rPr>
              <w:t>序号</w:t>
            </w:r>
          </w:p>
        </w:tc>
        <w:tc>
          <w:tcPr>
            <w:tcW w:w="1666" w:type="dxa"/>
            <w:tcBorders>
              <w:tl2br w:val="nil"/>
              <w:tr2bl w:val="nil"/>
            </w:tcBorders>
            <w:noWrap w:val="0"/>
            <w:vAlign w:val="center"/>
          </w:tcPr>
          <w:p w14:paraId="1528FC7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sz w:val="28"/>
                <w:szCs w:val="28"/>
              </w:rPr>
              <w:t>扬尘类型</w:t>
            </w:r>
          </w:p>
        </w:tc>
        <w:tc>
          <w:tcPr>
            <w:tcW w:w="4033" w:type="dxa"/>
            <w:tcBorders>
              <w:tl2br w:val="nil"/>
              <w:tr2bl w:val="nil"/>
            </w:tcBorders>
            <w:noWrap w:val="0"/>
            <w:vAlign w:val="center"/>
          </w:tcPr>
          <w:p w14:paraId="4011F59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</w:rPr>
              <w:t>红色预警控制措施</w:t>
            </w:r>
          </w:p>
        </w:tc>
        <w:tc>
          <w:tcPr>
            <w:tcW w:w="3233" w:type="dxa"/>
            <w:tcBorders>
              <w:tl2br w:val="nil"/>
              <w:tr2bl w:val="nil"/>
            </w:tcBorders>
            <w:noWrap w:val="0"/>
            <w:vAlign w:val="center"/>
          </w:tcPr>
          <w:p w14:paraId="7810E47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sz w:val="28"/>
                <w:szCs w:val="28"/>
              </w:rPr>
              <w:t>橙色预警控制措施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noWrap w:val="0"/>
            <w:vAlign w:val="center"/>
          </w:tcPr>
          <w:p w14:paraId="70783E2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</w:rPr>
              <w:t>黄色预警控制措施</w:t>
            </w:r>
          </w:p>
        </w:tc>
      </w:tr>
      <w:tr w14:paraId="0771B5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2" w:hRule="atLeast"/>
        </w:trPr>
        <w:tc>
          <w:tcPr>
            <w:tcW w:w="757" w:type="dxa"/>
            <w:tcBorders>
              <w:tl2br w:val="nil"/>
              <w:tr2bl w:val="nil"/>
            </w:tcBorders>
            <w:noWrap w:val="0"/>
            <w:vAlign w:val="center"/>
          </w:tcPr>
          <w:p w14:paraId="1421794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66" w:type="dxa"/>
            <w:tcBorders>
              <w:tl2br w:val="nil"/>
              <w:tr2bl w:val="nil"/>
            </w:tcBorders>
            <w:noWrap w:val="0"/>
            <w:vAlign w:val="center"/>
          </w:tcPr>
          <w:p w14:paraId="56C7E01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</w:rPr>
              <w:t>施工扬尘管控</w:t>
            </w:r>
          </w:p>
        </w:tc>
        <w:tc>
          <w:tcPr>
            <w:tcW w:w="4033" w:type="dxa"/>
            <w:tcBorders>
              <w:tl2br w:val="nil"/>
              <w:tr2bl w:val="nil"/>
            </w:tcBorders>
            <w:noWrap w:val="0"/>
            <w:vAlign w:val="center"/>
          </w:tcPr>
          <w:p w14:paraId="7174C9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除应急抢险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救灾以及混凝土浇筑不宜留施工缝等工程项目外，停止工地所有户外施工作业和室内喷涂、电焊、切割、拆除等易产生扬尘的作业，工地内部停止使用各类施工作业车辆和非道路移动机械。预警信息发布时正在进行混凝土浇筑的，应当在预警信息发布12小时内向县大气办报备，不宜留施工缝的混凝土浇筑作业不得安排在应急响应期间进行。全县所有工地对易起尘物料、裸露地面、场地土方按照有关规定采取有效防尘措施，工地内部增加洒水频次2-3次，全面开启雾炮喷淋，做好工地内部及门口道路专人定点保洁，驶出工地车辆冲洗干净、无带泥上路。</w:t>
            </w:r>
          </w:p>
        </w:tc>
        <w:tc>
          <w:tcPr>
            <w:tcW w:w="3233" w:type="dxa"/>
            <w:tcBorders>
              <w:tl2br w:val="nil"/>
              <w:tr2bl w:val="nil"/>
            </w:tcBorders>
            <w:noWrap w:val="0"/>
            <w:vAlign w:val="center"/>
          </w:tcPr>
          <w:p w14:paraId="06C9B4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在黄色预警措施的基础上增加：工地停止混凝土浇筑和非道路移动机械作业，预警信息发布时正在进行混凝土浇筑的，应当在预警信息发布12小时内向县大气办报备，不宜留施工缝的混凝土浇筑作业不得安排在应急响应期间进行。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noWrap w:val="0"/>
            <w:vAlign w:val="center"/>
          </w:tcPr>
          <w:p w14:paraId="21AFC1E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28"/>
                <w:szCs w:val="28"/>
              </w:rPr>
              <w:t>除应急抢险、救灾工程项目外，工地停止土石方、平整土地、换土、石料切割、沥青铺设作业，停止建筑拆除施工，停止建筑垃圾处置运输、内部土方转运、砂石物料运输、露天焊接、内部混凝土搅拌等易扬尘作业。全县所有工地必须严格湿法作业，对易起尘物料、裸露地面、场地土方按照有关规定采取有效防尘措施，工地内部增加洒水频次2-3次，全面开启雾炮喷淋，做好工地内部及门口道路专人定点保洁，驶出工地车辆冲洗干净、无带泥上路。</w:t>
            </w:r>
          </w:p>
        </w:tc>
      </w:tr>
      <w:tr w14:paraId="44F730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57" w:type="dxa"/>
            <w:tcBorders>
              <w:tl2br w:val="nil"/>
              <w:tr2bl w:val="nil"/>
            </w:tcBorders>
            <w:noWrap w:val="0"/>
            <w:vAlign w:val="center"/>
          </w:tcPr>
          <w:p w14:paraId="3F7F211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66" w:type="dxa"/>
            <w:tcBorders>
              <w:tl2br w:val="nil"/>
              <w:tr2bl w:val="nil"/>
            </w:tcBorders>
            <w:noWrap w:val="0"/>
            <w:vAlign w:val="center"/>
          </w:tcPr>
          <w:p w14:paraId="0C3C260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</w:rPr>
              <w:t>道路扬尘管控</w:t>
            </w:r>
          </w:p>
        </w:tc>
        <w:tc>
          <w:tcPr>
            <w:tcW w:w="4033" w:type="dxa"/>
            <w:tcBorders>
              <w:tl2br w:val="nil"/>
              <w:tr2bl w:val="nil"/>
            </w:tcBorders>
            <w:noWrap w:val="0"/>
            <w:vAlign w:val="center"/>
          </w:tcPr>
          <w:p w14:paraId="2A4347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保持橙色预警措施水平，可根据道路及天气实际情况，增加道路冲洗、吸扫、保洁频次。</w:t>
            </w:r>
          </w:p>
        </w:tc>
        <w:tc>
          <w:tcPr>
            <w:tcW w:w="3233" w:type="dxa"/>
            <w:tcBorders>
              <w:tl2br w:val="nil"/>
              <w:tr2bl w:val="nil"/>
            </w:tcBorders>
            <w:noWrap w:val="0"/>
            <w:vAlign w:val="center"/>
          </w:tcPr>
          <w:p w14:paraId="32BE45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保持黄色预警措施水平。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noWrap w:val="0"/>
            <w:vAlign w:val="center"/>
          </w:tcPr>
          <w:p w14:paraId="023D2C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所有市政车辆（包括垃圾车、雾炮车、洒水车等）每天必须冲洗干净方可上路；加强道路机械化清扫，确保路面无明显积尘，道路护栏和果壳箱等环卫设施干净整洁。全县辖区内易起尘物料运输车需全密闭运输；除轨道交通、重大重点项目或其他民生保障工程外，停止派发建筑垃圾运输单，对未经许可的建筑垃圾处置运输行为依法处罚。</w:t>
            </w:r>
          </w:p>
        </w:tc>
      </w:tr>
    </w:tbl>
    <w:p w14:paraId="160A541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58023951-758E-4D0E-A023-09C9C5F1A27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DDB9ED6-3A2C-4951-8CAD-2F1D93B2063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DB561017-AF69-42A3-88A3-55A4C429621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754E08"/>
    <w:rsid w:val="5475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/>
    </w:pPr>
    <w:rPr>
      <w:rFonts w:ascii="Times New Roman" w:hAnsi="Times New Roman" w:eastAsia="宋体" w:cs="Times New Roman"/>
      <w:sz w:val="21"/>
      <w:szCs w:val="20"/>
    </w:rPr>
  </w:style>
  <w:style w:type="paragraph" w:customStyle="1" w:styleId="5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8"/>
      <w:szCs w:val="28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2024-12-31T01:52:00Z</dcterms:created>
  <dc:creator>覆水难收</dc:creator>
  <cp:lastModifiedBy>覆水难收</cp:lastModifiedBy>
  <dcterms:modified xsi:type="dcterms:W3CDTF">2024-12-31T01:52:50Z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3AA444D13C164132B532A11976EAF41E_11</vt:lpwstr>
  </property>
</Properties>
</file>