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tbl>
      <w:tblPr>
        <w:tblStyle w:val="2"/>
        <w:tblpPr w:leftFromText="180" w:rightFromText="180" w:vertAnchor="text" w:horzAnchor="page" w:tblpX="1800" w:tblpY="998"/>
        <w:tblOverlap w:val="never"/>
        <w:tblW w:w="0" w:type="auto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27"/>
        <w:gridCol w:w="6553"/>
        <w:gridCol w:w="1082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22" w:hRule="atLeast"/>
        </w:trPr>
        <w:tc>
          <w:tcPr>
            <w:tcW w:w="72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  <w:t>事故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  <w:t>级别</w:t>
            </w:r>
          </w:p>
        </w:tc>
        <w:tc>
          <w:tcPr>
            <w:tcW w:w="655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  <w:t>分    级    标    准</w:t>
            </w:r>
          </w:p>
        </w:tc>
        <w:tc>
          <w:tcPr>
            <w:tcW w:w="108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  <w:t>响应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  <w:t>级别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31" w:hRule="atLeast"/>
        </w:trPr>
        <w:tc>
          <w:tcPr>
            <w:tcW w:w="72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特别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重大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食品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安全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事故</w:t>
            </w:r>
          </w:p>
        </w:tc>
        <w:tc>
          <w:tcPr>
            <w:tcW w:w="655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（1）事故危害特别严重，对2个以上省份造成严重威胁，并有进一步扩散趋势的；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（2）超出事发地省级人民政府处置能力的；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（3）发生跨境（包括港澳台地区）食品安全事故，造成特别严重社会影响的；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（4）国务院认为需要由国务院或国务院授权有关部门负责处置的。</w:t>
            </w:r>
          </w:p>
        </w:tc>
        <w:tc>
          <w:tcPr>
            <w:tcW w:w="10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国务院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启动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  <w:t>I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级响应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64" w:hRule="atLeast"/>
        </w:trPr>
        <w:tc>
          <w:tcPr>
            <w:tcW w:w="72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重大食品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安全事故</w:t>
            </w:r>
          </w:p>
        </w:tc>
        <w:tc>
          <w:tcPr>
            <w:tcW w:w="655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（1）事故危害严重，影响范围涉及省内2个以上设区市级行政区域的；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（2）1起食物中毒事故中毒人数100人以上，并出现死亡病例的；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（3）1起食物中毒事故造成10例以上死亡病例的；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（4）省人民政府认定的重大食品安全事故。</w:t>
            </w:r>
          </w:p>
        </w:tc>
        <w:tc>
          <w:tcPr>
            <w:tcW w:w="10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  <w:t>自治区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级人民政府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启动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  <w:t>Ⅱ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级响应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76" w:hRule="atLeast"/>
        </w:trPr>
        <w:tc>
          <w:tcPr>
            <w:tcW w:w="72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较大食品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安全事故</w:t>
            </w:r>
          </w:p>
        </w:tc>
        <w:tc>
          <w:tcPr>
            <w:tcW w:w="655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（1）事故影响范围涉及2个以上县级行政区域，给人民群众饮食安全带来严重危害的；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（2）1起食物中毒事故中毒人数在100人以上；或出现1例以上死亡病例的；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（3）设区市级以上人民政府认定的其他较大食品安全事故。</w:t>
            </w:r>
          </w:p>
        </w:tc>
        <w:tc>
          <w:tcPr>
            <w:tcW w:w="10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设区市级人民政府启动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  <w:t>Ⅲ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级响应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89" w:hRule="atLeast"/>
        </w:trPr>
        <w:tc>
          <w:tcPr>
            <w:tcW w:w="72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一般食品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安全事故</w:t>
            </w:r>
          </w:p>
        </w:tc>
        <w:tc>
          <w:tcPr>
            <w:tcW w:w="655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（1）食品污染已造成严重健康损害后果的；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（2）1起食品安全事故发生人数在30人以上100人以下，且未出现死亡病例的；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（3）县级以上人民政府认定的其他一般食品安全事故。</w:t>
            </w:r>
          </w:p>
        </w:tc>
        <w:tc>
          <w:tcPr>
            <w:tcW w:w="108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县级人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民政府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启动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  <w:t>Ⅳ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级响应</w:t>
            </w:r>
          </w:p>
        </w:tc>
      </w:tr>
    </w:tbl>
    <w:p>
      <w:r>
        <w:rPr>
          <w:rFonts w:hint="eastAsia" w:ascii="黑体" w:hAnsi="黑体" w:eastAsia="黑体" w:cs="宋体"/>
          <w:color w:val="333333"/>
          <w:kern w:val="0"/>
          <w:sz w:val="32"/>
          <w:szCs w:val="32"/>
        </w:rPr>
        <w:t>附件</w:t>
      </w:r>
      <w:r>
        <w:rPr>
          <w:rFonts w:hint="eastAsia" w:ascii="黑体" w:hAnsi="黑体" w:eastAsia="黑体" w:cs="宋体"/>
          <w:color w:val="333333"/>
          <w:kern w:val="0"/>
          <w:sz w:val="32"/>
          <w:szCs w:val="32"/>
          <w:lang w:val="en-US" w:eastAsia="zh-CN"/>
        </w:rPr>
        <w:t>1</w:t>
      </w:r>
      <w:r>
        <w:rPr>
          <w:rFonts w:hint="eastAsia" w:ascii="黑体" w:hAnsi="黑体" w:eastAsia="黑体" w:cs="宋体"/>
          <w:color w:val="333333"/>
          <w:kern w:val="0"/>
          <w:sz w:val="32"/>
          <w:szCs w:val="32"/>
        </w:rPr>
        <w:t>：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ZkMDQ3OTUwYTY5Y2Y3ZGUyNWVjMDhlMjVmMDkzYjkifQ=="/>
  </w:docVars>
  <w:rsids>
    <w:rsidRoot w:val="2DAB6A01"/>
    <w:rsid w:val="2DAB6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2023-07-21T08:11:00Z</dcterms:created>
  <dc:creator>白SIR</dc:creator>
  <cp:lastModifiedBy>白SIR</cp:lastModifiedBy>
  <dcterms:modified xsi:type="dcterms:W3CDTF">2023-07-21T08:11:45Z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EE86A397E20D4FB9A0E54C386A71BBDF_11</vt:lpwstr>
  </property>
</Properties>
</file>