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150" w:after="156" w:afterLines="50" w:line="60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关于对《内蒙古嘉烁牧业有限公司奶牛、肉牛养殖基地项目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（变更）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环境影响报告书》的批复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内蒙古嘉烁牧业有限公司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你公司报送的《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内蒙古嘉烁牧业有限公司奶牛、肉牛养殖基地项目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（变更）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环境影响报告书》已收悉，经现场核查、审议研究后，现对该项目批复如下：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建设内容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该项目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为变更项目。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原有项目《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内蒙古嘉烁牧业有限公司奶牛、肉牛养殖基地项目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环境影响报告书》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 2023 年 2 月 20 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通过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巴彦淖尔市生态环境局磴口县分局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审批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（磴环审发〔2023〕1 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总投资 29700 万元，占地面积 910.91 亩，设计年存栏奶牛 9000 头，肉牛3000 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，项目未建成。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由于项目建设规模进行了调整，新征占地 952亩，新增奶牛 5000 头，项目变更后总投资396368 万元，环保投资 918 万元，总占地1862.91 亩，设计年存栏奶牛14000 头，肉牛 3000 头，建设地点位于沙金苏木巴音温都尔嘎查蒙牛养殖园区，中心坐标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 xml:space="preserve"> N40°32'20.82"、E106°43'23.10"。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项目变更后，建设地点未发生变化，在原审批项目的东、西两侧各新征占地一块，增建标准化牛舍 13 座，变更后全场标准化牛舍共 28 座；对原审批项目东侧布置的生活区、草料库、青储窖、晾粪平台、氧化塘调整到位于养殖基地西侧的新增地块内建设，原位置用于建设标准化牛舍、挤奶厅等；新增1台电锅炉。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项目符合国家产业政策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，选址合理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，我局同意你公司按照《报告书》中所列建设项目地点、性质、规模、生产工艺、环境保护对策措施进行建设。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56" w:line="360" w:lineRule="auto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项目变更后，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建设和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生产运营中，重点做好以下方面的工作：</w:t>
      </w:r>
    </w:p>
    <w:p>
      <w:pPr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项目变更后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大气污染防治措施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未发生变化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运营期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饲料中添加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酶制剂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EM 菌种添加剂等，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从源头减少恶臭的产生。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粪污处置区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恶臭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好氧堆肥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投加减少氨释放和保氮的复合发酵剂，减少氨气等臭气的排放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场界排放浓度满足《恶臭污染物排放标准》（GB14554-93）中的二级新扩改建标准和《畜禽养殖业污染物排放标准》(GB18596-2001)中表7标准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饲料配制车间全封闭，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无组织粉尘满足《大气污染物综合排放标准》（GB16297-1996）中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zh-CN"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2新污染源无组织浓度监控限值要求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/>
        <w:overflowPunct/>
        <w:bidi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落实各项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项目变更后，挤奶厅设置 1 座 750m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superscript"/>
          <w:lang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沉淀池，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挤奶厅及待挤区清洗水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进入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沉淀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池，上清液回用于待挤厅地面冲洗，剩余部分经沉淀池分离后排入氧化塘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食堂废水经隔油后和生活污水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电锅炉排水经管道排入氧化塘处理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。新建氧化塘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单座容积均为 40000m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，氧化塘废水以液肥形式用于农田施肥；项目配套粪污消纳土地 20000 亩，通过污罐车拉运。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液态肥施用于农田应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以轮作的方式进行，且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配套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的农田面积应满足需求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严禁采用渗坑、漫流或直接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排放的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方式随意排放废水。</w:t>
      </w:r>
    </w:p>
    <w:p>
      <w:pPr>
        <w:pageBreakBefore w:val="0"/>
        <w:numPr>
          <w:ilvl w:val="0"/>
          <w:numId w:val="0"/>
        </w:numPr>
        <w:kinsoku/>
        <w:wordWrap/>
        <w:overflowPunct/>
        <w:bidi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落实各项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噪声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污染防治措施。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尽量选用低噪声的设备，高噪声设备布置于车间厂房内。风机等部分噪声设备设置减振基础。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养殖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场场界设围墙，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周边种植树木绿化、降噪。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厂界噪声应满足《工业企业厂界环境噪声排放标准》（GB12348-2008）2类标准。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/>
        <w:spacing w:line="360" w:lineRule="auto"/>
        <w:ind w:right="57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按照《报告书》要求，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落实各项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固体废物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污染防治措施。每座牛舍配备集粪池4座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新建晾粪平台1座，占地面积 20000m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（200m×100m），分区使用，底部进行硬化防渗处理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高1.2m围墙，晾粪平台内设置自流坡道，可对晾粪平台溢流水进行收集送入氧化塘。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牛粪、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固液分离机分离出的沉渣等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清运至堆肥平台内好氧堆肥后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用于农田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施肥。严禁未经处理的畜禽粪便直接进入农田，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禁止向水体倾倒畜禽粪便、废渣。运输畜禽粪便、废渣，必须采取防渗漏、防流失、防遗撒等措施。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病死畜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交由巴彦淖尔市绿之源生物技术发展有限公司进行无害化处理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医疗废物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集中收集后，暂存于10m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危废暂存间内，定期委托具有资质的单位处置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生活垃圾分类收集后，定期清运至指定地点集中处置。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三、落实并优化《报告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》提出的各项风险防范措施。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编制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应急预案并定期演练，防止意外事故造成环境污染。建立健全各环保设施运行台帐，加强对各项环保设施的日常运行维护及管理工作，杜绝污染事故，确保环境安全，并按照《报告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》提出的环境监测计划，加强对环境各要素的跟踪监测，防止发生污染事故。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四、项目建设必须严格执行“配套建设的环境保护设施与主体工程同时设计、同时施工、同时投产使用”的环境保护“三同时”制度。项目建成后，应按规定程序实施竣工环境保护验收。按照国家排污许可有关规定，投产前完成排污许可证的申领，并按证排污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五、项目环境影响评价文件经批准后，如工程的性质、规模、工艺、地点或者污染防治措施发生重大变动，你公司应当重新报批环境影响评价文件，否则不得实施建设。自环评文件批准之日起，超过五年方决定开工建设，应当报我局重新审核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、项目建设和运营期的环境现场监督管理由磴口县环境监察大队负责。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ZmQ2NGE3NGQyMTFkNTZiYzVjMGVkMjJkM2U1YzEifQ=="/>
  </w:docVars>
  <w:rsids>
    <w:rsidRoot w:val="3A2F043A"/>
    <w:rsid w:val="00062355"/>
    <w:rsid w:val="000A22E5"/>
    <w:rsid w:val="000E5BF8"/>
    <w:rsid w:val="0012447F"/>
    <w:rsid w:val="001809AC"/>
    <w:rsid w:val="002C363F"/>
    <w:rsid w:val="002C71FE"/>
    <w:rsid w:val="002F037B"/>
    <w:rsid w:val="00354889"/>
    <w:rsid w:val="00471482"/>
    <w:rsid w:val="004A070C"/>
    <w:rsid w:val="00626203"/>
    <w:rsid w:val="006517C6"/>
    <w:rsid w:val="006B06E8"/>
    <w:rsid w:val="006C0A8F"/>
    <w:rsid w:val="006F0382"/>
    <w:rsid w:val="00712720"/>
    <w:rsid w:val="007579E4"/>
    <w:rsid w:val="00852CD9"/>
    <w:rsid w:val="008B7636"/>
    <w:rsid w:val="008F5B83"/>
    <w:rsid w:val="009F4011"/>
    <w:rsid w:val="00B1784B"/>
    <w:rsid w:val="00B402F6"/>
    <w:rsid w:val="00B73302"/>
    <w:rsid w:val="00BC3D61"/>
    <w:rsid w:val="00BF6BFD"/>
    <w:rsid w:val="00D276C4"/>
    <w:rsid w:val="00DC54F3"/>
    <w:rsid w:val="00E35B7A"/>
    <w:rsid w:val="00EA028E"/>
    <w:rsid w:val="0120344A"/>
    <w:rsid w:val="022E2781"/>
    <w:rsid w:val="02DC0576"/>
    <w:rsid w:val="05381F84"/>
    <w:rsid w:val="068C2905"/>
    <w:rsid w:val="07CD1B45"/>
    <w:rsid w:val="08131C01"/>
    <w:rsid w:val="0963774B"/>
    <w:rsid w:val="09D13E3A"/>
    <w:rsid w:val="0AE532FA"/>
    <w:rsid w:val="0D642E20"/>
    <w:rsid w:val="0DE63E89"/>
    <w:rsid w:val="0E9A3879"/>
    <w:rsid w:val="0EF40609"/>
    <w:rsid w:val="0F487E05"/>
    <w:rsid w:val="14E011D4"/>
    <w:rsid w:val="18AB491A"/>
    <w:rsid w:val="197A3DE0"/>
    <w:rsid w:val="1B7E70EC"/>
    <w:rsid w:val="1BD31A9C"/>
    <w:rsid w:val="1C12508A"/>
    <w:rsid w:val="1D007763"/>
    <w:rsid w:val="20DA359F"/>
    <w:rsid w:val="216F684A"/>
    <w:rsid w:val="21717E0A"/>
    <w:rsid w:val="21D45CEB"/>
    <w:rsid w:val="21FB60D1"/>
    <w:rsid w:val="24694364"/>
    <w:rsid w:val="25AF0402"/>
    <w:rsid w:val="25F82166"/>
    <w:rsid w:val="26652718"/>
    <w:rsid w:val="27D164DB"/>
    <w:rsid w:val="2A4E70AE"/>
    <w:rsid w:val="30F844B0"/>
    <w:rsid w:val="31160D87"/>
    <w:rsid w:val="320A4739"/>
    <w:rsid w:val="349D0CE2"/>
    <w:rsid w:val="35BA1A47"/>
    <w:rsid w:val="385D5ADD"/>
    <w:rsid w:val="38A7296D"/>
    <w:rsid w:val="38BC08E1"/>
    <w:rsid w:val="3A2F043A"/>
    <w:rsid w:val="41974D29"/>
    <w:rsid w:val="45905E6F"/>
    <w:rsid w:val="460F054F"/>
    <w:rsid w:val="47606175"/>
    <w:rsid w:val="47D97659"/>
    <w:rsid w:val="492B6367"/>
    <w:rsid w:val="49490CA3"/>
    <w:rsid w:val="4AAF289F"/>
    <w:rsid w:val="4B4D116D"/>
    <w:rsid w:val="4D3D2494"/>
    <w:rsid w:val="4DA0342C"/>
    <w:rsid w:val="4DA66F23"/>
    <w:rsid w:val="4DF82292"/>
    <w:rsid w:val="4F701229"/>
    <w:rsid w:val="4FAB0A65"/>
    <w:rsid w:val="51B33D2B"/>
    <w:rsid w:val="51C772ED"/>
    <w:rsid w:val="52BF12AE"/>
    <w:rsid w:val="53065295"/>
    <w:rsid w:val="54095EF0"/>
    <w:rsid w:val="54743A45"/>
    <w:rsid w:val="55E453B9"/>
    <w:rsid w:val="5650513F"/>
    <w:rsid w:val="576900FC"/>
    <w:rsid w:val="5CC260BA"/>
    <w:rsid w:val="5EB60D10"/>
    <w:rsid w:val="601079E8"/>
    <w:rsid w:val="60B30F76"/>
    <w:rsid w:val="61750921"/>
    <w:rsid w:val="64FB15C5"/>
    <w:rsid w:val="65181008"/>
    <w:rsid w:val="65B21CEB"/>
    <w:rsid w:val="694C587A"/>
    <w:rsid w:val="6A23298D"/>
    <w:rsid w:val="6CE801F9"/>
    <w:rsid w:val="6D3715FC"/>
    <w:rsid w:val="74281823"/>
    <w:rsid w:val="74622D7D"/>
    <w:rsid w:val="74696F40"/>
    <w:rsid w:val="760022B0"/>
    <w:rsid w:val="761E1CC3"/>
    <w:rsid w:val="78220ECD"/>
    <w:rsid w:val="7B5E7719"/>
    <w:rsid w:val="7E2142B5"/>
    <w:rsid w:val="7F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1]正文"/>
    <w:basedOn w:val="1"/>
    <w:qFormat/>
    <w:uiPriority w:val="0"/>
    <w:pPr>
      <w:autoSpaceDE w:val="0"/>
      <w:autoSpaceDN w:val="0"/>
      <w:ind w:firstLine="200" w:firstLineChars="200"/>
    </w:pPr>
    <w:rPr>
      <w:color w:val="000000"/>
      <w:kern w:val="0"/>
      <w:lang w:val="zh-CN"/>
    </w:rPr>
  </w:style>
  <w:style w:type="paragraph" w:styleId="4">
    <w:name w:val="Normal Indent"/>
    <w:basedOn w:val="1"/>
    <w:next w:val="5"/>
    <w:qFormat/>
    <w:uiPriority w:val="0"/>
    <w:pPr>
      <w:spacing w:beforeLines="50" w:line="480" w:lineRule="exact"/>
      <w:ind w:firstLine="480" w:firstLineChars="200"/>
      <w:jc w:val="left"/>
    </w:pPr>
  </w:style>
  <w:style w:type="paragraph" w:styleId="5">
    <w:name w:val="Body Text First Indent 2"/>
    <w:basedOn w:val="6"/>
    <w:next w:val="1"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360" w:lineRule="auto"/>
      <w:ind w:left="420" w:leftChars="200" w:right="0" w:firstLine="420" w:firstLineChars="200"/>
      <w:jc w:val="both"/>
    </w:pPr>
    <w:rPr>
      <w:rFonts w:hint="default" w:ascii="Times New Roman" w:hAnsi="Times New Roman" w:eastAsia="宋体" w:cs="黑体"/>
      <w:kern w:val="2"/>
      <w:sz w:val="24"/>
      <w:szCs w:val="24"/>
      <w:lang w:val="en-US" w:eastAsia="zh-CN" w:bidi="ar"/>
    </w:rPr>
  </w:style>
  <w:style w:type="paragraph" w:styleId="6">
    <w:name w:val="Body Text Indent"/>
    <w:basedOn w:val="1"/>
    <w:next w:val="1"/>
    <w:qFormat/>
    <w:uiPriority w:val="0"/>
    <w:pPr>
      <w:spacing w:line="560" w:lineRule="exact"/>
      <w:ind w:firstLine="480" w:firstLineChars="200"/>
    </w:pPr>
    <w:rPr>
      <w:rFonts w:ascii="宋体"/>
      <w:bCs/>
      <w:sz w:val="24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sz w:val="24"/>
    </w:rPr>
  </w:style>
  <w:style w:type="paragraph" w:customStyle="1" w:styleId="16">
    <w:name w:val="样式 样式 样式 样式 正文首行缩进 + 首行缩进:  2 字符 + 首行缩进:  2 字符 + 首行缩进:  2 字符 +"/>
    <w:basedOn w:val="1"/>
    <w:qFormat/>
    <w:uiPriority w:val="0"/>
    <w:pPr>
      <w:adjustRightInd w:val="0"/>
      <w:spacing w:line="360" w:lineRule="auto"/>
      <w:ind w:firstLine="560" w:firstLineChars="200"/>
      <w:jc w:val="left"/>
    </w:pPr>
    <w:rPr>
      <w:rFonts w:ascii="Arial" w:hAnsi="楷体_GB2312" w:eastAsia="楷体_GB2312" w:cs="Arial"/>
      <w:color w:val="333333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1503</Words>
  <Characters>1613</Characters>
  <Lines>13</Lines>
  <Paragraphs>3</Paragraphs>
  <TotalTime>11</TotalTime>
  <ScaleCrop>false</ScaleCrop>
  <LinksUpToDate>false</LinksUpToDate>
  <CharactersWithSpaces>1620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2017-09-06T01:01:00Z</dcterms:created>
  <dc:creator>Administrator</dc:creator>
  <cp:lastModifiedBy>媛春</cp:lastModifiedBy>
  <cp:lastPrinted>2023-02-02T07:39:00Z</cp:lastPrinted>
  <dcterms:modified xsi:type="dcterms:W3CDTF">2023-12-07T09:25:40Z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32B7C05A1D6B4C2587B2947ABE1B0839</vt:lpwstr>
  </property>
</Properties>
</file>