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1746BB">
      <w:pPr>
        <w:rPr>
          <w:rFonts w:hint="eastAsia" w:eastAsia="仿宋_GB2312"/>
          <w:color w:val="auto"/>
          <w:sz w:val="36"/>
          <w:szCs w:val="36"/>
        </w:rPr>
      </w:pPr>
      <w:bookmarkStart w:id="0" w:name="_Hlk57883707"/>
    </w:p>
    <w:p w14:paraId="3969FF10">
      <w:pPr>
        <w:rPr>
          <w:rFonts w:hint="eastAsia" w:eastAsia="仿宋_GB2312"/>
          <w:color w:val="auto"/>
          <w:sz w:val="36"/>
          <w:szCs w:val="36"/>
        </w:rPr>
      </w:pPr>
    </w:p>
    <w:p w14:paraId="400C70F0">
      <w:pPr>
        <w:rPr>
          <w:rFonts w:hint="eastAsia" w:eastAsia="仿宋_GB2312"/>
          <w:color w:val="auto"/>
          <w:sz w:val="36"/>
          <w:szCs w:val="36"/>
        </w:rPr>
      </w:pPr>
    </w:p>
    <w:p w14:paraId="2D3746B9">
      <w:pPr>
        <w:rPr>
          <w:rFonts w:eastAsia="仿宋_GB2312"/>
          <w:color w:val="auto"/>
          <w:sz w:val="36"/>
          <w:szCs w:val="36"/>
        </w:rPr>
      </w:pPr>
    </w:p>
    <w:bookmarkEnd w:id="0"/>
    <w:p w14:paraId="6864D44C">
      <w:pPr>
        <w:adjustRightInd w:val="0"/>
        <w:snapToGrid w:val="0"/>
        <w:jc w:val="center"/>
        <w:outlineLvl w:val="0"/>
        <w:rPr>
          <w:rFonts w:ascii="宋体" w:hAnsi="宋体"/>
          <w:b/>
          <w:bCs/>
          <w:color w:val="auto"/>
          <w:sz w:val="72"/>
          <w:szCs w:val="72"/>
        </w:rPr>
      </w:pPr>
      <w:bookmarkStart w:id="1" w:name="_Toc103325973"/>
      <w:r>
        <w:rPr>
          <w:rFonts w:ascii="宋体" w:hAnsi="宋体"/>
          <w:b/>
          <w:bCs/>
          <w:color w:val="auto"/>
          <w:sz w:val="72"/>
          <w:szCs w:val="72"/>
        </w:rPr>
        <w:t>建设项目环境影响报告表</w:t>
      </w:r>
      <w:bookmarkEnd w:id="1"/>
    </w:p>
    <w:p w14:paraId="251940D8">
      <w:pPr>
        <w:adjustRightInd w:val="0"/>
        <w:snapToGrid w:val="0"/>
        <w:spacing w:before="192" w:beforeLines="80"/>
        <w:jc w:val="center"/>
        <w:rPr>
          <w:rFonts w:ascii="宋体" w:hAnsi="宋体"/>
          <w:bCs/>
          <w:color w:val="auto"/>
          <w:sz w:val="48"/>
          <w:szCs w:val="48"/>
        </w:rPr>
      </w:pPr>
      <w:r>
        <w:rPr>
          <w:rFonts w:ascii="宋体" w:hAnsi="宋体"/>
          <w:bCs/>
          <w:color w:val="auto"/>
          <w:sz w:val="48"/>
          <w:szCs w:val="48"/>
        </w:rPr>
        <w:t>（生态</w:t>
      </w:r>
      <w:r>
        <w:rPr>
          <w:rFonts w:ascii="宋体" w:hAnsi="宋体"/>
          <w:bCs/>
          <w:color w:val="auto"/>
          <w:sz w:val="48"/>
          <w:szCs w:val="48"/>
        </w:rPr>
        <w:t>影响类）</w:t>
      </w:r>
    </w:p>
    <w:p w14:paraId="29BC1749">
      <w:pPr>
        <w:jc w:val="center"/>
        <w:rPr>
          <w:rFonts w:eastAsia="仿宋"/>
          <w:color w:val="auto"/>
          <w:sz w:val="52"/>
          <w:szCs w:val="52"/>
        </w:rPr>
      </w:pPr>
      <w:bookmarkStart w:id="2" w:name="_Hlk57883728"/>
    </w:p>
    <w:p w14:paraId="7F272084">
      <w:pPr>
        <w:ind w:firstLine="1040"/>
        <w:rPr>
          <w:rFonts w:eastAsia="仿宋"/>
          <w:color w:val="auto"/>
          <w:sz w:val="44"/>
          <w:szCs w:val="44"/>
        </w:rPr>
      </w:pPr>
    </w:p>
    <w:p w14:paraId="4444256B">
      <w:pPr>
        <w:ind w:firstLine="1040"/>
        <w:rPr>
          <w:rFonts w:eastAsia="仿宋"/>
          <w:color w:val="auto"/>
          <w:sz w:val="44"/>
          <w:szCs w:val="44"/>
        </w:rPr>
      </w:pPr>
    </w:p>
    <w:p w14:paraId="2831DF10">
      <w:pPr>
        <w:ind w:firstLine="1040"/>
        <w:rPr>
          <w:rFonts w:hint="eastAsia" w:eastAsia="仿宋"/>
          <w:color w:val="auto"/>
          <w:sz w:val="44"/>
          <w:szCs w:val="44"/>
        </w:rPr>
      </w:pPr>
    </w:p>
    <w:p w14:paraId="0F14AE78">
      <w:pPr>
        <w:ind w:firstLine="1040"/>
        <w:rPr>
          <w:rFonts w:hint="eastAsia" w:eastAsia="仿宋"/>
          <w:color w:val="auto"/>
          <w:sz w:val="44"/>
          <w:szCs w:val="44"/>
        </w:rPr>
      </w:pPr>
    </w:p>
    <w:p w14:paraId="07877E03">
      <w:pPr>
        <w:ind w:firstLine="1040"/>
        <w:rPr>
          <w:rFonts w:hint="eastAsia" w:eastAsia="仿宋"/>
          <w:color w:val="auto"/>
          <w:sz w:val="44"/>
          <w:szCs w:val="44"/>
        </w:rPr>
      </w:pPr>
    </w:p>
    <w:p w14:paraId="36FDBBDF">
      <w:pPr>
        <w:ind w:firstLine="1040"/>
        <w:rPr>
          <w:rFonts w:hint="eastAsia" w:eastAsia="仿宋"/>
          <w:color w:val="auto"/>
          <w:sz w:val="44"/>
          <w:szCs w:val="44"/>
        </w:rPr>
      </w:pPr>
    </w:p>
    <w:p w14:paraId="17D86472">
      <w:pPr>
        <w:ind w:firstLine="1040"/>
        <w:rPr>
          <w:rFonts w:hint="eastAsia" w:eastAsia="仿宋"/>
          <w:color w:val="auto"/>
          <w:sz w:val="44"/>
          <w:szCs w:val="44"/>
        </w:rPr>
      </w:pPr>
    </w:p>
    <w:p w14:paraId="12EE3962">
      <w:pPr>
        <w:ind w:firstLine="1040"/>
        <w:rPr>
          <w:rFonts w:eastAsia="仿宋"/>
          <w:color w:val="auto"/>
          <w:sz w:val="44"/>
          <w:szCs w:val="44"/>
        </w:rPr>
      </w:pPr>
    </w:p>
    <w:p w14:paraId="0D7AA814">
      <w:pPr>
        <w:ind w:firstLine="1040"/>
        <w:rPr>
          <w:rFonts w:eastAsia="仿宋"/>
          <w:color w:val="auto"/>
          <w:sz w:val="44"/>
          <w:szCs w:val="44"/>
        </w:rPr>
      </w:pPr>
    </w:p>
    <w:bookmarkEnd w:id="2"/>
    <w:p w14:paraId="0A55B70E">
      <w:pPr>
        <w:adjustRightInd w:val="0"/>
        <w:snapToGrid w:val="0"/>
        <w:spacing w:line="288" w:lineRule="auto"/>
        <w:ind w:left="359" w:leftChars="171" w:firstLine="361" w:firstLineChars="100"/>
        <w:jc w:val="left"/>
        <w:rPr>
          <w:rFonts w:hint="default" w:eastAsia="宋体"/>
          <w:b/>
          <w:color w:val="auto"/>
          <w:sz w:val="30"/>
          <w:szCs w:val="30"/>
          <w:u w:val="single"/>
          <w:lang w:val="en-US" w:eastAsia="zh-CN"/>
        </w:rPr>
      </w:pPr>
      <w:r>
        <w:rPr>
          <w:b/>
          <w:color w:val="auto"/>
          <w:sz w:val="36"/>
          <w:szCs w:val="36"/>
        </w:rPr>
        <w:t>项目名称</w:t>
      </w:r>
      <w:r>
        <w:rPr>
          <w:color w:val="auto"/>
          <w:sz w:val="36"/>
          <w:szCs w:val="36"/>
        </w:rPr>
        <w:t>：</w:t>
      </w:r>
      <w:r>
        <w:rPr>
          <w:rFonts w:hint="eastAsia"/>
          <w:color w:val="auto"/>
          <w:sz w:val="36"/>
          <w:szCs w:val="36"/>
          <w:u w:val="single"/>
          <w:lang w:val="en-US" w:eastAsia="zh-CN"/>
        </w:rPr>
        <w:t xml:space="preserve">      </w:t>
      </w:r>
      <w:r>
        <w:rPr>
          <w:rFonts w:hint="eastAsia"/>
          <w:b/>
          <w:color w:val="auto"/>
          <w:sz w:val="32"/>
          <w:szCs w:val="36"/>
          <w:u w:val="single"/>
          <w:lang w:eastAsia="zh-CN"/>
        </w:rPr>
        <w:t>磴口县扎格6探井勘探项目</w:t>
      </w:r>
      <w:r>
        <w:rPr>
          <w:rFonts w:hint="eastAsia"/>
          <w:b/>
          <w:color w:val="auto"/>
          <w:sz w:val="32"/>
          <w:szCs w:val="36"/>
          <w:u w:val="single"/>
          <w:lang w:val="en-US" w:eastAsia="zh-CN"/>
        </w:rPr>
        <w:t xml:space="preserve">    </w:t>
      </w:r>
    </w:p>
    <w:p w14:paraId="3052D7CF">
      <w:pPr>
        <w:adjustRightInd w:val="0"/>
        <w:snapToGrid w:val="0"/>
        <w:spacing w:line="288" w:lineRule="auto"/>
        <w:ind w:firstLine="723" w:firstLineChars="200"/>
        <w:rPr>
          <w:b/>
          <w:color w:val="auto"/>
          <w:sz w:val="30"/>
          <w:szCs w:val="30"/>
          <w:u w:val="single"/>
        </w:rPr>
      </w:pPr>
      <w:r>
        <w:rPr>
          <w:b/>
          <w:color w:val="auto"/>
          <w:sz w:val="36"/>
          <w:szCs w:val="36"/>
        </w:rPr>
        <w:t>建设单位（盖章）</w:t>
      </w:r>
      <w:r>
        <w:rPr>
          <w:color w:val="auto"/>
          <w:sz w:val="36"/>
          <w:szCs w:val="36"/>
        </w:rPr>
        <w:t>：</w:t>
      </w:r>
      <w:r>
        <w:rPr>
          <w:b/>
          <w:color w:val="auto"/>
          <w:sz w:val="30"/>
          <w:szCs w:val="30"/>
          <w:u w:val="thick"/>
        </w:rPr>
        <w:t>中国石油天然气股份有限公司</w:t>
      </w:r>
    </w:p>
    <w:p w14:paraId="0E9C59A1">
      <w:pPr>
        <w:adjustRightInd w:val="0"/>
        <w:snapToGrid w:val="0"/>
        <w:spacing w:line="288" w:lineRule="auto"/>
        <w:ind w:firstLine="2409" w:firstLineChars="800"/>
        <w:jc w:val="center"/>
        <w:rPr>
          <w:rFonts w:ascii="Times New Roman" w:hAnsi="Times New Roman" w:eastAsia="宋体" w:cs="Times New Roman"/>
          <w:b/>
          <w:color w:val="auto"/>
          <w:sz w:val="30"/>
          <w:szCs w:val="30"/>
          <w:u w:val="thick"/>
        </w:rPr>
      </w:pPr>
      <w:r>
        <w:rPr>
          <w:rFonts w:hint="eastAsia"/>
          <w:b/>
          <w:color w:val="auto"/>
          <w:sz w:val="30"/>
          <w:szCs w:val="30"/>
          <w:u w:val="none"/>
          <w:lang w:val="en-US" w:eastAsia="zh-CN"/>
        </w:rPr>
        <w:t xml:space="preserve">   </w:t>
      </w:r>
      <w:r>
        <w:rPr>
          <w:rFonts w:ascii="Times New Roman" w:hAnsi="Times New Roman" w:eastAsia="宋体" w:cs="Times New Roman"/>
          <w:b/>
          <w:color w:val="auto"/>
          <w:sz w:val="30"/>
          <w:szCs w:val="30"/>
          <w:u w:val="thick"/>
        </w:rPr>
        <w:t>华北油田巴彦勘探开发分公司</w:t>
      </w:r>
    </w:p>
    <w:p w14:paraId="13E8A152">
      <w:pPr>
        <w:adjustRightInd w:val="0"/>
        <w:snapToGrid w:val="0"/>
        <w:spacing w:line="360" w:lineRule="auto"/>
        <w:ind w:firstLine="723" w:firstLineChars="200"/>
        <w:rPr>
          <w:rFonts w:hint="eastAsia"/>
          <w:b/>
          <w:color w:val="auto"/>
          <w:sz w:val="30"/>
          <w:szCs w:val="30"/>
          <w:u w:val="single"/>
        </w:rPr>
      </w:pPr>
      <w:r>
        <w:rPr>
          <w:rFonts w:ascii="宋体" w:hAnsi="宋体"/>
          <w:b/>
          <w:color w:val="auto"/>
          <w:sz w:val="36"/>
          <w:szCs w:val="36"/>
        </w:rPr>
        <w:t>编制日期：</w:t>
      </w:r>
      <w:r>
        <w:rPr>
          <w:rFonts w:hint="eastAsia" w:ascii="宋体" w:hAnsi="宋体"/>
          <w:b/>
          <w:color w:val="auto"/>
          <w:sz w:val="36"/>
          <w:szCs w:val="36"/>
          <w:u w:val="single"/>
        </w:rPr>
        <w:t xml:space="preserve">       </w:t>
      </w:r>
      <w:r>
        <w:rPr>
          <w:b/>
          <w:color w:val="auto"/>
          <w:sz w:val="36"/>
          <w:szCs w:val="36"/>
          <w:u w:val="single"/>
        </w:rPr>
        <w:t>202</w:t>
      </w:r>
      <w:r>
        <w:rPr>
          <w:rFonts w:hint="eastAsia"/>
          <w:b/>
          <w:color w:val="auto"/>
          <w:sz w:val="36"/>
          <w:szCs w:val="36"/>
          <w:u w:val="single"/>
          <w:lang w:val="en-US" w:eastAsia="zh-CN"/>
        </w:rPr>
        <w:t>5</w:t>
      </w:r>
      <w:r>
        <w:rPr>
          <w:b/>
          <w:color w:val="auto"/>
          <w:sz w:val="36"/>
          <w:szCs w:val="36"/>
          <w:u w:val="single"/>
        </w:rPr>
        <w:t>年</w:t>
      </w:r>
      <w:r>
        <w:rPr>
          <w:rFonts w:hint="eastAsia"/>
          <w:b/>
          <w:color w:val="auto"/>
          <w:sz w:val="36"/>
          <w:szCs w:val="36"/>
          <w:u w:val="single"/>
          <w:lang w:val="en-US" w:eastAsia="zh-CN"/>
        </w:rPr>
        <w:t>2</w:t>
      </w:r>
      <w:r>
        <w:rPr>
          <w:b/>
          <w:color w:val="auto"/>
          <w:sz w:val="36"/>
          <w:szCs w:val="36"/>
          <w:u w:val="single"/>
        </w:rPr>
        <w:t>月</w:t>
      </w:r>
      <w:r>
        <w:rPr>
          <w:rFonts w:hint="eastAsia"/>
          <w:b/>
          <w:color w:val="auto"/>
          <w:sz w:val="30"/>
          <w:szCs w:val="30"/>
          <w:u w:val="single"/>
        </w:rPr>
        <w:t xml:space="preserve">   </w:t>
      </w:r>
      <w:r>
        <w:rPr>
          <w:rFonts w:hint="eastAsia"/>
          <w:b/>
          <w:color w:val="auto"/>
          <w:sz w:val="30"/>
          <w:szCs w:val="30"/>
          <w:u w:val="single"/>
          <w:lang w:val="en-US" w:eastAsia="zh-CN"/>
        </w:rPr>
        <w:t xml:space="preserve">       </w:t>
      </w:r>
      <w:r>
        <w:rPr>
          <w:rFonts w:hint="eastAsia"/>
          <w:b/>
          <w:color w:val="auto"/>
          <w:sz w:val="30"/>
          <w:szCs w:val="30"/>
          <w:u w:val="single"/>
        </w:rPr>
        <w:t xml:space="preserve">    </w:t>
      </w:r>
    </w:p>
    <w:p w14:paraId="7A49858E">
      <w:pPr>
        <w:adjustRightInd w:val="0"/>
        <w:snapToGrid w:val="0"/>
        <w:spacing w:line="360" w:lineRule="auto"/>
        <w:jc w:val="center"/>
        <w:rPr>
          <w:rFonts w:hint="eastAsia" w:ascii="宋体" w:hAnsi="宋体"/>
          <w:color w:val="auto"/>
          <w:sz w:val="36"/>
          <w:szCs w:val="36"/>
          <w:u w:val="single"/>
        </w:rPr>
      </w:pPr>
    </w:p>
    <w:p w14:paraId="5C1CA700">
      <w:pPr>
        <w:adjustRightInd w:val="0"/>
        <w:snapToGrid w:val="0"/>
        <w:spacing w:line="360" w:lineRule="auto"/>
        <w:jc w:val="center"/>
        <w:rPr>
          <w:rFonts w:ascii="宋体" w:hAnsi="宋体"/>
          <w:color w:val="auto"/>
          <w:sz w:val="36"/>
          <w:szCs w:val="36"/>
          <w:u w:val="single"/>
        </w:rPr>
      </w:pPr>
    </w:p>
    <w:p w14:paraId="29DD10F8">
      <w:pPr>
        <w:adjustRightInd w:val="0"/>
        <w:snapToGrid w:val="0"/>
        <w:spacing w:line="360" w:lineRule="auto"/>
        <w:jc w:val="center"/>
        <w:rPr>
          <w:rFonts w:ascii="宋体" w:hAnsi="宋体"/>
          <w:b/>
          <w:color w:val="auto"/>
          <w:sz w:val="36"/>
          <w:szCs w:val="36"/>
        </w:rPr>
        <w:sectPr>
          <w:footerReference r:id="rId3" w:type="default"/>
          <w:footerReference r:id="rId4" w:type="even"/>
          <w:pgSz w:w="11906" w:h="16838"/>
          <w:pgMar w:top="1588" w:right="1418" w:bottom="1418" w:left="1588" w:header="851" w:footer="1077" w:gutter="0"/>
          <w:pgBorders>
            <w:top w:val="none" w:sz="0" w:space="0"/>
            <w:left w:val="none" w:sz="0" w:space="0"/>
            <w:bottom w:val="none" w:sz="0" w:space="0"/>
            <w:right w:val="none" w:sz="0" w:space="0"/>
          </w:pgBorders>
          <w:pgNumType w:start="21"/>
          <w:cols w:space="720" w:num="1"/>
          <w:docGrid w:linePitch="312" w:charSpace="0"/>
        </w:sectPr>
      </w:pPr>
      <w:r>
        <w:rPr>
          <w:rFonts w:ascii="宋体" w:hAnsi="宋体"/>
          <w:b/>
          <w:color w:val="auto"/>
          <w:sz w:val="36"/>
          <w:szCs w:val="36"/>
        </w:rPr>
        <w:t>中华人民共和国生态环境部</w:t>
      </w:r>
      <w:r>
        <w:rPr>
          <w:rFonts w:ascii="宋体" w:hAnsi="宋体"/>
          <w:b/>
          <w:color w:val="auto"/>
          <w:sz w:val="36"/>
          <w:szCs w:val="36"/>
          <w:highlight w:val="none"/>
        </w:rPr>
        <w:t>制</w:t>
      </w:r>
    </w:p>
    <w:p w14:paraId="5E419355">
      <w:pPr>
        <w:jc w:val="center"/>
        <w:rPr>
          <w:rFonts w:hint="eastAsia"/>
          <w:color w:val="auto"/>
          <w:sz w:val="28"/>
          <w:szCs w:val="28"/>
        </w:rPr>
      </w:pPr>
      <w:r>
        <w:rPr>
          <w:rFonts w:hint="eastAsia"/>
          <w:color w:val="auto"/>
          <w:sz w:val="28"/>
          <w:szCs w:val="28"/>
        </w:rPr>
        <w:t>目录</w:t>
      </w:r>
    </w:p>
    <w:p w14:paraId="498094D7">
      <w:pPr>
        <w:jc w:val="center"/>
        <w:rPr>
          <w:color w:val="auto"/>
          <w:sz w:val="24"/>
        </w:rPr>
      </w:pPr>
    </w:p>
    <w:p w14:paraId="20E2CC7C">
      <w:pPr>
        <w:pStyle w:val="21"/>
        <w:tabs>
          <w:tab w:val="right" w:leader="dot" w:pos="8834"/>
        </w:tabs>
        <w:rPr>
          <w:rFonts w:ascii="Times New Roman" w:hAnsi="Times New Roman"/>
          <w:color w:val="auto"/>
          <w:kern w:val="2"/>
          <w:sz w:val="24"/>
          <w:szCs w:val="24"/>
        </w:rPr>
      </w:pPr>
      <w:r>
        <w:rPr>
          <w:rFonts w:ascii="Times New Roman" w:hAnsi="Times New Roman"/>
          <w:color w:val="auto"/>
          <w:sz w:val="24"/>
          <w:szCs w:val="24"/>
        </w:rPr>
        <w:fldChar w:fldCharType="begin"/>
      </w:r>
      <w:r>
        <w:rPr>
          <w:rFonts w:ascii="Times New Roman" w:hAnsi="Times New Roman"/>
          <w:color w:val="auto"/>
          <w:sz w:val="24"/>
          <w:szCs w:val="24"/>
        </w:rPr>
        <w:instrText xml:space="preserve"> TOC \o "1-3" \h \z \u </w:instrText>
      </w:r>
      <w:r>
        <w:rPr>
          <w:rFonts w:ascii="Times New Roman" w:hAnsi="Times New Roman"/>
          <w:color w:val="auto"/>
          <w:sz w:val="24"/>
          <w:szCs w:val="24"/>
        </w:rPr>
        <w:fldChar w:fldCharType="separate"/>
      </w:r>
      <w:r>
        <w:rPr>
          <w:rFonts w:ascii="Times New Roman" w:hAnsi="Times New Roman"/>
          <w:color w:val="auto"/>
          <w:sz w:val="24"/>
          <w:szCs w:val="24"/>
        </w:rPr>
        <w:fldChar w:fldCharType="begin"/>
      </w:r>
      <w:r>
        <w:rPr>
          <w:rStyle w:val="35"/>
          <w:rFonts w:ascii="Times New Roman" w:hAnsi="Times New Roman"/>
          <w:color w:val="auto"/>
          <w:sz w:val="24"/>
          <w:szCs w:val="24"/>
        </w:rPr>
        <w:instrText xml:space="preserve"> </w:instrText>
      </w:r>
      <w:r>
        <w:rPr>
          <w:rFonts w:ascii="Times New Roman" w:hAnsi="Times New Roman"/>
          <w:color w:val="auto"/>
          <w:sz w:val="24"/>
          <w:szCs w:val="24"/>
        </w:rPr>
        <w:instrText xml:space="preserve">HYPERLINK \l "_Toc103325974"</w:instrText>
      </w:r>
      <w:r>
        <w:rPr>
          <w:rStyle w:val="35"/>
          <w:rFonts w:ascii="Times New Roman" w:hAnsi="Times New Roman"/>
          <w:color w:val="auto"/>
          <w:sz w:val="24"/>
          <w:szCs w:val="24"/>
        </w:rPr>
        <w:instrText xml:space="preserve"> </w:instrText>
      </w:r>
      <w:r>
        <w:rPr>
          <w:rFonts w:ascii="Times New Roman" w:hAnsi="Times New Roman"/>
          <w:color w:val="auto"/>
          <w:sz w:val="24"/>
          <w:szCs w:val="24"/>
        </w:rPr>
        <w:fldChar w:fldCharType="separate"/>
      </w:r>
      <w:r>
        <w:rPr>
          <w:rStyle w:val="35"/>
          <w:rFonts w:ascii="Times New Roman" w:hAnsi="Times New Roman"/>
          <w:snapToGrid w:val="0"/>
          <w:color w:val="auto"/>
          <w:sz w:val="24"/>
          <w:szCs w:val="24"/>
        </w:rPr>
        <w:t>一、建设项目基本情况</w:t>
      </w:r>
      <w:r>
        <w:rPr>
          <w:rFonts w:ascii="Times New Roman" w:hAnsi="Times New Roman"/>
          <w:color w:val="auto"/>
          <w:sz w:val="24"/>
          <w:szCs w:val="24"/>
        </w:rPr>
        <w:tab/>
      </w:r>
      <w:r>
        <w:rPr>
          <w:rFonts w:ascii="Times New Roman" w:hAnsi="Times New Roman"/>
          <w:color w:val="auto"/>
          <w:sz w:val="24"/>
          <w:szCs w:val="24"/>
        </w:rPr>
        <w:fldChar w:fldCharType="begin"/>
      </w:r>
      <w:r>
        <w:rPr>
          <w:rFonts w:ascii="Times New Roman" w:hAnsi="Times New Roman"/>
          <w:color w:val="auto"/>
          <w:sz w:val="24"/>
          <w:szCs w:val="24"/>
        </w:rPr>
        <w:instrText xml:space="preserve"> PAGEREF _Toc103325974 \h </w:instrText>
      </w:r>
      <w:r>
        <w:rPr>
          <w:rFonts w:ascii="Times New Roman" w:hAnsi="Times New Roman"/>
          <w:color w:val="auto"/>
          <w:sz w:val="24"/>
          <w:szCs w:val="24"/>
        </w:rPr>
        <w:fldChar w:fldCharType="separate"/>
      </w:r>
      <w:r>
        <w:rPr>
          <w:rFonts w:ascii="Times New Roman" w:hAnsi="Times New Roman"/>
          <w:color w:val="auto"/>
          <w:sz w:val="24"/>
          <w:szCs w:val="24"/>
        </w:rPr>
        <w:t>1</w:t>
      </w:r>
      <w:r>
        <w:rPr>
          <w:rFonts w:ascii="Times New Roman" w:hAnsi="Times New Roman"/>
          <w:color w:val="auto"/>
          <w:sz w:val="24"/>
          <w:szCs w:val="24"/>
        </w:rPr>
        <w:fldChar w:fldCharType="end"/>
      </w:r>
      <w:r>
        <w:rPr>
          <w:rFonts w:ascii="Times New Roman" w:hAnsi="Times New Roman"/>
          <w:color w:val="auto"/>
          <w:sz w:val="24"/>
          <w:szCs w:val="24"/>
        </w:rPr>
        <w:fldChar w:fldCharType="end"/>
      </w:r>
    </w:p>
    <w:p w14:paraId="080FB1B4">
      <w:pPr>
        <w:pStyle w:val="21"/>
        <w:tabs>
          <w:tab w:val="right" w:leader="dot" w:pos="8834"/>
        </w:tabs>
        <w:rPr>
          <w:rFonts w:hint="eastAsia" w:ascii="Times New Roman" w:hAnsi="Times New Roman" w:eastAsia="宋体"/>
          <w:color w:val="auto"/>
          <w:kern w:val="2"/>
          <w:sz w:val="24"/>
          <w:szCs w:val="24"/>
          <w:lang w:val="en-US" w:eastAsia="zh-CN"/>
        </w:rPr>
      </w:pPr>
      <w:r>
        <w:rPr>
          <w:rFonts w:ascii="Times New Roman" w:hAnsi="Times New Roman"/>
          <w:color w:val="auto"/>
          <w:sz w:val="24"/>
          <w:szCs w:val="24"/>
        </w:rPr>
        <w:fldChar w:fldCharType="begin"/>
      </w:r>
      <w:r>
        <w:rPr>
          <w:rStyle w:val="35"/>
          <w:rFonts w:ascii="Times New Roman" w:hAnsi="Times New Roman"/>
          <w:color w:val="auto"/>
          <w:sz w:val="24"/>
          <w:szCs w:val="24"/>
        </w:rPr>
        <w:instrText xml:space="preserve"> </w:instrText>
      </w:r>
      <w:r>
        <w:rPr>
          <w:rFonts w:ascii="Times New Roman" w:hAnsi="Times New Roman"/>
          <w:color w:val="auto"/>
          <w:sz w:val="24"/>
          <w:szCs w:val="24"/>
        </w:rPr>
        <w:instrText xml:space="preserve">HYPERLINK \l "_Toc103325975"</w:instrText>
      </w:r>
      <w:r>
        <w:rPr>
          <w:rStyle w:val="35"/>
          <w:rFonts w:ascii="Times New Roman" w:hAnsi="Times New Roman"/>
          <w:color w:val="auto"/>
          <w:sz w:val="24"/>
          <w:szCs w:val="24"/>
        </w:rPr>
        <w:instrText xml:space="preserve"> </w:instrText>
      </w:r>
      <w:r>
        <w:rPr>
          <w:rFonts w:ascii="Times New Roman" w:hAnsi="Times New Roman"/>
          <w:color w:val="auto"/>
          <w:sz w:val="24"/>
          <w:szCs w:val="24"/>
        </w:rPr>
        <w:fldChar w:fldCharType="separate"/>
      </w:r>
      <w:r>
        <w:rPr>
          <w:rStyle w:val="35"/>
          <w:rFonts w:ascii="Times New Roman" w:hAnsi="Times New Roman"/>
          <w:snapToGrid w:val="0"/>
          <w:color w:val="auto"/>
          <w:sz w:val="24"/>
          <w:szCs w:val="24"/>
        </w:rPr>
        <w:t>二、建设内容</w:t>
      </w:r>
      <w:r>
        <w:rPr>
          <w:rFonts w:ascii="Times New Roman" w:hAnsi="Times New Roman"/>
          <w:color w:val="auto"/>
          <w:sz w:val="24"/>
          <w:szCs w:val="24"/>
        </w:rPr>
        <w:tab/>
      </w:r>
      <w:r>
        <w:rPr>
          <w:rFonts w:hint="eastAsia" w:ascii="Times New Roman" w:hAnsi="Times New Roman"/>
          <w:color w:val="auto"/>
          <w:sz w:val="24"/>
          <w:szCs w:val="24"/>
          <w:lang w:val="en-US" w:eastAsia="zh-CN"/>
        </w:rPr>
        <w:t>1</w:t>
      </w:r>
      <w:r>
        <w:rPr>
          <w:rFonts w:ascii="Times New Roman" w:hAnsi="Times New Roman"/>
          <w:color w:val="auto"/>
          <w:sz w:val="24"/>
          <w:szCs w:val="24"/>
        </w:rPr>
        <w:fldChar w:fldCharType="end"/>
      </w:r>
      <w:r>
        <w:rPr>
          <w:rStyle w:val="35"/>
          <w:rFonts w:hint="eastAsia" w:ascii="Times New Roman" w:hAnsi="Times New Roman"/>
          <w:color w:val="auto"/>
          <w:sz w:val="24"/>
          <w:szCs w:val="24"/>
          <w:lang w:val="en-US" w:eastAsia="zh-CN"/>
        </w:rPr>
        <w:t>5</w:t>
      </w:r>
    </w:p>
    <w:p w14:paraId="2C2F222C">
      <w:pPr>
        <w:pStyle w:val="21"/>
        <w:tabs>
          <w:tab w:val="right" w:leader="dot" w:pos="8834"/>
        </w:tabs>
        <w:rPr>
          <w:rFonts w:hint="eastAsia" w:ascii="Times New Roman" w:hAnsi="Times New Roman" w:eastAsia="宋体"/>
          <w:color w:val="auto"/>
          <w:kern w:val="2"/>
          <w:sz w:val="24"/>
          <w:szCs w:val="24"/>
          <w:lang w:val="en-US" w:eastAsia="zh-CN"/>
        </w:rPr>
      </w:pPr>
      <w:r>
        <w:rPr>
          <w:rFonts w:ascii="Times New Roman" w:hAnsi="Times New Roman"/>
          <w:color w:val="auto"/>
          <w:sz w:val="24"/>
          <w:szCs w:val="24"/>
        </w:rPr>
        <w:fldChar w:fldCharType="begin"/>
      </w:r>
      <w:r>
        <w:rPr>
          <w:rStyle w:val="35"/>
          <w:rFonts w:ascii="Times New Roman" w:hAnsi="Times New Roman"/>
          <w:color w:val="auto"/>
          <w:sz w:val="24"/>
          <w:szCs w:val="24"/>
        </w:rPr>
        <w:instrText xml:space="preserve"> </w:instrText>
      </w:r>
      <w:r>
        <w:rPr>
          <w:rFonts w:ascii="Times New Roman" w:hAnsi="Times New Roman"/>
          <w:color w:val="auto"/>
          <w:sz w:val="24"/>
          <w:szCs w:val="24"/>
        </w:rPr>
        <w:instrText xml:space="preserve">HYPERLINK \l "_Toc103325977"</w:instrText>
      </w:r>
      <w:r>
        <w:rPr>
          <w:rStyle w:val="35"/>
          <w:rFonts w:ascii="Times New Roman" w:hAnsi="Times New Roman"/>
          <w:color w:val="auto"/>
          <w:sz w:val="24"/>
          <w:szCs w:val="24"/>
        </w:rPr>
        <w:instrText xml:space="preserve"> </w:instrText>
      </w:r>
      <w:r>
        <w:rPr>
          <w:rFonts w:ascii="Times New Roman" w:hAnsi="Times New Roman"/>
          <w:color w:val="auto"/>
          <w:sz w:val="24"/>
          <w:szCs w:val="24"/>
        </w:rPr>
        <w:fldChar w:fldCharType="separate"/>
      </w:r>
      <w:r>
        <w:rPr>
          <w:rStyle w:val="35"/>
          <w:rFonts w:ascii="Times New Roman" w:hAnsi="Times New Roman"/>
          <w:snapToGrid w:val="0"/>
          <w:color w:val="auto"/>
          <w:sz w:val="24"/>
          <w:szCs w:val="24"/>
        </w:rPr>
        <w:t>三、生态环境现状、保护目标及评价标准</w:t>
      </w:r>
      <w:r>
        <w:rPr>
          <w:rFonts w:ascii="Times New Roman" w:hAnsi="Times New Roman"/>
          <w:color w:val="auto"/>
          <w:sz w:val="24"/>
          <w:szCs w:val="24"/>
        </w:rPr>
        <w:tab/>
      </w:r>
      <w:r>
        <w:rPr>
          <w:rFonts w:hint="eastAsia" w:ascii="Times New Roman" w:hAnsi="Times New Roman"/>
          <w:color w:val="auto"/>
          <w:sz w:val="24"/>
          <w:szCs w:val="24"/>
          <w:lang w:val="en-US" w:eastAsia="zh-CN"/>
        </w:rPr>
        <w:t>4</w:t>
      </w:r>
      <w:r>
        <w:rPr>
          <w:rFonts w:ascii="Times New Roman" w:hAnsi="Times New Roman"/>
          <w:color w:val="auto"/>
          <w:sz w:val="24"/>
          <w:szCs w:val="24"/>
        </w:rPr>
        <w:fldChar w:fldCharType="end"/>
      </w:r>
      <w:r>
        <w:rPr>
          <w:rStyle w:val="35"/>
          <w:rFonts w:hint="eastAsia" w:ascii="Times New Roman" w:hAnsi="Times New Roman"/>
          <w:color w:val="auto"/>
          <w:sz w:val="24"/>
          <w:szCs w:val="24"/>
          <w:lang w:val="en-US" w:eastAsia="zh-CN"/>
        </w:rPr>
        <w:t>0</w:t>
      </w:r>
    </w:p>
    <w:p w14:paraId="75CA733D">
      <w:pPr>
        <w:pStyle w:val="21"/>
        <w:tabs>
          <w:tab w:val="right" w:leader="dot" w:pos="8834"/>
        </w:tabs>
        <w:rPr>
          <w:rFonts w:hint="eastAsia" w:ascii="Times New Roman" w:hAnsi="Times New Roman" w:eastAsia="宋体"/>
          <w:color w:val="auto"/>
          <w:kern w:val="2"/>
          <w:sz w:val="24"/>
          <w:szCs w:val="24"/>
          <w:lang w:val="en-US" w:eastAsia="zh-CN"/>
        </w:rPr>
      </w:pPr>
      <w:r>
        <w:rPr>
          <w:rFonts w:ascii="Times New Roman" w:hAnsi="Times New Roman"/>
          <w:color w:val="auto"/>
          <w:sz w:val="24"/>
          <w:szCs w:val="24"/>
        </w:rPr>
        <w:fldChar w:fldCharType="begin"/>
      </w:r>
      <w:r>
        <w:rPr>
          <w:rStyle w:val="35"/>
          <w:rFonts w:ascii="Times New Roman" w:hAnsi="Times New Roman"/>
          <w:color w:val="auto"/>
          <w:sz w:val="24"/>
          <w:szCs w:val="24"/>
        </w:rPr>
        <w:instrText xml:space="preserve"> </w:instrText>
      </w:r>
      <w:r>
        <w:rPr>
          <w:rFonts w:ascii="Times New Roman" w:hAnsi="Times New Roman"/>
          <w:color w:val="auto"/>
          <w:sz w:val="24"/>
          <w:szCs w:val="24"/>
        </w:rPr>
        <w:instrText xml:space="preserve">HYPERLINK \l "_Toc103325978"</w:instrText>
      </w:r>
      <w:r>
        <w:rPr>
          <w:rStyle w:val="35"/>
          <w:rFonts w:ascii="Times New Roman" w:hAnsi="Times New Roman"/>
          <w:color w:val="auto"/>
          <w:sz w:val="24"/>
          <w:szCs w:val="24"/>
        </w:rPr>
        <w:instrText xml:space="preserve"> </w:instrText>
      </w:r>
      <w:r>
        <w:rPr>
          <w:rFonts w:ascii="Times New Roman" w:hAnsi="Times New Roman"/>
          <w:color w:val="auto"/>
          <w:sz w:val="24"/>
          <w:szCs w:val="24"/>
        </w:rPr>
        <w:fldChar w:fldCharType="separate"/>
      </w:r>
      <w:r>
        <w:rPr>
          <w:rStyle w:val="35"/>
          <w:rFonts w:ascii="Times New Roman" w:hAnsi="Times New Roman"/>
          <w:snapToGrid w:val="0"/>
          <w:color w:val="auto"/>
          <w:sz w:val="24"/>
          <w:szCs w:val="24"/>
        </w:rPr>
        <w:t>四、生态环境影响分析</w:t>
      </w:r>
      <w:r>
        <w:rPr>
          <w:rFonts w:ascii="Times New Roman" w:hAnsi="Times New Roman"/>
          <w:color w:val="auto"/>
          <w:sz w:val="24"/>
          <w:szCs w:val="24"/>
        </w:rPr>
        <w:tab/>
      </w:r>
      <w:r>
        <w:rPr>
          <w:rFonts w:hint="eastAsia" w:ascii="Times New Roman" w:hAnsi="Times New Roman"/>
          <w:color w:val="auto"/>
          <w:sz w:val="24"/>
          <w:szCs w:val="24"/>
          <w:lang w:val="en-US" w:eastAsia="zh-CN"/>
        </w:rPr>
        <w:t>4</w:t>
      </w:r>
      <w:r>
        <w:rPr>
          <w:rFonts w:ascii="Times New Roman" w:hAnsi="Times New Roman"/>
          <w:color w:val="auto"/>
          <w:sz w:val="24"/>
          <w:szCs w:val="24"/>
        </w:rPr>
        <w:fldChar w:fldCharType="end"/>
      </w:r>
      <w:r>
        <w:rPr>
          <w:rStyle w:val="35"/>
          <w:rFonts w:hint="eastAsia" w:ascii="Times New Roman" w:hAnsi="Times New Roman"/>
          <w:color w:val="auto"/>
          <w:sz w:val="24"/>
          <w:szCs w:val="24"/>
          <w:lang w:val="en-US" w:eastAsia="zh-CN"/>
        </w:rPr>
        <w:t>9</w:t>
      </w:r>
    </w:p>
    <w:p w14:paraId="1B661A45">
      <w:pPr>
        <w:pStyle w:val="21"/>
        <w:tabs>
          <w:tab w:val="right" w:leader="dot" w:pos="8834"/>
        </w:tabs>
        <w:rPr>
          <w:rFonts w:hint="eastAsia" w:ascii="Times New Roman" w:hAnsi="Times New Roman" w:eastAsia="宋体"/>
          <w:color w:val="auto"/>
          <w:kern w:val="2"/>
          <w:sz w:val="24"/>
          <w:szCs w:val="24"/>
          <w:lang w:val="en-US" w:eastAsia="zh-CN"/>
        </w:rPr>
      </w:pPr>
      <w:r>
        <w:rPr>
          <w:rFonts w:ascii="Times New Roman" w:hAnsi="Times New Roman"/>
          <w:color w:val="auto"/>
          <w:sz w:val="24"/>
          <w:szCs w:val="24"/>
        </w:rPr>
        <w:fldChar w:fldCharType="begin"/>
      </w:r>
      <w:r>
        <w:rPr>
          <w:rStyle w:val="35"/>
          <w:rFonts w:ascii="Times New Roman" w:hAnsi="Times New Roman"/>
          <w:color w:val="auto"/>
          <w:sz w:val="24"/>
          <w:szCs w:val="24"/>
        </w:rPr>
        <w:instrText xml:space="preserve"> </w:instrText>
      </w:r>
      <w:r>
        <w:rPr>
          <w:rFonts w:ascii="Times New Roman" w:hAnsi="Times New Roman"/>
          <w:color w:val="auto"/>
          <w:sz w:val="24"/>
          <w:szCs w:val="24"/>
        </w:rPr>
        <w:instrText xml:space="preserve">HYPERLINK \l "_Toc103325987"</w:instrText>
      </w:r>
      <w:r>
        <w:rPr>
          <w:rStyle w:val="35"/>
          <w:rFonts w:ascii="Times New Roman" w:hAnsi="Times New Roman"/>
          <w:color w:val="auto"/>
          <w:sz w:val="24"/>
          <w:szCs w:val="24"/>
        </w:rPr>
        <w:instrText xml:space="preserve"> </w:instrText>
      </w:r>
      <w:r>
        <w:rPr>
          <w:rFonts w:ascii="Times New Roman" w:hAnsi="Times New Roman"/>
          <w:color w:val="auto"/>
          <w:sz w:val="24"/>
          <w:szCs w:val="24"/>
        </w:rPr>
        <w:fldChar w:fldCharType="separate"/>
      </w:r>
      <w:r>
        <w:rPr>
          <w:rStyle w:val="35"/>
          <w:rFonts w:ascii="Times New Roman" w:hAnsi="Times New Roman"/>
          <w:snapToGrid w:val="0"/>
          <w:color w:val="auto"/>
          <w:sz w:val="24"/>
          <w:szCs w:val="24"/>
        </w:rPr>
        <w:t>五、主要生态环境保护措施</w:t>
      </w:r>
      <w:r>
        <w:rPr>
          <w:rFonts w:ascii="Times New Roman" w:hAnsi="Times New Roman"/>
          <w:color w:val="auto"/>
          <w:sz w:val="24"/>
          <w:szCs w:val="24"/>
        </w:rPr>
        <w:tab/>
      </w:r>
      <w:r>
        <w:rPr>
          <w:rFonts w:hint="eastAsia" w:ascii="Times New Roman" w:hAnsi="Times New Roman"/>
          <w:color w:val="auto"/>
          <w:sz w:val="24"/>
          <w:szCs w:val="24"/>
          <w:lang w:val="en-US" w:eastAsia="zh-CN"/>
        </w:rPr>
        <w:t>7</w:t>
      </w:r>
      <w:r>
        <w:rPr>
          <w:rFonts w:ascii="Times New Roman" w:hAnsi="Times New Roman"/>
          <w:color w:val="auto"/>
          <w:sz w:val="24"/>
          <w:szCs w:val="24"/>
        </w:rPr>
        <w:fldChar w:fldCharType="end"/>
      </w:r>
      <w:r>
        <w:rPr>
          <w:rStyle w:val="35"/>
          <w:rFonts w:hint="eastAsia" w:ascii="Times New Roman" w:hAnsi="Times New Roman"/>
          <w:color w:val="auto"/>
          <w:sz w:val="24"/>
          <w:szCs w:val="24"/>
          <w:lang w:val="en-US" w:eastAsia="zh-CN"/>
        </w:rPr>
        <w:t>7</w:t>
      </w:r>
    </w:p>
    <w:p w14:paraId="24D5EDF3">
      <w:pPr>
        <w:pStyle w:val="21"/>
        <w:tabs>
          <w:tab w:val="right" w:leader="dot" w:pos="8834"/>
        </w:tabs>
        <w:rPr>
          <w:rFonts w:hint="default" w:ascii="Times New Roman" w:hAnsi="Times New Roman" w:eastAsia="宋体"/>
          <w:color w:val="auto"/>
          <w:kern w:val="2"/>
          <w:sz w:val="24"/>
          <w:szCs w:val="24"/>
          <w:lang w:val="en-US" w:eastAsia="zh-CN"/>
        </w:rPr>
      </w:pPr>
      <w:r>
        <w:rPr>
          <w:rFonts w:ascii="Times New Roman" w:hAnsi="Times New Roman"/>
          <w:color w:val="auto"/>
          <w:sz w:val="24"/>
          <w:szCs w:val="24"/>
        </w:rPr>
        <w:fldChar w:fldCharType="begin"/>
      </w:r>
      <w:r>
        <w:rPr>
          <w:rStyle w:val="35"/>
          <w:rFonts w:ascii="Times New Roman" w:hAnsi="Times New Roman"/>
          <w:color w:val="auto"/>
          <w:sz w:val="24"/>
          <w:szCs w:val="24"/>
        </w:rPr>
        <w:instrText xml:space="preserve"> </w:instrText>
      </w:r>
      <w:r>
        <w:rPr>
          <w:rFonts w:ascii="Times New Roman" w:hAnsi="Times New Roman"/>
          <w:color w:val="auto"/>
          <w:sz w:val="24"/>
          <w:szCs w:val="24"/>
        </w:rPr>
        <w:instrText xml:space="preserve">HYPERLINK \l "_Toc103325993"</w:instrText>
      </w:r>
      <w:r>
        <w:rPr>
          <w:rStyle w:val="35"/>
          <w:rFonts w:ascii="Times New Roman" w:hAnsi="Times New Roman"/>
          <w:color w:val="auto"/>
          <w:sz w:val="24"/>
          <w:szCs w:val="24"/>
        </w:rPr>
        <w:instrText xml:space="preserve"> </w:instrText>
      </w:r>
      <w:r>
        <w:rPr>
          <w:rFonts w:ascii="Times New Roman" w:hAnsi="Times New Roman"/>
          <w:color w:val="auto"/>
          <w:sz w:val="24"/>
          <w:szCs w:val="24"/>
        </w:rPr>
        <w:fldChar w:fldCharType="separate"/>
      </w:r>
      <w:r>
        <w:rPr>
          <w:rStyle w:val="35"/>
          <w:rFonts w:ascii="Times New Roman" w:hAnsi="Times New Roman"/>
          <w:snapToGrid w:val="0"/>
          <w:color w:val="auto"/>
          <w:sz w:val="24"/>
          <w:szCs w:val="24"/>
        </w:rPr>
        <w:t>六、生态环境保护措施监督检查清单</w:t>
      </w:r>
      <w:r>
        <w:rPr>
          <w:rFonts w:ascii="Times New Roman" w:hAnsi="Times New Roman"/>
          <w:color w:val="auto"/>
          <w:sz w:val="24"/>
          <w:szCs w:val="24"/>
        </w:rPr>
        <w:tab/>
      </w:r>
      <w:r>
        <w:rPr>
          <w:rFonts w:hint="eastAsia" w:ascii="Times New Roman" w:hAnsi="Times New Roman"/>
          <w:color w:val="auto"/>
          <w:sz w:val="24"/>
          <w:szCs w:val="24"/>
          <w:lang w:val="en-US" w:eastAsia="zh-CN"/>
        </w:rPr>
        <w:t>1</w:t>
      </w:r>
      <w:r>
        <w:rPr>
          <w:rFonts w:ascii="Times New Roman" w:hAnsi="Times New Roman"/>
          <w:color w:val="auto"/>
          <w:sz w:val="24"/>
          <w:szCs w:val="24"/>
        </w:rPr>
        <w:fldChar w:fldCharType="end"/>
      </w:r>
      <w:r>
        <w:rPr>
          <w:rStyle w:val="35"/>
          <w:rFonts w:hint="eastAsia" w:ascii="Times New Roman" w:hAnsi="Times New Roman"/>
          <w:color w:val="auto"/>
          <w:sz w:val="24"/>
          <w:szCs w:val="24"/>
          <w:lang w:val="en-US" w:eastAsia="zh-CN"/>
        </w:rPr>
        <w:t>02</w:t>
      </w:r>
    </w:p>
    <w:p w14:paraId="5F057E15">
      <w:pPr>
        <w:pStyle w:val="21"/>
        <w:tabs>
          <w:tab w:val="right" w:leader="dot" w:pos="8834"/>
        </w:tabs>
        <w:rPr>
          <w:rFonts w:hint="eastAsia" w:ascii="Times New Roman" w:hAnsi="Times New Roman" w:eastAsia="宋体"/>
          <w:color w:val="auto"/>
          <w:kern w:val="2"/>
          <w:sz w:val="24"/>
          <w:szCs w:val="24"/>
          <w:lang w:val="en-US" w:eastAsia="zh-CN"/>
        </w:rPr>
      </w:pPr>
      <w:r>
        <w:rPr>
          <w:rFonts w:ascii="Times New Roman" w:hAnsi="Times New Roman"/>
          <w:color w:val="auto"/>
          <w:sz w:val="24"/>
          <w:szCs w:val="24"/>
        </w:rPr>
        <w:fldChar w:fldCharType="begin"/>
      </w:r>
      <w:r>
        <w:rPr>
          <w:rStyle w:val="35"/>
          <w:rFonts w:ascii="Times New Roman" w:hAnsi="Times New Roman"/>
          <w:color w:val="auto"/>
          <w:sz w:val="24"/>
          <w:szCs w:val="24"/>
        </w:rPr>
        <w:instrText xml:space="preserve"> </w:instrText>
      </w:r>
      <w:r>
        <w:rPr>
          <w:rFonts w:ascii="Times New Roman" w:hAnsi="Times New Roman"/>
          <w:color w:val="auto"/>
          <w:sz w:val="24"/>
          <w:szCs w:val="24"/>
        </w:rPr>
        <w:instrText xml:space="preserve">HYPERLINK \l "_Toc103326002"</w:instrText>
      </w:r>
      <w:r>
        <w:rPr>
          <w:rStyle w:val="35"/>
          <w:rFonts w:ascii="Times New Roman" w:hAnsi="Times New Roman"/>
          <w:color w:val="auto"/>
          <w:sz w:val="24"/>
          <w:szCs w:val="24"/>
        </w:rPr>
        <w:instrText xml:space="preserve"> </w:instrText>
      </w:r>
      <w:r>
        <w:rPr>
          <w:rFonts w:ascii="Times New Roman" w:hAnsi="Times New Roman"/>
          <w:color w:val="auto"/>
          <w:sz w:val="24"/>
          <w:szCs w:val="24"/>
        </w:rPr>
        <w:fldChar w:fldCharType="separate"/>
      </w:r>
      <w:r>
        <w:rPr>
          <w:rStyle w:val="35"/>
          <w:rFonts w:ascii="Times New Roman" w:hAnsi="Times New Roman"/>
          <w:snapToGrid w:val="0"/>
          <w:color w:val="auto"/>
          <w:sz w:val="24"/>
          <w:szCs w:val="24"/>
        </w:rPr>
        <w:t>七、结论</w:t>
      </w:r>
      <w:r>
        <w:rPr>
          <w:rFonts w:ascii="Times New Roman" w:hAnsi="Times New Roman"/>
          <w:color w:val="auto"/>
          <w:sz w:val="24"/>
          <w:szCs w:val="24"/>
        </w:rPr>
        <w:tab/>
      </w:r>
      <w:r>
        <w:rPr>
          <w:rFonts w:hint="eastAsia" w:ascii="Times New Roman" w:hAnsi="Times New Roman"/>
          <w:color w:val="auto"/>
          <w:sz w:val="24"/>
          <w:szCs w:val="24"/>
          <w:lang w:val="en-US" w:eastAsia="zh-CN"/>
        </w:rPr>
        <w:t>10</w:t>
      </w:r>
      <w:r>
        <w:rPr>
          <w:rFonts w:ascii="Times New Roman" w:hAnsi="Times New Roman"/>
          <w:color w:val="auto"/>
          <w:sz w:val="24"/>
          <w:szCs w:val="24"/>
        </w:rPr>
        <w:fldChar w:fldCharType="end"/>
      </w:r>
      <w:r>
        <w:rPr>
          <w:rStyle w:val="35"/>
          <w:rFonts w:hint="eastAsia" w:ascii="Times New Roman" w:hAnsi="Times New Roman"/>
          <w:color w:val="auto"/>
          <w:sz w:val="24"/>
          <w:szCs w:val="24"/>
          <w:lang w:val="en-US" w:eastAsia="zh-CN"/>
        </w:rPr>
        <w:t>4</w:t>
      </w:r>
    </w:p>
    <w:p w14:paraId="5A37F009">
      <w:pPr>
        <w:spacing w:line="360" w:lineRule="auto"/>
        <w:rPr>
          <w:b/>
          <w:bCs w:val="0"/>
          <w:color w:val="auto"/>
          <w:sz w:val="24"/>
          <w:lang w:val="zh-CN"/>
        </w:rPr>
      </w:pPr>
      <w:r>
        <w:rPr>
          <w:bCs/>
          <w:color w:val="auto"/>
          <w:sz w:val="24"/>
          <w:lang w:val="zh-CN"/>
        </w:rPr>
        <w:fldChar w:fldCharType="end"/>
      </w:r>
      <w:r>
        <w:rPr>
          <w:rFonts w:hint="eastAsia"/>
          <w:b/>
          <w:bCs w:val="0"/>
          <w:color w:val="auto"/>
          <w:sz w:val="24"/>
          <w:lang w:val="zh-CN"/>
        </w:rPr>
        <w:t>附图</w:t>
      </w:r>
    </w:p>
    <w:p w14:paraId="439F8C33">
      <w:pPr>
        <w:spacing w:line="360" w:lineRule="auto"/>
        <w:rPr>
          <w:color w:val="auto"/>
          <w:sz w:val="24"/>
        </w:rPr>
      </w:pPr>
      <w:r>
        <w:rPr>
          <w:color w:val="auto"/>
          <w:sz w:val="24"/>
        </w:rPr>
        <w:t>附图1项目地理位置图</w:t>
      </w:r>
    </w:p>
    <w:p w14:paraId="133334F0">
      <w:pPr>
        <w:spacing w:line="360" w:lineRule="auto"/>
        <w:rPr>
          <w:color w:val="auto"/>
          <w:sz w:val="24"/>
        </w:rPr>
      </w:pPr>
      <w:r>
        <w:rPr>
          <w:color w:val="auto"/>
          <w:sz w:val="24"/>
        </w:rPr>
        <w:t>附图2</w:t>
      </w:r>
      <w:r>
        <w:rPr>
          <w:rFonts w:hint="eastAsia"/>
          <w:color w:val="auto"/>
          <w:sz w:val="24"/>
        </w:rPr>
        <w:t>项目与探矿权范围关系示意图</w:t>
      </w:r>
    </w:p>
    <w:p w14:paraId="33CE4500">
      <w:pPr>
        <w:spacing w:line="360" w:lineRule="auto"/>
        <w:rPr>
          <w:color w:val="auto"/>
          <w:sz w:val="24"/>
        </w:rPr>
      </w:pPr>
      <w:r>
        <w:rPr>
          <w:rFonts w:hint="eastAsia"/>
          <w:color w:val="auto"/>
          <w:sz w:val="24"/>
        </w:rPr>
        <w:t>附图3周边关系示意图</w:t>
      </w:r>
    </w:p>
    <w:p w14:paraId="494BBCBD">
      <w:pPr>
        <w:spacing w:line="360" w:lineRule="auto"/>
        <w:rPr>
          <w:color w:val="auto"/>
          <w:sz w:val="24"/>
        </w:rPr>
      </w:pPr>
      <w:r>
        <w:rPr>
          <w:color w:val="auto"/>
          <w:sz w:val="24"/>
        </w:rPr>
        <w:t>附图</w:t>
      </w:r>
      <w:r>
        <w:rPr>
          <w:rFonts w:hint="eastAsia"/>
          <w:color w:val="auto"/>
          <w:sz w:val="24"/>
        </w:rPr>
        <w:t>4环境质量现状监测布点图</w:t>
      </w:r>
    </w:p>
    <w:p w14:paraId="59CE9005">
      <w:pPr>
        <w:spacing w:line="360" w:lineRule="auto"/>
        <w:rPr>
          <w:rFonts w:hint="eastAsia" w:eastAsia="宋体"/>
          <w:color w:val="auto"/>
          <w:sz w:val="24"/>
          <w:lang w:eastAsia="zh-CN"/>
        </w:rPr>
      </w:pPr>
      <w:r>
        <w:rPr>
          <w:color w:val="auto"/>
          <w:sz w:val="24"/>
        </w:rPr>
        <w:t>附图5</w:t>
      </w:r>
      <w:r>
        <w:rPr>
          <w:rFonts w:hint="eastAsia"/>
          <w:color w:val="auto"/>
          <w:sz w:val="24"/>
          <w:lang w:eastAsia="zh-CN"/>
        </w:rPr>
        <w:t>平面布置图</w:t>
      </w:r>
    </w:p>
    <w:p w14:paraId="7019A835">
      <w:pPr>
        <w:spacing w:line="360" w:lineRule="auto"/>
        <w:rPr>
          <w:rFonts w:hint="eastAsia"/>
          <w:color w:val="auto"/>
          <w:sz w:val="24"/>
        </w:rPr>
      </w:pPr>
      <w:r>
        <w:rPr>
          <w:color w:val="auto"/>
          <w:sz w:val="24"/>
        </w:rPr>
        <w:t>附图6</w:t>
      </w:r>
      <w:r>
        <w:rPr>
          <w:rFonts w:hint="eastAsia"/>
          <w:color w:val="auto"/>
          <w:sz w:val="24"/>
        </w:rPr>
        <w:t>临时占地典型生态保护措施图</w:t>
      </w:r>
    </w:p>
    <w:p w14:paraId="2CDF5547">
      <w:pPr>
        <w:spacing w:line="360" w:lineRule="auto"/>
        <w:rPr>
          <w:rFonts w:hint="eastAsia" w:eastAsia="宋体"/>
          <w:b/>
          <w:bCs/>
          <w:color w:val="auto"/>
          <w:sz w:val="24"/>
          <w:lang w:eastAsia="zh-CN"/>
        </w:rPr>
      </w:pPr>
      <w:r>
        <w:rPr>
          <w:rFonts w:hint="eastAsia"/>
          <w:b/>
          <w:bCs/>
          <w:color w:val="auto"/>
          <w:sz w:val="24"/>
          <w:lang w:eastAsia="zh-CN"/>
        </w:rPr>
        <w:t>附件</w:t>
      </w:r>
    </w:p>
    <w:p w14:paraId="4FCA0588">
      <w:pPr>
        <w:spacing w:line="360" w:lineRule="auto"/>
        <w:rPr>
          <w:rFonts w:hint="eastAsia"/>
          <w:color w:val="auto"/>
          <w:sz w:val="24"/>
        </w:rPr>
      </w:pPr>
      <w:r>
        <w:rPr>
          <w:rFonts w:hint="eastAsia"/>
          <w:color w:val="auto"/>
          <w:sz w:val="24"/>
        </w:rPr>
        <w:t>附件1项目委托书、承诺书</w:t>
      </w:r>
    </w:p>
    <w:p w14:paraId="1C9539F8">
      <w:pPr>
        <w:spacing w:line="360" w:lineRule="auto"/>
        <w:rPr>
          <w:rFonts w:hint="eastAsia"/>
          <w:color w:val="auto"/>
          <w:sz w:val="24"/>
        </w:rPr>
      </w:pPr>
      <w:r>
        <w:rPr>
          <w:rFonts w:hint="eastAsia"/>
          <w:color w:val="auto"/>
          <w:sz w:val="24"/>
        </w:rPr>
        <w:t>附件2建设单位营业执照</w:t>
      </w:r>
    </w:p>
    <w:p w14:paraId="5B4099CC">
      <w:pPr>
        <w:spacing w:line="360" w:lineRule="auto"/>
        <w:rPr>
          <w:rFonts w:hint="eastAsia"/>
          <w:color w:val="auto"/>
          <w:sz w:val="24"/>
        </w:rPr>
      </w:pPr>
      <w:r>
        <w:rPr>
          <w:rFonts w:hint="eastAsia"/>
          <w:color w:val="auto"/>
          <w:sz w:val="24"/>
        </w:rPr>
        <w:t>附件3探矿证</w:t>
      </w:r>
    </w:p>
    <w:p w14:paraId="623F758B">
      <w:pPr>
        <w:spacing w:line="360" w:lineRule="auto"/>
        <w:rPr>
          <w:rFonts w:hint="eastAsia"/>
          <w:color w:val="auto"/>
          <w:sz w:val="24"/>
          <w:highlight w:val="none"/>
          <w:lang w:eastAsia="zh-CN"/>
        </w:rPr>
      </w:pPr>
      <w:r>
        <w:rPr>
          <w:rFonts w:hint="eastAsia"/>
          <w:color w:val="auto"/>
          <w:sz w:val="24"/>
          <w:highlight w:val="none"/>
        </w:rPr>
        <w:t>附件4项目</w:t>
      </w:r>
      <w:r>
        <w:rPr>
          <w:rFonts w:hint="eastAsia"/>
          <w:color w:val="auto"/>
          <w:sz w:val="24"/>
          <w:highlight w:val="none"/>
          <w:lang w:eastAsia="zh-CN"/>
        </w:rPr>
        <w:t>不涉及生态保护红线的复函</w:t>
      </w:r>
    </w:p>
    <w:p w14:paraId="03168A3A">
      <w:pPr>
        <w:spacing w:line="360" w:lineRule="auto"/>
        <w:rPr>
          <w:rFonts w:hint="eastAsia"/>
          <w:color w:val="auto"/>
          <w:sz w:val="24"/>
          <w:highlight w:val="none"/>
          <w:lang w:eastAsia="zh-CN"/>
        </w:rPr>
      </w:pPr>
      <w:r>
        <w:rPr>
          <w:rFonts w:hint="eastAsia"/>
          <w:color w:val="auto"/>
          <w:sz w:val="24"/>
          <w:highlight w:val="none"/>
          <w:lang w:eastAsia="zh-CN"/>
        </w:rPr>
        <w:t>附件</w:t>
      </w:r>
      <w:r>
        <w:rPr>
          <w:rFonts w:hint="eastAsia"/>
          <w:color w:val="auto"/>
          <w:sz w:val="24"/>
          <w:highlight w:val="none"/>
          <w:lang w:val="en-US" w:eastAsia="zh-CN"/>
        </w:rPr>
        <w:t>5</w:t>
      </w:r>
      <w:r>
        <w:rPr>
          <w:rFonts w:hint="eastAsia"/>
          <w:color w:val="auto"/>
          <w:sz w:val="24"/>
          <w:highlight w:val="none"/>
          <w:lang w:eastAsia="zh-CN"/>
        </w:rPr>
        <w:t>项目不占用水源地的函</w:t>
      </w:r>
    </w:p>
    <w:p w14:paraId="6A411265">
      <w:pPr>
        <w:spacing w:line="360" w:lineRule="auto"/>
        <w:rPr>
          <w:rFonts w:hint="eastAsia" w:eastAsia="宋体"/>
          <w:color w:val="auto"/>
          <w:sz w:val="24"/>
          <w:highlight w:val="none"/>
          <w:lang w:eastAsia="zh-CN"/>
        </w:rPr>
      </w:pPr>
      <w:r>
        <w:rPr>
          <w:rFonts w:hint="eastAsia"/>
          <w:color w:val="auto"/>
          <w:sz w:val="24"/>
          <w:highlight w:val="none"/>
        </w:rPr>
        <w:t>附件</w:t>
      </w:r>
      <w:r>
        <w:rPr>
          <w:rFonts w:hint="eastAsia"/>
          <w:color w:val="auto"/>
          <w:sz w:val="24"/>
          <w:highlight w:val="none"/>
          <w:lang w:val="en-US" w:eastAsia="zh-CN"/>
        </w:rPr>
        <w:t>6</w:t>
      </w:r>
      <w:r>
        <w:rPr>
          <w:rFonts w:hint="eastAsia"/>
          <w:color w:val="auto"/>
          <w:sz w:val="24"/>
          <w:highlight w:val="none"/>
        </w:rPr>
        <w:t>项目</w:t>
      </w:r>
      <w:r>
        <w:rPr>
          <w:rFonts w:hint="eastAsia"/>
          <w:color w:val="auto"/>
          <w:sz w:val="24"/>
          <w:highlight w:val="none"/>
          <w:lang w:eastAsia="zh-CN"/>
        </w:rPr>
        <w:t>临时用地的批复</w:t>
      </w:r>
    </w:p>
    <w:p w14:paraId="58AD7163">
      <w:pPr>
        <w:spacing w:line="360" w:lineRule="auto"/>
        <w:rPr>
          <w:rFonts w:hint="eastAsia"/>
          <w:color w:val="auto"/>
          <w:sz w:val="24"/>
          <w:highlight w:val="none"/>
        </w:rPr>
      </w:pPr>
      <w:r>
        <w:rPr>
          <w:rFonts w:hint="eastAsia"/>
          <w:color w:val="auto"/>
          <w:sz w:val="24"/>
          <w:highlight w:val="none"/>
        </w:rPr>
        <w:t>附件</w:t>
      </w:r>
      <w:r>
        <w:rPr>
          <w:rFonts w:hint="eastAsia"/>
          <w:color w:val="auto"/>
          <w:sz w:val="24"/>
          <w:highlight w:val="none"/>
          <w:lang w:val="en-US" w:eastAsia="zh-CN"/>
        </w:rPr>
        <w:t>7</w:t>
      </w:r>
      <w:r>
        <w:rPr>
          <w:rFonts w:hint="eastAsia"/>
          <w:color w:val="auto"/>
          <w:sz w:val="24"/>
          <w:highlight w:val="none"/>
        </w:rPr>
        <w:t>环境质量现状监测报告</w:t>
      </w:r>
    </w:p>
    <w:p w14:paraId="51A8FE0B">
      <w:pPr>
        <w:spacing w:line="360" w:lineRule="auto"/>
        <w:rPr>
          <w:rFonts w:hint="eastAsia"/>
          <w:color w:val="auto"/>
          <w:sz w:val="24"/>
        </w:rPr>
      </w:pPr>
      <w:r>
        <w:rPr>
          <w:rFonts w:hint="eastAsia"/>
          <w:color w:val="auto"/>
          <w:sz w:val="24"/>
          <w:highlight w:val="none"/>
        </w:rPr>
        <w:t>附件</w:t>
      </w:r>
      <w:r>
        <w:rPr>
          <w:rFonts w:hint="eastAsia"/>
          <w:color w:val="auto"/>
          <w:sz w:val="24"/>
          <w:highlight w:val="none"/>
          <w:lang w:val="en-US" w:eastAsia="zh-CN"/>
        </w:rPr>
        <w:t>8</w:t>
      </w:r>
      <w:r>
        <w:rPr>
          <w:rFonts w:hint="eastAsia"/>
          <w:color w:val="auto"/>
          <w:sz w:val="24"/>
          <w:highlight w:val="none"/>
        </w:rPr>
        <w:t>废弃钻井泥浆及岩屑检测报</w:t>
      </w:r>
      <w:r>
        <w:rPr>
          <w:rFonts w:hint="eastAsia"/>
          <w:color w:val="auto"/>
          <w:sz w:val="24"/>
        </w:rPr>
        <w:t>告</w:t>
      </w:r>
    </w:p>
    <w:p w14:paraId="5B3D1FBE">
      <w:pPr>
        <w:spacing w:line="360" w:lineRule="auto"/>
        <w:rPr>
          <w:rFonts w:hint="eastAsia"/>
          <w:color w:val="auto"/>
          <w:sz w:val="24"/>
        </w:rPr>
      </w:pPr>
      <w:r>
        <w:rPr>
          <w:rFonts w:hint="eastAsia"/>
          <w:color w:val="auto"/>
          <w:sz w:val="24"/>
        </w:rPr>
        <w:t>附件</w:t>
      </w:r>
      <w:r>
        <w:rPr>
          <w:rFonts w:hint="eastAsia"/>
          <w:color w:val="auto"/>
          <w:sz w:val="24"/>
          <w:lang w:val="en-US" w:eastAsia="zh-CN"/>
        </w:rPr>
        <w:t>9</w:t>
      </w:r>
      <w:r>
        <w:rPr>
          <w:rFonts w:hint="eastAsia"/>
          <w:color w:val="auto"/>
          <w:sz w:val="24"/>
        </w:rPr>
        <w:t>泥浆不落地协议</w:t>
      </w:r>
    </w:p>
    <w:p w14:paraId="152F5A4F">
      <w:pPr>
        <w:spacing w:line="360" w:lineRule="auto"/>
        <w:rPr>
          <w:rFonts w:hint="eastAsia"/>
          <w:color w:val="auto"/>
          <w:sz w:val="24"/>
        </w:rPr>
      </w:pPr>
      <w:r>
        <w:rPr>
          <w:rFonts w:hint="eastAsia"/>
          <w:color w:val="auto"/>
          <w:sz w:val="24"/>
        </w:rPr>
        <w:t>附件</w:t>
      </w:r>
      <w:r>
        <w:rPr>
          <w:rFonts w:hint="eastAsia"/>
          <w:color w:val="auto"/>
          <w:sz w:val="24"/>
          <w:lang w:val="en-US" w:eastAsia="zh-CN"/>
        </w:rPr>
        <w:t>10</w:t>
      </w:r>
      <w:r>
        <w:rPr>
          <w:rFonts w:hint="eastAsia"/>
          <w:color w:val="auto"/>
          <w:sz w:val="24"/>
        </w:rPr>
        <w:t>钻井废弃泥浆处置的相关合同协议</w:t>
      </w:r>
    </w:p>
    <w:p w14:paraId="507CA8F7">
      <w:pPr>
        <w:spacing w:line="360" w:lineRule="auto"/>
        <w:rPr>
          <w:rFonts w:hint="eastAsia"/>
          <w:color w:val="auto"/>
          <w:sz w:val="24"/>
        </w:rPr>
      </w:pPr>
      <w:r>
        <w:rPr>
          <w:rFonts w:hint="eastAsia"/>
          <w:color w:val="auto"/>
          <w:sz w:val="24"/>
        </w:rPr>
        <w:t>附件1</w:t>
      </w:r>
      <w:r>
        <w:rPr>
          <w:rFonts w:hint="eastAsia"/>
          <w:color w:val="auto"/>
          <w:sz w:val="24"/>
          <w:lang w:val="en-US" w:eastAsia="zh-CN"/>
        </w:rPr>
        <w:t>1</w:t>
      </w:r>
      <w:r>
        <w:rPr>
          <w:rFonts w:hint="eastAsia"/>
          <w:color w:val="auto"/>
          <w:sz w:val="24"/>
        </w:rPr>
        <w:t>依托工程环保手续</w:t>
      </w:r>
    </w:p>
    <w:p w14:paraId="586450D4">
      <w:pPr>
        <w:adjustRightInd w:val="0"/>
        <w:snapToGrid w:val="0"/>
        <w:spacing w:line="288" w:lineRule="auto"/>
        <w:ind w:firstLine="1040"/>
        <w:rPr>
          <w:rFonts w:eastAsia="仿宋_GB2312"/>
          <w:color w:val="auto"/>
          <w:sz w:val="36"/>
          <w:szCs w:val="36"/>
        </w:rPr>
        <w:sectPr>
          <w:pgSz w:w="11906" w:h="16838"/>
          <w:pgMar w:top="1588" w:right="1418" w:bottom="1418" w:left="1588" w:header="851" w:footer="1077" w:gutter="0"/>
          <w:pgBorders>
            <w:top w:val="none" w:sz="0" w:space="0"/>
            <w:left w:val="none" w:sz="0" w:space="0"/>
            <w:bottom w:val="none" w:sz="0" w:space="0"/>
            <w:right w:val="none" w:sz="0" w:space="0"/>
          </w:pgBorders>
          <w:pgNumType w:start="21"/>
          <w:cols w:space="720" w:num="1"/>
          <w:docGrid w:linePitch="312" w:charSpace="0"/>
        </w:sectPr>
      </w:pPr>
    </w:p>
    <w:p w14:paraId="76DCF80F">
      <w:pPr>
        <w:pStyle w:val="25"/>
        <w:spacing w:before="0" w:beforeAutospacing="0" w:after="0" w:afterAutospacing="0"/>
        <w:jc w:val="center"/>
        <w:outlineLvl w:val="0"/>
        <w:rPr>
          <w:b/>
          <w:snapToGrid w:val="0"/>
          <w:color w:val="auto"/>
          <w:kern w:val="2"/>
          <w:sz w:val="30"/>
          <w:szCs w:val="30"/>
        </w:rPr>
      </w:pPr>
      <w:bookmarkStart w:id="3" w:name="_Toc103325974"/>
      <w:r>
        <w:rPr>
          <w:b/>
          <w:snapToGrid w:val="0"/>
          <w:color w:val="auto"/>
          <w:kern w:val="2"/>
          <w:sz w:val="30"/>
          <w:szCs w:val="30"/>
        </w:rPr>
        <w:t>一、建设项目基本情况</w:t>
      </w:r>
      <w:bookmarkEnd w:id="3"/>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206"/>
        <w:gridCol w:w="2423"/>
        <w:gridCol w:w="2833"/>
        <w:gridCol w:w="2464"/>
      </w:tblGrid>
      <w:tr w14:paraId="55A22E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206" w:type="dxa"/>
            <w:noWrap w:val="0"/>
            <w:tcMar>
              <w:top w:w="16" w:type="dxa"/>
              <w:left w:w="16" w:type="dxa"/>
              <w:right w:w="16" w:type="dxa"/>
            </w:tcMar>
            <w:vAlign w:val="center"/>
          </w:tcPr>
          <w:p w14:paraId="0720CEF0">
            <w:pPr>
              <w:keepNext w:val="0"/>
              <w:keepLines w:val="0"/>
              <w:suppressLineNumbers w:val="0"/>
              <w:adjustRightInd w:val="0"/>
              <w:snapToGrid w:val="0"/>
              <w:spacing w:before="0" w:beforeAutospacing="0" w:after="0" w:afterAutospacing="0"/>
              <w:ind w:left="0" w:right="0"/>
              <w:jc w:val="center"/>
              <w:rPr>
                <w:rFonts w:hint="default"/>
                <w:b/>
                <w:color w:val="auto"/>
                <w:sz w:val="24"/>
                <w:szCs w:val="21"/>
              </w:rPr>
            </w:pPr>
            <w:r>
              <w:rPr>
                <w:rFonts w:hint="default"/>
                <w:b/>
                <w:color w:val="auto"/>
                <w:sz w:val="24"/>
                <w:szCs w:val="21"/>
              </w:rPr>
              <w:t>建设项目名称</w:t>
            </w:r>
          </w:p>
        </w:tc>
        <w:tc>
          <w:tcPr>
            <w:tcW w:w="7720" w:type="dxa"/>
            <w:gridSpan w:val="3"/>
            <w:noWrap w:val="0"/>
            <w:vAlign w:val="center"/>
          </w:tcPr>
          <w:p w14:paraId="03219F6E">
            <w:pPr>
              <w:keepNext w:val="0"/>
              <w:keepLines w:val="0"/>
              <w:suppressLineNumbers w:val="0"/>
              <w:adjustRightInd w:val="0"/>
              <w:snapToGrid w:val="0"/>
              <w:spacing w:before="0" w:beforeAutospacing="0" w:after="0" w:afterAutospacing="0"/>
              <w:ind w:left="0" w:right="0"/>
              <w:jc w:val="center"/>
              <w:rPr>
                <w:rFonts w:hint="default"/>
                <w:color w:val="auto"/>
                <w:sz w:val="24"/>
              </w:rPr>
            </w:pPr>
            <w:r>
              <w:rPr>
                <w:rFonts w:hint="eastAsia"/>
                <w:color w:val="auto"/>
                <w:sz w:val="24"/>
                <w:lang w:eastAsia="zh-CN"/>
              </w:rPr>
              <w:t>磴口县扎格6探井勘探项目</w:t>
            </w:r>
          </w:p>
        </w:tc>
      </w:tr>
      <w:tr w14:paraId="017FEF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206" w:type="dxa"/>
            <w:noWrap w:val="0"/>
            <w:tcMar>
              <w:top w:w="16" w:type="dxa"/>
              <w:left w:w="16" w:type="dxa"/>
              <w:right w:w="16" w:type="dxa"/>
            </w:tcMar>
            <w:vAlign w:val="center"/>
          </w:tcPr>
          <w:p w14:paraId="5A05E27C">
            <w:pPr>
              <w:keepNext w:val="0"/>
              <w:keepLines w:val="0"/>
              <w:suppressLineNumbers w:val="0"/>
              <w:adjustRightInd w:val="0"/>
              <w:snapToGrid w:val="0"/>
              <w:spacing w:before="0" w:beforeAutospacing="0" w:after="0" w:afterAutospacing="0"/>
              <w:ind w:left="0" w:right="0"/>
              <w:jc w:val="center"/>
              <w:rPr>
                <w:rFonts w:hint="default"/>
                <w:b/>
                <w:color w:val="auto"/>
                <w:sz w:val="24"/>
                <w:szCs w:val="21"/>
              </w:rPr>
            </w:pPr>
            <w:r>
              <w:rPr>
                <w:rFonts w:hint="default"/>
                <w:b/>
                <w:color w:val="auto"/>
                <w:sz w:val="24"/>
                <w:szCs w:val="21"/>
              </w:rPr>
              <w:t>项目代码</w:t>
            </w:r>
          </w:p>
        </w:tc>
        <w:tc>
          <w:tcPr>
            <w:tcW w:w="7720" w:type="dxa"/>
            <w:gridSpan w:val="3"/>
            <w:noWrap w:val="0"/>
            <w:vAlign w:val="center"/>
          </w:tcPr>
          <w:p w14:paraId="46FB57CC">
            <w:pPr>
              <w:keepNext w:val="0"/>
              <w:keepLines w:val="0"/>
              <w:suppressLineNumbers w:val="0"/>
              <w:adjustRightInd w:val="0"/>
              <w:snapToGrid w:val="0"/>
              <w:spacing w:before="0" w:beforeAutospacing="0" w:after="0" w:afterAutospacing="0"/>
              <w:ind w:left="0" w:right="0"/>
              <w:jc w:val="center"/>
              <w:rPr>
                <w:rFonts w:hint="default"/>
                <w:color w:val="auto"/>
                <w:sz w:val="24"/>
              </w:rPr>
            </w:pPr>
            <w:r>
              <w:rPr>
                <w:rFonts w:hint="default"/>
                <w:color w:val="auto"/>
                <w:sz w:val="24"/>
              </w:rPr>
              <w:t>无</w:t>
            </w:r>
          </w:p>
        </w:tc>
      </w:tr>
      <w:tr w14:paraId="7575D0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206" w:type="dxa"/>
            <w:noWrap w:val="0"/>
            <w:tcMar>
              <w:top w:w="16" w:type="dxa"/>
              <w:left w:w="16" w:type="dxa"/>
              <w:right w:w="16" w:type="dxa"/>
            </w:tcMar>
            <w:vAlign w:val="center"/>
          </w:tcPr>
          <w:p w14:paraId="0EEFE01B">
            <w:pPr>
              <w:keepNext w:val="0"/>
              <w:keepLines w:val="0"/>
              <w:suppressLineNumbers w:val="0"/>
              <w:adjustRightInd w:val="0"/>
              <w:snapToGrid w:val="0"/>
              <w:spacing w:before="0" w:beforeAutospacing="0" w:after="0" w:afterAutospacing="0"/>
              <w:ind w:left="0" w:right="0"/>
              <w:jc w:val="center"/>
              <w:rPr>
                <w:rFonts w:hint="default"/>
                <w:b/>
                <w:color w:val="auto"/>
                <w:sz w:val="24"/>
                <w:szCs w:val="21"/>
              </w:rPr>
            </w:pPr>
            <w:r>
              <w:rPr>
                <w:rFonts w:hint="default"/>
                <w:b/>
                <w:color w:val="auto"/>
                <w:sz w:val="24"/>
                <w:szCs w:val="21"/>
              </w:rPr>
              <w:t>建设单位联系人</w:t>
            </w:r>
          </w:p>
        </w:tc>
        <w:tc>
          <w:tcPr>
            <w:tcW w:w="2423" w:type="dxa"/>
            <w:noWrap w:val="0"/>
            <w:vAlign w:val="center"/>
          </w:tcPr>
          <w:p w14:paraId="51440A3D">
            <w:pPr>
              <w:keepNext w:val="0"/>
              <w:keepLines w:val="0"/>
              <w:suppressLineNumbers w:val="0"/>
              <w:adjustRightInd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 w:val="24"/>
              </w:rPr>
              <w:t>宋</w:t>
            </w:r>
            <w:r>
              <w:rPr>
                <w:rFonts w:hint="eastAsia"/>
                <w:color w:val="auto"/>
                <w:sz w:val="24"/>
                <w:lang w:val="en-US" w:eastAsia="zh-CN"/>
              </w:rPr>
              <w:t>**</w:t>
            </w:r>
          </w:p>
        </w:tc>
        <w:tc>
          <w:tcPr>
            <w:tcW w:w="0" w:type="auto"/>
            <w:noWrap w:val="0"/>
            <w:vAlign w:val="center"/>
          </w:tcPr>
          <w:p w14:paraId="775A29A0">
            <w:pPr>
              <w:keepNext w:val="0"/>
              <w:keepLines w:val="0"/>
              <w:suppressLineNumbers w:val="0"/>
              <w:adjustRightInd w:val="0"/>
              <w:snapToGrid w:val="0"/>
              <w:spacing w:before="0" w:beforeAutospacing="0" w:after="0" w:afterAutospacing="0"/>
              <w:ind w:left="0" w:right="0"/>
              <w:jc w:val="center"/>
              <w:rPr>
                <w:rFonts w:hint="default"/>
                <w:b/>
                <w:color w:val="auto"/>
                <w:sz w:val="24"/>
              </w:rPr>
            </w:pPr>
            <w:r>
              <w:rPr>
                <w:rFonts w:hint="default"/>
                <w:b/>
                <w:color w:val="auto"/>
                <w:sz w:val="24"/>
              </w:rPr>
              <w:t>联系方式</w:t>
            </w:r>
          </w:p>
        </w:tc>
        <w:tc>
          <w:tcPr>
            <w:tcW w:w="0" w:type="auto"/>
            <w:noWrap w:val="0"/>
            <w:vAlign w:val="center"/>
          </w:tcPr>
          <w:p w14:paraId="738C39FA">
            <w:pPr>
              <w:keepNext w:val="0"/>
              <w:keepLines w:val="0"/>
              <w:suppressLineNumbers w:val="0"/>
              <w:adjustRightInd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 w:val="24"/>
                <w:lang w:val="en-US" w:eastAsia="zh-CN"/>
              </w:rPr>
              <w:t>********</w:t>
            </w:r>
          </w:p>
        </w:tc>
      </w:tr>
      <w:tr w14:paraId="2361B3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206" w:type="dxa"/>
            <w:noWrap w:val="0"/>
            <w:tcMar>
              <w:top w:w="16" w:type="dxa"/>
              <w:left w:w="16" w:type="dxa"/>
              <w:right w:w="16" w:type="dxa"/>
            </w:tcMar>
            <w:vAlign w:val="center"/>
          </w:tcPr>
          <w:p w14:paraId="34429DCD">
            <w:pPr>
              <w:keepNext w:val="0"/>
              <w:keepLines w:val="0"/>
              <w:suppressLineNumbers w:val="0"/>
              <w:adjustRightInd w:val="0"/>
              <w:snapToGrid w:val="0"/>
              <w:spacing w:before="0" w:beforeAutospacing="0" w:after="0" w:afterAutospacing="0"/>
              <w:ind w:left="0" w:right="0"/>
              <w:jc w:val="center"/>
              <w:rPr>
                <w:rFonts w:hint="default"/>
                <w:b/>
                <w:color w:val="auto"/>
                <w:sz w:val="24"/>
                <w:szCs w:val="21"/>
              </w:rPr>
            </w:pPr>
            <w:r>
              <w:rPr>
                <w:rFonts w:hint="default"/>
                <w:b/>
                <w:color w:val="auto"/>
                <w:sz w:val="24"/>
                <w:szCs w:val="21"/>
              </w:rPr>
              <w:t>建设地点</w:t>
            </w:r>
          </w:p>
        </w:tc>
        <w:tc>
          <w:tcPr>
            <w:tcW w:w="7720" w:type="dxa"/>
            <w:gridSpan w:val="3"/>
            <w:noWrap w:val="0"/>
            <w:vAlign w:val="center"/>
          </w:tcPr>
          <w:p w14:paraId="7DAD55AD">
            <w:pPr>
              <w:keepNext w:val="0"/>
              <w:keepLines w:val="0"/>
              <w:suppressLineNumbers w:val="0"/>
              <w:adjustRightInd w:val="0"/>
              <w:snapToGrid w:val="0"/>
              <w:spacing w:before="0" w:beforeAutospacing="0" w:after="0" w:afterAutospacing="0"/>
              <w:ind w:left="0" w:right="0"/>
              <w:jc w:val="center"/>
              <w:rPr>
                <w:rFonts w:hint="eastAsia" w:eastAsia="宋体"/>
                <w:color w:val="auto"/>
                <w:sz w:val="24"/>
                <w:lang w:eastAsia="zh-CN"/>
              </w:rPr>
            </w:pPr>
            <w:r>
              <w:rPr>
                <w:rFonts w:hint="default"/>
                <w:color w:val="auto"/>
                <w:sz w:val="24"/>
              </w:rPr>
              <w:t>内蒙古自治区</w:t>
            </w:r>
            <w:r>
              <w:rPr>
                <w:rFonts w:hint="eastAsia"/>
                <w:color w:val="auto"/>
                <w:sz w:val="24"/>
              </w:rPr>
              <w:t>巴彦淖尔市</w:t>
            </w:r>
            <w:r>
              <w:rPr>
                <w:rFonts w:hint="eastAsia"/>
                <w:color w:val="auto"/>
                <w:sz w:val="24"/>
                <w:lang w:eastAsia="zh-CN"/>
              </w:rPr>
              <w:t>磴口县哈腾套海农场</w:t>
            </w:r>
          </w:p>
        </w:tc>
      </w:tr>
      <w:tr w14:paraId="5C8122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206" w:type="dxa"/>
            <w:noWrap w:val="0"/>
            <w:tcMar>
              <w:top w:w="16" w:type="dxa"/>
              <w:left w:w="16" w:type="dxa"/>
              <w:right w:w="16" w:type="dxa"/>
            </w:tcMar>
            <w:vAlign w:val="center"/>
          </w:tcPr>
          <w:p w14:paraId="732576AE">
            <w:pPr>
              <w:keepNext w:val="0"/>
              <w:keepLines w:val="0"/>
              <w:suppressLineNumbers w:val="0"/>
              <w:adjustRightInd w:val="0"/>
              <w:snapToGrid w:val="0"/>
              <w:spacing w:before="0" w:beforeAutospacing="0" w:after="0" w:afterAutospacing="0"/>
              <w:ind w:left="0" w:right="0"/>
              <w:jc w:val="center"/>
              <w:rPr>
                <w:rFonts w:hint="default"/>
                <w:b/>
                <w:color w:val="auto"/>
                <w:sz w:val="24"/>
                <w:szCs w:val="21"/>
              </w:rPr>
            </w:pPr>
            <w:r>
              <w:rPr>
                <w:rFonts w:hint="default"/>
                <w:b/>
                <w:color w:val="auto"/>
                <w:sz w:val="24"/>
                <w:szCs w:val="21"/>
              </w:rPr>
              <w:t>地理坐标</w:t>
            </w:r>
          </w:p>
        </w:tc>
        <w:tc>
          <w:tcPr>
            <w:tcW w:w="7720" w:type="dxa"/>
            <w:gridSpan w:val="3"/>
            <w:noWrap w:val="0"/>
            <w:vAlign w:val="center"/>
          </w:tcPr>
          <w:p w14:paraId="2A77CA43">
            <w:pPr>
              <w:keepNext w:val="0"/>
              <w:keepLines w:val="0"/>
              <w:suppressLineNumbers w:val="0"/>
              <w:adjustRightInd w:val="0"/>
              <w:snapToGrid w:val="0"/>
              <w:spacing w:before="0" w:beforeAutospacing="0" w:after="0" w:afterAutospacing="0"/>
              <w:ind w:left="0" w:right="0"/>
              <w:jc w:val="center"/>
              <w:rPr>
                <w:rFonts w:hint="eastAsia"/>
                <w:color w:val="auto"/>
                <w:sz w:val="24"/>
              </w:rPr>
            </w:pPr>
            <w:r>
              <w:rPr>
                <w:rFonts w:hint="eastAsia"/>
                <w:color w:val="auto"/>
                <w:sz w:val="24"/>
              </w:rPr>
              <w:t>井场中心坐标：</w:t>
            </w:r>
            <w:r>
              <w:rPr>
                <w:rFonts w:hint="default" w:ascii="Times New Roman" w:hAnsi="Times New Roman" w:cs="Times New Roman"/>
                <w:color w:val="auto"/>
                <w:sz w:val="24"/>
              </w:rPr>
              <w:t>106°51′</w:t>
            </w:r>
            <w:r>
              <w:rPr>
                <w:rFonts w:hint="eastAsia" w:ascii="Times New Roman" w:hAnsi="Times New Roman" w:cs="Times New Roman"/>
                <w:color w:val="auto"/>
                <w:sz w:val="24"/>
                <w:lang w:val="en-US" w:eastAsia="zh-CN"/>
              </w:rPr>
              <w:t>10.518</w:t>
            </w:r>
            <w:r>
              <w:rPr>
                <w:rFonts w:hint="default" w:ascii="Times New Roman" w:hAnsi="Times New Roman" w:cs="Times New Roman"/>
                <w:color w:val="auto"/>
                <w:sz w:val="24"/>
              </w:rPr>
              <w:t>″</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40°3</w:t>
            </w:r>
            <w:r>
              <w:rPr>
                <w:rFonts w:hint="eastAsia" w:ascii="Times New Roman" w:hAnsi="Times New Roman" w:cs="Times New Roman"/>
                <w:color w:val="auto"/>
                <w:sz w:val="24"/>
                <w:lang w:val="en-US" w:eastAsia="zh-CN"/>
              </w:rPr>
              <w:t>7</w:t>
            </w:r>
            <w:r>
              <w:rPr>
                <w:rFonts w:hint="default" w:ascii="Times New Roman" w:hAnsi="Times New Roman" w:cs="Times New Roman"/>
                <w:color w:val="auto"/>
                <w:sz w:val="24"/>
              </w:rPr>
              <w:t>′5</w:t>
            </w:r>
            <w:r>
              <w:rPr>
                <w:rFonts w:hint="eastAsia" w:ascii="Times New Roman" w:hAnsi="Times New Roman" w:cs="Times New Roman"/>
                <w:color w:val="auto"/>
                <w:sz w:val="24"/>
                <w:lang w:val="en-US" w:eastAsia="zh-CN"/>
              </w:rPr>
              <w:t>1.596</w:t>
            </w:r>
            <w:r>
              <w:rPr>
                <w:rFonts w:hint="default" w:ascii="Times New Roman" w:hAnsi="Times New Roman" w:cs="Times New Roman"/>
                <w:color w:val="auto"/>
                <w:sz w:val="24"/>
              </w:rPr>
              <w:t>″</w:t>
            </w:r>
          </w:p>
        </w:tc>
      </w:tr>
      <w:tr w14:paraId="75EC0A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206" w:type="dxa"/>
            <w:noWrap w:val="0"/>
            <w:tcMar>
              <w:top w:w="16" w:type="dxa"/>
              <w:left w:w="16" w:type="dxa"/>
              <w:right w:w="16" w:type="dxa"/>
            </w:tcMar>
            <w:vAlign w:val="center"/>
          </w:tcPr>
          <w:p w14:paraId="0B2D8F80">
            <w:pPr>
              <w:keepNext w:val="0"/>
              <w:keepLines w:val="0"/>
              <w:suppressLineNumbers w:val="0"/>
              <w:adjustRightInd w:val="0"/>
              <w:snapToGrid w:val="0"/>
              <w:spacing w:before="0" w:beforeAutospacing="0" w:after="0" w:afterAutospacing="0"/>
              <w:ind w:left="0" w:right="0"/>
              <w:jc w:val="center"/>
              <w:rPr>
                <w:rFonts w:hint="default"/>
                <w:b/>
                <w:color w:val="auto"/>
                <w:sz w:val="24"/>
                <w:szCs w:val="21"/>
              </w:rPr>
            </w:pPr>
            <w:r>
              <w:rPr>
                <w:rFonts w:hint="default"/>
                <w:b/>
                <w:color w:val="auto"/>
                <w:sz w:val="24"/>
                <w:szCs w:val="21"/>
              </w:rPr>
              <w:t>建设项目</w:t>
            </w:r>
          </w:p>
          <w:p w14:paraId="52844F9E">
            <w:pPr>
              <w:keepNext w:val="0"/>
              <w:keepLines w:val="0"/>
              <w:suppressLineNumbers w:val="0"/>
              <w:adjustRightInd w:val="0"/>
              <w:snapToGrid w:val="0"/>
              <w:spacing w:before="0" w:beforeAutospacing="0" w:after="0" w:afterAutospacing="0"/>
              <w:ind w:left="0" w:right="0"/>
              <w:jc w:val="center"/>
              <w:rPr>
                <w:rFonts w:hint="default"/>
                <w:b/>
                <w:color w:val="auto"/>
                <w:sz w:val="24"/>
                <w:szCs w:val="21"/>
              </w:rPr>
            </w:pPr>
            <w:r>
              <w:rPr>
                <w:rFonts w:hint="default"/>
                <w:b/>
                <w:color w:val="auto"/>
                <w:sz w:val="24"/>
                <w:szCs w:val="21"/>
              </w:rPr>
              <w:t>行业类别</w:t>
            </w:r>
          </w:p>
        </w:tc>
        <w:tc>
          <w:tcPr>
            <w:tcW w:w="2423" w:type="dxa"/>
            <w:noWrap w:val="0"/>
            <w:vAlign w:val="center"/>
          </w:tcPr>
          <w:p w14:paraId="582A6FBA">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 w:val="24"/>
              </w:rPr>
              <w:t>99陆地矿产资源地质勘查（含油气资源勘探）</w:t>
            </w:r>
          </w:p>
        </w:tc>
        <w:tc>
          <w:tcPr>
            <w:tcW w:w="0" w:type="auto"/>
            <w:noWrap w:val="0"/>
            <w:vAlign w:val="center"/>
          </w:tcPr>
          <w:p w14:paraId="64EC403F">
            <w:pPr>
              <w:keepNext w:val="0"/>
              <w:keepLines w:val="0"/>
              <w:suppressLineNumbers w:val="0"/>
              <w:adjustRightInd w:val="0"/>
              <w:snapToGrid w:val="0"/>
              <w:spacing w:before="0" w:beforeAutospacing="0" w:after="0" w:afterAutospacing="0"/>
              <w:ind w:left="0" w:right="0"/>
              <w:jc w:val="center"/>
              <w:rPr>
                <w:rFonts w:hint="default"/>
                <w:b/>
                <w:color w:val="auto"/>
                <w:sz w:val="24"/>
              </w:rPr>
            </w:pPr>
            <w:r>
              <w:rPr>
                <w:rFonts w:hint="default"/>
                <w:b/>
                <w:color w:val="auto"/>
                <w:sz w:val="24"/>
              </w:rPr>
              <w:t>用地（用海）面积（m</w:t>
            </w:r>
            <w:r>
              <w:rPr>
                <w:rFonts w:hint="default"/>
                <w:b/>
                <w:color w:val="auto"/>
                <w:sz w:val="24"/>
                <w:vertAlign w:val="superscript"/>
              </w:rPr>
              <w:t>2</w:t>
            </w:r>
            <w:r>
              <w:rPr>
                <w:rFonts w:hint="default"/>
                <w:b/>
                <w:color w:val="auto"/>
                <w:sz w:val="24"/>
              </w:rPr>
              <w:t>）/长度（km）</w:t>
            </w:r>
          </w:p>
        </w:tc>
        <w:tc>
          <w:tcPr>
            <w:tcW w:w="0" w:type="auto"/>
            <w:noWrap w:val="0"/>
            <w:vAlign w:val="center"/>
          </w:tcPr>
          <w:p w14:paraId="0C5AB810">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 w:val="24"/>
                <w:highlight w:val="none"/>
              </w:rPr>
              <w:t>临时用地面积</w:t>
            </w:r>
            <w:r>
              <w:rPr>
                <w:rFonts w:hint="eastAsia"/>
                <w:color w:val="auto"/>
                <w:sz w:val="24"/>
                <w:highlight w:val="none"/>
                <w:lang w:val="en-US" w:eastAsia="zh-CN"/>
              </w:rPr>
              <w:t>16709</w:t>
            </w:r>
            <w:r>
              <w:rPr>
                <w:rFonts w:hint="default"/>
                <w:color w:val="auto"/>
                <w:sz w:val="24"/>
                <w:highlight w:val="none"/>
              </w:rPr>
              <w:t>m</w:t>
            </w:r>
            <w:r>
              <w:rPr>
                <w:rFonts w:hint="default"/>
                <w:color w:val="auto"/>
                <w:sz w:val="24"/>
                <w:highlight w:val="none"/>
                <w:vertAlign w:val="superscript"/>
              </w:rPr>
              <w:t>2</w:t>
            </w:r>
          </w:p>
        </w:tc>
      </w:tr>
      <w:tr w14:paraId="7CF666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206" w:type="dxa"/>
            <w:noWrap w:val="0"/>
            <w:tcMar>
              <w:top w:w="16" w:type="dxa"/>
              <w:left w:w="16" w:type="dxa"/>
              <w:right w:w="16" w:type="dxa"/>
            </w:tcMar>
            <w:vAlign w:val="center"/>
          </w:tcPr>
          <w:p w14:paraId="6CD7420E">
            <w:pPr>
              <w:keepNext w:val="0"/>
              <w:keepLines w:val="0"/>
              <w:suppressLineNumbers w:val="0"/>
              <w:adjustRightInd w:val="0"/>
              <w:snapToGrid w:val="0"/>
              <w:spacing w:before="0" w:beforeAutospacing="0" w:after="0" w:afterAutospacing="0"/>
              <w:ind w:left="0" w:right="0"/>
              <w:jc w:val="center"/>
              <w:rPr>
                <w:rFonts w:hint="default"/>
                <w:b/>
                <w:color w:val="auto"/>
                <w:sz w:val="24"/>
                <w:szCs w:val="21"/>
              </w:rPr>
            </w:pPr>
            <w:r>
              <w:rPr>
                <w:rFonts w:hint="default"/>
                <w:b/>
                <w:color w:val="auto"/>
                <w:sz w:val="24"/>
                <w:szCs w:val="21"/>
              </w:rPr>
              <w:t>建设性质</w:t>
            </w:r>
          </w:p>
        </w:tc>
        <w:tc>
          <w:tcPr>
            <w:tcW w:w="2423" w:type="dxa"/>
            <w:noWrap w:val="0"/>
            <w:vAlign w:val="center"/>
          </w:tcPr>
          <w:p w14:paraId="349C6689">
            <w:pPr>
              <w:keepNext w:val="0"/>
              <w:keepLines w:val="0"/>
              <w:suppressLineNumbers w:val="0"/>
              <w:adjustRightInd w:val="0"/>
              <w:snapToGrid w:val="0"/>
              <w:spacing w:before="0" w:beforeAutospacing="0" w:after="0" w:afterAutospacing="0"/>
              <w:ind w:left="0" w:right="0"/>
              <w:jc w:val="left"/>
              <w:rPr>
                <w:rFonts w:hint="default"/>
                <w:color w:val="auto"/>
                <w:sz w:val="24"/>
              </w:rPr>
            </w:pPr>
            <w:r>
              <w:rPr>
                <w:rFonts w:hint="default"/>
                <w:color w:val="auto"/>
                <w:sz w:val="24"/>
              </w:rPr>
              <w:t>■新建（迁建）</w:t>
            </w:r>
          </w:p>
          <w:p w14:paraId="132C8462">
            <w:pPr>
              <w:keepNext w:val="0"/>
              <w:keepLines w:val="0"/>
              <w:suppressLineNumbers w:val="0"/>
              <w:adjustRightInd w:val="0"/>
              <w:snapToGrid w:val="0"/>
              <w:spacing w:before="0" w:beforeAutospacing="0" w:after="0" w:afterAutospacing="0"/>
              <w:ind w:left="0" w:right="0"/>
              <w:jc w:val="left"/>
              <w:rPr>
                <w:rFonts w:hint="default"/>
                <w:color w:val="auto"/>
                <w:sz w:val="24"/>
              </w:rPr>
            </w:pPr>
            <w:r>
              <w:rPr>
                <w:rFonts w:hint="default"/>
                <w:color w:val="auto"/>
                <w:sz w:val="24"/>
              </w:rPr>
              <w:t>□改建</w:t>
            </w:r>
          </w:p>
          <w:p w14:paraId="14CE2135">
            <w:pPr>
              <w:keepNext w:val="0"/>
              <w:keepLines w:val="0"/>
              <w:suppressLineNumbers w:val="0"/>
              <w:adjustRightInd w:val="0"/>
              <w:snapToGrid w:val="0"/>
              <w:spacing w:before="0" w:beforeAutospacing="0" w:after="0" w:afterAutospacing="0"/>
              <w:ind w:left="0" w:right="0"/>
              <w:jc w:val="left"/>
              <w:rPr>
                <w:rFonts w:hint="default"/>
                <w:color w:val="auto"/>
                <w:sz w:val="24"/>
              </w:rPr>
            </w:pPr>
            <w:r>
              <w:rPr>
                <w:rFonts w:hint="default"/>
                <w:color w:val="auto"/>
                <w:sz w:val="24"/>
              </w:rPr>
              <w:t>□扩建</w:t>
            </w:r>
          </w:p>
          <w:p w14:paraId="7381D7C0">
            <w:pPr>
              <w:keepNext w:val="0"/>
              <w:keepLines w:val="0"/>
              <w:suppressLineNumbers w:val="0"/>
              <w:adjustRightInd w:val="0"/>
              <w:snapToGrid w:val="0"/>
              <w:spacing w:before="0" w:beforeAutospacing="0" w:after="0" w:afterAutospacing="0"/>
              <w:ind w:left="0" w:right="0"/>
              <w:jc w:val="left"/>
              <w:rPr>
                <w:rFonts w:hint="default"/>
                <w:color w:val="auto"/>
                <w:sz w:val="24"/>
              </w:rPr>
            </w:pPr>
            <w:r>
              <w:rPr>
                <w:rFonts w:hint="default"/>
                <w:color w:val="auto"/>
                <w:sz w:val="24"/>
              </w:rPr>
              <w:t>□技术改造</w:t>
            </w:r>
          </w:p>
        </w:tc>
        <w:tc>
          <w:tcPr>
            <w:tcW w:w="0" w:type="auto"/>
            <w:noWrap w:val="0"/>
            <w:vAlign w:val="center"/>
          </w:tcPr>
          <w:p w14:paraId="3625B64E">
            <w:pPr>
              <w:keepNext w:val="0"/>
              <w:keepLines w:val="0"/>
              <w:suppressLineNumbers w:val="0"/>
              <w:adjustRightInd w:val="0"/>
              <w:snapToGrid w:val="0"/>
              <w:spacing w:before="0" w:beforeAutospacing="0" w:after="0" w:afterAutospacing="0"/>
              <w:ind w:left="0" w:right="0"/>
              <w:jc w:val="center"/>
              <w:rPr>
                <w:rFonts w:hint="default"/>
                <w:b/>
                <w:color w:val="auto"/>
                <w:sz w:val="24"/>
              </w:rPr>
            </w:pPr>
            <w:r>
              <w:rPr>
                <w:rFonts w:hint="default"/>
                <w:b/>
                <w:color w:val="auto"/>
                <w:sz w:val="24"/>
              </w:rPr>
              <w:t>建设项目</w:t>
            </w:r>
          </w:p>
          <w:p w14:paraId="1591CD05">
            <w:pPr>
              <w:keepNext w:val="0"/>
              <w:keepLines w:val="0"/>
              <w:suppressLineNumbers w:val="0"/>
              <w:adjustRightInd w:val="0"/>
              <w:snapToGrid w:val="0"/>
              <w:spacing w:before="0" w:beforeAutospacing="0" w:after="0" w:afterAutospacing="0"/>
              <w:ind w:left="0" w:right="0"/>
              <w:jc w:val="center"/>
              <w:rPr>
                <w:rFonts w:hint="default"/>
                <w:b/>
                <w:color w:val="auto"/>
                <w:sz w:val="24"/>
              </w:rPr>
            </w:pPr>
            <w:r>
              <w:rPr>
                <w:rFonts w:hint="default"/>
                <w:b/>
                <w:color w:val="auto"/>
                <w:sz w:val="24"/>
              </w:rPr>
              <w:t>申报情形</w:t>
            </w:r>
          </w:p>
        </w:tc>
        <w:tc>
          <w:tcPr>
            <w:tcW w:w="0" w:type="auto"/>
            <w:noWrap w:val="0"/>
            <w:vAlign w:val="center"/>
          </w:tcPr>
          <w:p w14:paraId="65CAABBB">
            <w:pPr>
              <w:keepNext w:val="0"/>
              <w:keepLines w:val="0"/>
              <w:suppressLineNumbers w:val="0"/>
              <w:adjustRightInd w:val="0"/>
              <w:snapToGrid w:val="0"/>
              <w:spacing w:before="0" w:beforeAutospacing="0" w:after="0" w:afterAutospacing="0"/>
              <w:ind w:left="0" w:right="0"/>
              <w:jc w:val="left"/>
              <w:rPr>
                <w:rFonts w:hint="default"/>
                <w:color w:val="auto"/>
                <w:sz w:val="24"/>
              </w:rPr>
            </w:pPr>
            <w:r>
              <w:rPr>
                <w:rFonts w:hint="default"/>
                <w:color w:val="auto"/>
                <w:sz w:val="24"/>
              </w:rPr>
              <w:t>■首次申报项目</w:t>
            </w:r>
          </w:p>
          <w:p w14:paraId="4A1E8136">
            <w:pPr>
              <w:keepNext w:val="0"/>
              <w:keepLines w:val="0"/>
              <w:suppressLineNumbers w:val="0"/>
              <w:adjustRightInd w:val="0"/>
              <w:snapToGrid w:val="0"/>
              <w:spacing w:before="0" w:beforeAutospacing="0" w:after="0" w:afterAutospacing="0"/>
              <w:ind w:left="0" w:right="0"/>
              <w:jc w:val="left"/>
              <w:rPr>
                <w:rFonts w:hint="default"/>
                <w:color w:val="auto"/>
                <w:sz w:val="24"/>
              </w:rPr>
            </w:pPr>
            <w:r>
              <w:rPr>
                <w:rFonts w:hint="default"/>
                <w:color w:val="auto"/>
                <w:sz w:val="24"/>
              </w:rPr>
              <w:t>□不予批准后再次申报项目</w:t>
            </w:r>
          </w:p>
          <w:p w14:paraId="341A2A32">
            <w:pPr>
              <w:keepNext w:val="0"/>
              <w:keepLines w:val="0"/>
              <w:suppressLineNumbers w:val="0"/>
              <w:adjustRightInd w:val="0"/>
              <w:snapToGrid w:val="0"/>
              <w:spacing w:before="0" w:beforeAutospacing="0" w:after="0" w:afterAutospacing="0"/>
              <w:ind w:left="0" w:right="0"/>
              <w:jc w:val="left"/>
              <w:rPr>
                <w:rFonts w:hint="default"/>
                <w:color w:val="auto"/>
                <w:sz w:val="24"/>
              </w:rPr>
            </w:pPr>
            <w:r>
              <w:rPr>
                <w:rFonts w:hint="default"/>
                <w:color w:val="auto"/>
                <w:sz w:val="24"/>
              </w:rPr>
              <w:t>□超五年重新审核项目</w:t>
            </w:r>
          </w:p>
          <w:p w14:paraId="1CF7A46E">
            <w:pPr>
              <w:keepNext w:val="0"/>
              <w:keepLines w:val="0"/>
              <w:suppressLineNumbers w:val="0"/>
              <w:adjustRightInd w:val="0"/>
              <w:snapToGrid w:val="0"/>
              <w:spacing w:before="0" w:beforeAutospacing="0" w:after="0" w:afterAutospacing="0"/>
              <w:ind w:left="0" w:right="0"/>
              <w:rPr>
                <w:rFonts w:hint="default"/>
                <w:color w:val="auto"/>
                <w:sz w:val="24"/>
              </w:rPr>
            </w:pPr>
            <w:r>
              <w:rPr>
                <w:rFonts w:hint="default"/>
                <w:color w:val="auto"/>
                <w:sz w:val="24"/>
              </w:rPr>
              <w:t>□重大变动重新报批项目</w:t>
            </w:r>
          </w:p>
        </w:tc>
      </w:tr>
      <w:tr w14:paraId="4C4DC5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206" w:type="dxa"/>
            <w:noWrap w:val="0"/>
            <w:tcMar>
              <w:top w:w="16" w:type="dxa"/>
              <w:left w:w="16" w:type="dxa"/>
              <w:right w:w="16" w:type="dxa"/>
            </w:tcMar>
            <w:vAlign w:val="center"/>
          </w:tcPr>
          <w:p w14:paraId="0FC85367">
            <w:pPr>
              <w:keepNext w:val="0"/>
              <w:keepLines w:val="0"/>
              <w:suppressLineNumbers w:val="0"/>
              <w:adjustRightInd w:val="0"/>
              <w:snapToGrid w:val="0"/>
              <w:spacing w:before="0" w:beforeAutospacing="0" w:after="0" w:afterAutospacing="0"/>
              <w:ind w:left="0" w:right="0"/>
              <w:jc w:val="center"/>
              <w:rPr>
                <w:rFonts w:hint="default"/>
                <w:b/>
                <w:color w:val="auto"/>
                <w:sz w:val="24"/>
                <w:szCs w:val="21"/>
              </w:rPr>
            </w:pPr>
            <w:r>
              <w:rPr>
                <w:rFonts w:hint="default"/>
                <w:b/>
                <w:color w:val="auto"/>
                <w:sz w:val="24"/>
                <w:szCs w:val="21"/>
              </w:rPr>
              <w:t>项目审批（核准/备案）部门（选填）</w:t>
            </w:r>
          </w:p>
        </w:tc>
        <w:tc>
          <w:tcPr>
            <w:tcW w:w="2423" w:type="dxa"/>
            <w:noWrap w:val="0"/>
            <w:vAlign w:val="center"/>
          </w:tcPr>
          <w:p w14:paraId="2B9D9B99">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c>
          <w:tcPr>
            <w:tcW w:w="0" w:type="auto"/>
            <w:noWrap w:val="0"/>
            <w:vAlign w:val="center"/>
          </w:tcPr>
          <w:p w14:paraId="6DC725DE">
            <w:pPr>
              <w:keepNext w:val="0"/>
              <w:keepLines w:val="0"/>
              <w:suppressLineNumbers w:val="0"/>
              <w:adjustRightInd w:val="0"/>
              <w:snapToGrid w:val="0"/>
              <w:spacing w:before="0" w:beforeAutospacing="0" w:after="0" w:afterAutospacing="0"/>
              <w:ind w:left="0" w:right="0"/>
              <w:jc w:val="center"/>
              <w:rPr>
                <w:rFonts w:hint="default"/>
                <w:b/>
                <w:color w:val="auto"/>
                <w:sz w:val="24"/>
              </w:rPr>
            </w:pPr>
            <w:r>
              <w:rPr>
                <w:rFonts w:hint="default"/>
                <w:b/>
                <w:color w:val="auto"/>
                <w:sz w:val="24"/>
              </w:rPr>
              <w:t>项目审批（核准/</w:t>
            </w:r>
          </w:p>
          <w:p w14:paraId="3F078BFE">
            <w:pPr>
              <w:keepNext w:val="0"/>
              <w:keepLines w:val="0"/>
              <w:suppressLineNumbers w:val="0"/>
              <w:adjustRightInd w:val="0"/>
              <w:snapToGrid w:val="0"/>
              <w:spacing w:before="0" w:beforeAutospacing="0" w:after="0" w:afterAutospacing="0"/>
              <w:ind w:left="0" w:right="0"/>
              <w:jc w:val="center"/>
              <w:rPr>
                <w:rFonts w:hint="default"/>
                <w:b/>
                <w:color w:val="auto"/>
                <w:sz w:val="24"/>
              </w:rPr>
            </w:pPr>
            <w:r>
              <w:rPr>
                <w:rFonts w:hint="default"/>
                <w:b/>
                <w:color w:val="auto"/>
                <w:sz w:val="24"/>
              </w:rPr>
              <w:t>备案）文号（选填）</w:t>
            </w:r>
          </w:p>
        </w:tc>
        <w:tc>
          <w:tcPr>
            <w:tcW w:w="0" w:type="auto"/>
            <w:noWrap w:val="0"/>
            <w:vAlign w:val="center"/>
          </w:tcPr>
          <w:p w14:paraId="6B0B5FC8">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r>
      <w:tr w14:paraId="45DEA0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206" w:type="dxa"/>
            <w:noWrap w:val="0"/>
            <w:tcMar>
              <w:top w:w="16" w:type="dxa"/>
              <w:left w:w="16" w:type="dxa"/>
              <w:right w:w="16" w:type="dxa"/>
            </w:tcMar>
            <w:vAlign w:val="center"/>
          </w:tcPr>
          <w:p w14:paraId="1080AED0">
            <w:pPr>
              <w:keepNext w:val="0"/>
              <w:keepLines w:val="0"/>
              <w:suppressLineNumbers w:val="0"/>
              <w:adjustRightInd w:val="0"/>
              <w:snapToGrid w:val="0"/>
              <w:spacing w:before="0" w:beforeAutospacing="0" w:after="0" w:afterAutospacing="0"/>
              <w:ind w:left="0" w:right="0"/>
              <w:jc w:val="center"/>
              <w:rPr>
                <w:rFonts w:hint="default"/>
                <w:b/>
                <w:color w:val="auto"/>
                <w:sz w:val="24"/>
                <w:szCs w:val="21"/>
              </w:rPr>
            </w:pPr>
            <w:r>
              <w:rPr>
                <w:rFonts w:hint="default"/>
                <w:b/>
                <w:color w:val="auto"/>
                <w:sz w:val="24"/>
                <w:szCs w:val="21"/>
              </w:rPr>
              <w:t>总投资（万元）</w:t>
            </w:r>
          </w:p>
        </w:tc>
        <w:tc>
          <w:tcPr>
            <w:tcW w:w="2423" w:type="dxa"/>
            <w:noWrap w:val="0"/>
            <w:vAlign w:val="center"/>
          </w:tcPr>
          <w:p w14:paraId="116DF3E5">
            <w:pPr>
              <w:keepNext w:val="0"/>
              <w:keepLines w:val="0"/>
              <w:suppressLineNumbers w:val="0"/>
              <w:adjustRightInd w:val="0"/>
              <w:snapToGrid w:val="0"/>
              <w:spacing w:before="0" w:beforeAutospacing="0" w:after="0" w:afterAutospacing="0"/>
              <w:ind w:left="0" w:right="0"/>
              <w:jc w:val="center"/>
              <w:rPr>
                <w:rFonts w:hint="default" w:eastAsia="宋体"/>
                <w:color w:val="auto"/>
                <w:sz w:val="24"/>
                <w:lang w:val="en-US" w:eastAsia="zh-CN"/>
              </w:rPr>
            </w:pPr>
            <w:r>
              <w:rPr>
                <w:rFonts w:hint="eastAsia"/>
                <w:color w:val="auto"/>
                <w:sz w:val="24"/>
                <w:lang w:val="en-US" w:eastAsia="zh-CN"/>
              </w:rPr>
              <w:t>3762</w:t>
            </w:r>
          </w:p>
        </w:tc>
        <w:tc>
          <w:tcPr>
            <w:tcW w:w="0" w:type="auto"/>
            <w:noWrap w:val="0"/>
            <w:tcMar>
              <w:top w:w="16" w:type="dxa"/>
              <w:left w:w="16" w:type="dxa"/>
              <w:right w:w="16" w:type="dxa"/>
            </w:tcMar>
            <w:vAlign w:val="center"/>
          </w:tcPr>
          <w:p w14:paraId="17BD3ACD">
            <w:pPr>
              <w:keepNext w:val="0"/>
              <w:keepLines w:val="0"/>
              <w:suppressLineNumbers w:val="0"/>
              <w:adjustRightInd w:val="0"/>
              <w:snapToGrid w:val="0"/>
              <w:spacing w:before="0" w:beforeAutospacing="0" w:after="0" w:afterAutospacing="0"/>
              <w:ind w:left="0" w:right="0"/>
              <w:jc w:val="center"/>
              <w:rPr>
                <w:rFonts w:hint="default"/>
                <w:b/>
                <w:color w:val="auto"/>
                <w:sz w:val="24"/>
              </w:rPr>
            </w:pPr>
            <w:r>
              <w:rPr>
                <w:rFonts w:hint="default"/>
                <w:b/>
                <w:color w:val="auto"/>
                <w:sz w:val="24"/>
              </w:rPr>
              <w:t>环保投资（万元）</w:t>
            </w:r>
          </w:p>
        </w:tc>
        <w:tc>
          <w:tcPr>
            <w:tcW w:w="0" w:type="auto"/>
            <w:noWrap w:val="0"/>
            <w:vAlign w:val="center"/>
          </w:tcPr>
          <w:p w14:paraId="7DAAC865">
            <w:pPr>
              <w:keepNext w:val="0"/>
              <w:keepLines w:val="0"/>
              <w:suppressLineNumbers w:val="0"/>
              <w:adjustRightInd w:val="0"/>
              <w:snapToGrid w:val="0"/>
              <w:spacing w:before="0" w:beforeAutospacing="0" w:after="0" w:afterAutospacing="0"/>
              <w:ind w:left="0" w:right="0"/>
              <w:jc w:val="center"/>
              <w:rPr>
                <w:rFonts w:hint="default"/>
                <w:color w:val="auto"/>
                <w:sz w:val="24"/>
              </w:rPr>
            </w:pPr>
            <w:r>
              <w:rPr>
                <w:rFonts w:hint="eastAsia"/>
                <w:color w:val="auto"/>
                <w:sz w:val="24"/>
                <w:lang w:val="en-US" w:eastAsia="zh-CN"/>
              </w:rPr>
              <w:t>12</w:t>
            </w:r>
            <w:r>
              <w:rPr>
                <w:rFonts w:hint="eastAsia"/>
                <w:color w:val="auto"/>
                <w:sz w:val="24"/>
              </w:rPr>
              <w:t>0</w:t>
            </w:r>
          </w:p>
        </w:tc>
      </w:tr>
      <w:tr w14:paraId="4E12C7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206" w:type="dxa"/>
            <w:noWrap w:val="0"/>
            <w:tcMar>
              <w:top w:w="16" w:type="dxa"/>
              <w:left w:w="16" w:type="dxa"/>
              <w:right w:w="16" w:type="dxa"/>
            </w:tcMar>
            <w:vAlign w:val="center"/>
          </w:tcPr>
          <w:p w14:paraId="4901FEF6">
            <w:pPr>
              <w:keepNext w:val="0"/>
              <w:keepLines w:val="0"/>
              <w:suppressLineNumbers w:val="0"/>
              <w:adjustRightInd w:val="0"/>
              <w:snapToGrid w:val="0"/>
              <w:spacing w:before="0" w:beforeAutospacing="0" w:after="0" w:afterAutospacing="0"/>
              <w:ind w:left="0" w:right="0"/>
              <w:jc w:val="center"/>
              <w:rPr>
                <w:rFonts w:hint="default"/>
                <w:b/>
                <w:color w:val="auto"/>
                <w:sz w:val="24"/>
                <w:szCs w:val="21"/>
              </w:rPr>
            </w:pPr>
            <w:r>
              <w:rPr>
                <w:rFonts w:hint="default"/>
                <w:b/>
                <w:color w:val="auto"/>
                <w:sz w:val="24"/>
                <w:szCs w:val="21"/>
              </w:rPr>
              <w:t>环保投资占比（%）</w:t>
            </w:r>
          </w:p>
        </w:tc>
        <w:tc>
          <w:tcPr>
            <w:tcW w:w="2423" w:type="dxa"/>
            <w:noWrap w:val="0"/>
            <w:vAlign w:val="center"/>
          </w:tcPr>
          <w:p w14:paraId="15E411CB">
            <w:pPr>
              <w:keepNext w:val="0"/>
              <w:keepLines w:val="0"/>
              <w:suppressLineNumbers w:val="0"/>
              <w:adjustRightInd w:val="0"/>
              <w:snapToGrid w:val="0"/>
              <w:spacing w:before="0" w:beforeAutospacing="0" w:after="0" w:afterAutospacing="0"/>
              <w:ind w:left="0" w:right="0"/>
              <w:jc w:val="center"/>
              <w:rPr>
                <w:rFonts w:hint="default" w:eastAsia="宋体"/>
                <w:color w:val="auto"/>
                <w:sz w:val="24"/>
                <w:lang w:val="en-US" w:eastAsia="zh-CN"/>
              </w:rPr>
            </w:pPr>
            <w:r>
              <w:rPr>
                <w:rFonts w:hint="eastAsia"/>
                <w:color w:val="auto"/>
                <w:sz w:val="24"/>
                <w:lang w:val="en-US" w:eastAsia="zh-CN"/>
              </w:rPr>
              <w:t>3.19</w:t>
            </w:r>
          </w:p>
        </w:tc>
        <w:tc>
          <w:tcPr>
            <w:tcW w:w="0" w:type="auto"/>
            <w:noWrap w:val="0"/>
            <w:tcMar>
              <w:top w:w="16" w:type="dxa"/>
              <w:left w:w="16" w:type="dxa"/>
              <w:right w:w="16" w:type="dxa"/>
            </w:tcMar>
            <w:vAlign w:val="center"/>
          </w:tcPr>
          <w:p w14:paraId="3A005AC0">
            <w:pPr>
              <w:keepNext w:val="0"/>
              <w:keepLines w:val="0"/>
              <w:suppressLineNumbers w:val="0"/>
              <w:adjustRightInd w:val="0"/>
              <w:snapToGrid w:val="0"/>
              <w:spacing w:before="0" w:beforeAutospacing="0" w:after="0" w:afterAutospacing="0"/>
              <w:ind w:left="0" w:right="0"/>
              <w:jc w:val="center"/>
              <w:rPr>
                <w:rFonts w:hint="default"/>
                <w:b/>
                <w:color w:val="auto"/>
                <w:sz w:val="24"/>
              </w:rPr>
            </w:pPr>
            <w:r>
              <w:rPr>
                <w:rFonts w:hint="default"/>
                <w:b/>
                <w:color w:val="auto"/>
                <w:sz w:val="24"/>
              </w:rPr>
              <w:t>施工工期</w:t>
            </w:r>
          </w:p>
        </w:tc>
        <w:tc>
          <w:tcPr>
            <w:tcW w:w="0" w:type="auto"/>
            <w:noWrap w:val="0"/>
            <w:vAlign w:val="center"/>
          </w:tcPr>
          <w:p w14:paraId="2842D995">
            <w:pPr>
              <w:keepNext w:val="0"/>
              <w:keepLines w:val="0"/>
              <w:suppressLineNumbers w:val="0"/>
              <w:adjustRightInd w:val="0"/>
              <w:snapToGrid w:val="0"/>
              <w:spacing w:before="0" w:beforeAutospacing="0" w:after="0" w:afterAutospacing="0"/>
              <w:ind w:left="0" w:right="0"/>
              <w:jc w:val="center"/>
              <w:rPr>
                <w:rFonts w:hint="default"/>
                <w:color w:val="auto"/>
                <w:sz w:val="24"/>
              </w:rPr>
            </w:pPr>
            <w:r>
              <w:rPr>
                <w:rFonts w:hint="eastAsia"/>
                <w:color w:val="auto"/>
                <w:sz w:val="24"/>
                <w:lang w:val="en-US" w:eastAsia="zh-CN"/>
              </w:rPr>
              <w:t>6</w:t>
            </w:r>
            <w:r>
              <w:rPr>
                <w:rFonts w:hint="eastAsia"/>
                <w:color w:val="auto"/>
                <w:sz w:val="24"/>
              </w:rPr>
              <w:t>0d</w:t>
            </w:r>
          </w:p>
        </w:tc>
      </w:tr>
      <w:tr w14:paraId="7E2B90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206" w:type="dxa"/>
            <w:noWrap w:val="0"/>
            <w:tcMar>
              <w:top w:w="16" w:type="dxa"/>
              <w:left w:w="16" w:type="dxa"/>
              <w:right w:w="16" w:type="dxa"/>
            </w:tcMar>
            <w:vAlign w:val="center"/>
          </w:tcPr>
          <w:p w14:paraId="6CDA9A81">
            <w:pPr>
              <w:keepNext w:val="0"/>
              <w:keepLines w:val="0"/>
              <w:suppressLineNumbers w:val="0"/>
              <w:adjustRightInd w:val="0"/>
              <w:snapToGrid w:val="0"/>
              <w:spacing w:before="0" w:beforeAutospacing="0" w:after="0" w:afterAutospacing="0"/>
              <w:ind w:left="0" w:right="0"/>
              <w:jc w:val="center"/>
              <w:rPr>
                <w:rFonts w:hint="default"/>
                <w:b/>
                <w:color w:val="auto"/>
                <w:sz w:val="24"/>
                <w:szCs w:val="21"/>
              </w:rPr>
            </w:pPr>
            <w:r>
              <w:rPr>
                <w:rFonts w:hint="default"/>
                <w:b/>
                <w:color w:val="auto"/>
                <w:sz w:val="24"/>
                <w:szCs w:val="21"/>
              </w:rPr>
              <w:t>是否开工建设</w:t>
            </w:r>
          </w:p>
        </w:tc>
        <w:tc>
          <w:tcPr>
            <w:tcW w:w="7720" w:type="dxa"/>
            <w:gridSpan w:val="3"/>
            <w:noWrap w:val="0"/>
            <w:vAlign w:val="center"/>
          </w:tcPr>
          <w:p w14:paraId="3870856C">
            <w:pPr>
              <w:keepNext w:val="0"/>
              <w:keepLines w:val="0"/>
              <w:suppressLineNumbers w:val="0"/>
              <w:adjustRightInd w:val="0"/>
              <w:snapToGrid w:val="0"/>
              <w:spacing w:before="0" w:beforeAutospacing="0" w:after="0" w:afterAutospacing="0"/>
              <w:ind w:left="0" w:right="0" w:firstLine="105"/>
              <w:jc w:val="left"/>
              <w:rPr>
                <w:rFonts w:hint="default"/>
                <w:color w:val="auto"/>
                <w:sz w:val="24"/>
              </w:rPr>
            </w:pPr>
            <w:r>
              <w:rPr>
                <w:rFonts w:hint="default"/>
                <w:color w:val="auto"/>
                <w:sz w:val="24"/>
              </w:rPr>
              <w:t>■否</w:t>
            </w:r>
          </w:p>
          <w:p w14:paraId="60FAC8A0">
            <w:pPr>
              <w:keepNext w:val="0"/>
              <w:keepLines w:val="0"/>
              <w:suppressLineNumbers w:val="0"/>
              <w:adjustRightInd w:val="0"/>
              <w:snapToGrid w:val="0"/>
              <w:spacing w:before="0" w:beforeAutospacing="0" w:after="0" w:afterAutospacing="0"/>
              <w:ind w:left="0" w:right="0" w:firstLine="92"/>
              <w:jc w:val="left"/>
              <w:rPr>
                <w:rFonts w:hint="default"/>
                <w:color w:val="auto"/>
                <w:sz w:val="24"/>
              </w:rPr>
            </w:pPr>
            <w:r>
              <w:rPr>
                <w:rFonts w:hint="default"/>
                <w:color w:val="auto"/>
                <w:sz w:val="24"/>
              </w:rPr>
              <w:t>□是：</w:t>
            </w:r>
            <w:r>
              <w:rPr>
                <w:rFonts w:hint="default"/>
                <w:color w:val="auto"/>
                <w:sz w:val="24"/>
                <w:u w:val="single"/>
              </w:rPr>
              <w:t xml:space="preserve">                             </w:t>
            </w:r>
          </w:p>
        </w:tc>
      </w:tr>
      <w:tr w14:paraId="777D4F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206" w:type="dxa"/>
            <w:noWrap w:val="0"/>
            <w:tcMar>
              <w:top w:w="16" w:type="dxa"/>
              <w:left w:w="16" w:type="dxa"/>
              <w:right w:w="16" w:type="dxa"/>
            </w:tcMar>
            <w:vAlign w:val="center"/>
          </w:tcPr>
          <w:p w14:paraId="4D191D9E">
            <w:pPr>
              <w:keepNext w:val="0"/>
              <w:keepLines w:val="0"/>
              <w:suppressLineNumbers w:val="0"/>
              <w:autoSpaceDE w:val="0"/>
              <w:autoSpaceDN w:val="0"/>
              <w:adjustRightInd w:val="0"/>
              <w:snapToGrid w:val="0"/>
              <w:spacing w:before="0" w:beforeAutospacing="0" w:after="0" w:afterAutospacing="0"/>
              <w:ind w:left="0" w:right="0"/>
              <w:jc w:val="center"/>
              <w:rPr>
                <w:rFonts w:hint="default"/>
                <w:b/>
                <w:color w:val="auto"/>
                <w:kern w:val="0"/>
                <w:sz w:val="24"/>
                <w:szCs w:val="21"/>
              </w:rPr>
            </w:pPr>
            <w:r>
              <w:rPr>
                <w:rFonts w:hint="default"/>
                <w:b/>
                <w:color w:val="auto"/>
                <w:kern w:val="0"/>
                <w:sz w:val="24"/>
                <w:szCs w:val="21"/>
              </w:rPr>
              <w:t>专项评价设置情况</w:t>
            </w:r>
          </w:p>
        </w:tc>
        <w:tc>
          <w:tcPr>
            <w:tcW w:w="7720" w:type="dxa"/>
            <w:gridSpan w:val="3"/>
            <w:noWrap w:val="0"/>
            <w:tcMar>
              <w:top w:w="16" w:type="dxa"/>
              <w:left w:w="16" w:type="dxa"/>
              <w:right w:w="16" w:type="dxa"/>
            </w:tcMar>
            <w:vAlign w:val="center"/>
          </w:tcPr>
          <w:p w14:paraId="085D0EE4">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 w:val="24"/>
              </w:rPr>
            </w:pPr>
            <w:r>
              <w:rPr>
                <w:rFonts w:hint="default"/>
                <w:color w:val="auto"/>
                <w:kern w:val="0"/>
                <w:sz w:val="24"/>
              </w:rPr>
              <w:t>无</w:t>
            </w:r>
          </w:p>
        </w:tc>
      </w:tr>
      <w:tr w14:paraId="108CB5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206" w:type="dxa"/>
            <w:noWrap w:val="0"/>
            <w:tcMar>
              <w:top w:w="16" w:type="dxa"/>
              <w:left w:w="16" w:type="dxa"/>
              <w:right w:w="16" w:type="dxa"/>
            </w:tcMar>
            <w:vAlign w:val="center"/>
          </w:tcPr>
          <w:p w14:paraId="46B37940">
            <w:pPr>
              <w:keepNext w:val="0"/>
              <w:keepLines w:val="0"/>
              <w:suppressLineNumbers w:val="0"/>
              <w:autoSpaceDE w:val="0"/>
              <w:autoSpaceDN w:val="0"/>
              <w:adjustRightInd w:val="0"/>
              <w:snapToGrid w:val="0"/>
              <w:spacing w:before="0" w:beforeAutospacing="0" w:after="0" w:afterAutospacing="0"/>
              <w:ind w:left="0" w:right="0"/>
              <w:jc w:val="center"/>
              <w:rPr>
                <w:rFonts w:hint="default"/>
                <w:b/>
                <w:color w:val="auto"/>
                <w:kern w:val="0"/>
                <w:sz w:val="24"/>
                <w:szCs w:val="21"/>
              </w:rPr>
            </w:pPr>
            <w:r>
              <w:rPr>
                <w:rFonts w:hint="default"/>
                <w:b/>
                <w:color w:val="auto"/>
                <w:sz w:val="24"/>
                <w:szCs w:val="21"/>
              </w:rPr>
              <w:t>规划情况</w:t>
            </w:r>
          </w:p>
        </w:tc>
        <w:tc>
          <w:tcPr>
            <w:tcW w:w="7720" w:type="dxa"/>
            <w:gridSpan w:val="3"/>
            <w:noWrap w:val="0"/>
            <w:tcMar>
              <w:top w:w="16" w:type="dxa"/>
              <w:left w:w="16" w:type="dxa"/>
              <w:right w:w="16" w:type="dxa"/>
            </w:tcMar>
            <w:vAlign w:val="center"/>
          </w:tcPr>
          <w:p w14:paraId="00337531">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 w:val="24"/>
              </w:rPr>
            </w:pPr>
            <w:r>
              <w:rPr>
                <w:rFonts w:hint="default"/>
                <w:color w:val="auto"/>
                <w:kern w:val="0"/>
                <w:sz w:val="24"/>
              </w:rPr>
              <w:t>无</w:t>
            </w:r>
          </w:p>
        </w:tc>
      </w:tr>
      <w:tr w14:paraId="6FA5C8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206" w:type="dxa"/>
            <w:noWrap w:val="0"/>
            <w:tcMar>
              <w:top w:w="16" w:type="dxa"/>
              <w:left w:w="16" w:type="dxa"/>
              <w:right w:w="16" w:type="dxa"/>
            </w:tcMar>
            <w:vAlign w:val="center"/>
          </w:tcPr>
          <w:p w14:paraId="78D2B7D0">
            <w:pPr>
              <w:keepNext w:val="0"/>
              <w:keepLines w:val="0"/>
              <w:suppressLineNumbers w:val="0"/>
              <w:autoSpaceDE w:val="0"/>
              <w:autoSpaceDN w:val="0"/>
              <w:adjustRightInd w:val="0"/>
              <w:snapToGrid w:val="0"/>
              <w:spacing w:before="0" w:beforeAutospacing="0" w:after="0" w:afterAutospacing="0"/>
              <w:ind w:left="0" w:right="0"/>
              <w:jc w:val="center"/>
              <w:rPr>
                <w:rFonts w:hint="default"/>
                <w:b/>
                <w:color w:val="auto"/>
                <w:sz w:val="24"/>
                <w:szCs w:val="21"/>
              </w:rPr>
            </w:pPr>
            <w:r>
              <w:rPr>
                <w:rFonts w:hint="default"/>
                <w:b/>
                <w:color w:val="auto"/>
                <w:sz w:val="24"/>
                <w:szCs w:val="21"/>
              </w:rPr>
              <w:t>规划环境影响</w:t>
            </w:r>
          </w:p>
          <w:p w14:paraId="2D4006AC">
            <w:pPr>
              <w:keepNext w:val="0"/>
              <w:keepLines w:val="0"/>
              <w:suppressLineNumbers w:val="0"/>
              <w:autoSpaceDE w:val="0"/>
              <w:autoSpaceDN w:val="0"/>
              <w:adjustRightInd w:val="0"/>
              <w:snapToGrid w:val="0"/>
              <w:spacing w:before="0" w:beforeAutospacing="0" w:after="0" w:afterAutospacing="0"/>
              <w:ind w:left="0" w:right="0"/>
              <w:jc w:val="center"/>
              <w:rPr>
                <w:rFonts w:hint="default"/>
                <w:b/>
                <w:color w:val="auto"/>
                <w:kern w:val="0"/>
                <w:sz w:val="24"/>
                <w:szCs w:val="21"/>
              </w:rPr>
            </w:pPr>
            <w:r>
              <w:rPr>
                <w:rFonts w:hint="default"/>
                <w:b/>
                <w:color w:val="auto"/>
                <w:sz w:val="24"/>
                <w:szCs w:val="21"/>
              </w:rPr>
              <w:t>评价情况</w:t>
            </w:r>
          </w:p>
        </w:tc>
        <w:tc>
          <w:tcPr>
            <w:tcW w:w="7720" w:type="dxa"/>
            <w:gridSpan w:val="3"/>
            <w:noWrap w:val="0"/>
            <w:tcMar>
              <w:top w:w="16" w:type="dxa"/>
              <w:left w:w="16" w:type="dxa"/>
              <w:right w:w="16" w:type="dxa"/>
            </w:tcMar>
            <w:vAlign w:val="center"/>
          </w:tcPr>
          <w:p w14:paraId="5BEB3294">
            <w:pPr>
              <w:keepNext w:val="0"/>
              <w:keepLines w:val="0"/>
              <w:suppressLineNumbers w:val="0"/>
              <w:adjustRightInd w:val="0"/>
              <w:snapToGrid w:val="0"/>
              <w:spacing w:before="0" w:beforeAutospacing="0" w:after="0" w:afterAutospacing="0"/>
              <w:ind w:left="0" w:right="0"/>
              <w:jc w:val="center"/>
              <w:rPr>
                <w:rFonts w:hint="default"/>
                <w:color w:val="auto"/>
                <w:kern w:val="0"/>
                <w:sz w:val="24"/>
              </w:rPr>
            </w:pPr>
            <w:r>
              <w:rPr>
                <w:rFonts w:hint="default"/>
                <w:color w:val="auto"/>
                <w:kern w:val="0"/>
                <w:sz w:val="24"/>
              </w:rPr>
              <w:t>无</w:t>
            </w:r>
          </w:p>
        </w:tc>
      </w:tr>
      <w:tr w14:paraId="2E0EA3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8" w:hRule="atLeast"/>
          <w:jc w:val="center"/>
        </w:trPr>
        <w:tc>
          <w:tcPr>
            <w:tcW w:w="1206" w:type="dxa"/>
            <w:noWrap w:val="0"/>
            <w:tcMar>
              <w:top w:w="16" w:type="dxa"/>
              <w:left w:w="16" w:type="dxa"/>
              <w:right w:w="16" w:type="dxa"/>
            </w:tcMar>
            <w:vAlign w:val="center"/>
          </w:tcPr>
          <w:p w14:paraId="37B69B91">
            <w:pPr>
              <w:keepNext w:val="0"/>
              <w:keepLines w:val="0"/>
              <w:suppressLineNumbers w:val="0"/>
              <w:autoSpaceDE w:val="0"/>
              <w:autoSpaceDN w:val="0"/>
              <w:adjustRightInd w:val="0"/>
              <w:snapToGrid w:val="0"/>
              <w:spacing w:before="0" w:beforeAutospacing="0" w:after="0" w:afterAutospacing="0"/>
              <w:ind w:left="0" w:right="0"/>
              <w:jc w:val="center"/>
              <w:rPr>
                <w:rFonts w:hint="default"/>
                <w:b/>
                <w:color w:val="auto"/>
                <w:kern w:val="0"/>
                <w:sz w:val="24"/>
                <w:szCs w:val="21"/>
              </w:rPr>
            </w:pPr>
            <w:r>
              <w:rPr>
                <w:rFonts w:hint="default"/>
                <w:b/>
                <w:color w:val="auto"/>
                <w:kern w:val="0"/>
                <w:sz w:val="24"/>
                <w:szCs w:val="21"/>
              </w:rPr>
              <w:t>规划及</w:t>
            </w:r>
            <w:r>
              <w:rPr>
                <w:rFonts w:hint="default"/>
                <w:b/>
                <w:color w:val="auto"/>
                <w:sz w:val="24"/>
                <w:szCs w:val="21"/>
              </w:rPr>
              <w:t>规划环境影响评价</w:t>
            </w:r>
            <w:r>
              <w:rPr>
                <w:rFonts w:hint="default"/>
                <w:b/>
                <w:color w:val="auto"/>
                <w:kern w:val="0"/>
                <w:sz w:val="24"/>
                <w:szCs w:val="21"/>
              </w:rPr>
              <w:t>符合性分析</w:t>
            </w:r>
          </w:p>
        </w:tc>
        <w:tc>
          <w:tcPr>
            <w:tcW w:w="7720" w:type="dxa"/>
            <w:gridSpan w:val="3"/>
            <w:noWrap w:val="0"/>
            <w:tcMar>
              <w:top w:w="16" w:type="dxa"/>
              <w:left w:w="16" w:type="dxa"/>
              <w:right w:w="16" w:type="dxa"/>
            </w:tcMar>
            <w:vAlign w:val="center"/>
          </w:tcPr>
          <w:p w14:paraId="0CBFA1B0">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eastAsia" w:eastAsia="宋体"/>
                <w:color w:val="auto"/>
                <w:kern w:val="0"/>
                <w:sz w:val="24"/>
                <w:lang w:val="en-US" w:eastAsia="zh-CN"/>
              </w:rPr>
            </w:pPr>
            <w:r>
              <w:rPr>
                <w:rFonts w:hint="eastAsia"/>
                <w:color w:val="auto"/>
                <w:kern w:val="0"/>
                <w:sz w:val="24"/>
                <w:lang w:val="en-US" w:eastAsia="zh-CN"/>
              </w:rPr>
              <w:t>无</w:t>
            </w:r>
          </w:p>
        </w:tc>
      </w:tr>
      <w:tr w14:paraId="0E3EE7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930" w:hRule="atLeast"/>
          <w:jc w:val="center"/>
        </w:trPr>
        <w:tc>
          <w:tcPr>
            <w:tcW w:w="1206" w:type="dxa"/>
            <w:noWrap w:val="0"/>
            <w:tcMar>
              <w:top w:w="16" w:type="dxa"/>
              <w:left w:w="16" w:type="dxa"/>
              <w:right w:w="16" w:type="dxa"/>
            </w:tcMar>
            <w:vAlign w:val="center"/>
          </w:tcPr>
          <w:p w14:paraId="2205EFCC">
            <w:pPr>
              <w:keepNext w:val="0"/>
              <w:keepLines w:val="0"/>
              <w:suppressLineNumbers w:val="0"/>
              <w:autoSpaceDE w:val="0"/>
              <w:autoSpaceDN w:val="0"/>
              <w:adjustRightInd w:val="0"/>
              <w:snapToGrid w:val="0"/>
              <w:spacing w:before="0" w:beforeAutospacing="0" w:after="0" w:afterAutospacing="0"/>
              <w:ind w:left="0" w:right="0"/>
              <w:jc w:val="center"/>
              <w:rPr>
                <w:rFonts w:hint="default"/>
                <w:b/>
                <w:color w:val="auto"/>
                <w:kern w:val="0"/>
                <w:sz w:val="24"/>
                <w:szCs w:val="21"/>
              </w:rPr>
            </w:pPr>
            <w:r>
              <w:rPr>
                <w:rFonts w:hint="default"/>
                <w:b/>
                <w:color w:val="auto"/>
                <w:kern w:val="0"/>
                <w:sz w:val="24"/>
              </w:rPr>
              <w:t>其他符合性分析</w:t>
            </w:r>
          </w:p>
        </w:tc>
        <w:tc>
          <w:tcPr>
            <w:tcW w:w="7720" w:type="dxa"/>
            <w:gridSpan w:val="3"/>
            <w:noWrap w:val="0"/>
            <w:tcMar>
              <w:top w:w="16" w:type="dxa"/>
              <w:left w:w="16" w:type="dxa"/>
              <w:right w:w="16" w:type="dxa"/>
            </w:tcMar>
            <w:vAlign w:val="center"/>
          </w:tcPr>
          <w:p w14:paraId="4BA0F5FC">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1、产业政策符合性</w:t>
            </w:r>
          </w:p>
          <w:p w14:paraId="73458F45">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lang w:eastAsia="zh-CN"/>
              </w:rPr>
              <w:t>本工程</w:t>
            </w:r>
            <w:r>
              <w:rPr>
                <w:rFonts w:hint="eastAsia"/>
                <w:color w:val="auto"/>
                <w:kern w:val="0"/>
                <w:sz w:val="24"/>
              </w:rPr>
              <w:t>为石油资源勘探，属于《产业结构调整指导目录（2024年本）》中“鼓励类七、石油、天然气中的第1条常规石油、天然气勘探与开采”，项目建设符合国家产业政策。</w:t>
            </w:r>
          </w:p>
          <w:p w14:paraId="1422438B">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eastAsia="宋体"/>
                <w:color w:val="auto"/>
                <w:kern w:val="0"/>
                <w:sz w:val="24"/>
                <w:lang w:val="en-US" w:eastAsia="zh-CN"/>
              </w:rPr>
            </w:pPr>
            <w:r>
              <w:rPr>
                <w:rFonts w:hint="eastAsia"/>
                <w:color w:val="auto"/>
                <w:kern w:val="0"/>
                <w:sz w:val="24"/>
              </w:rPr>
              <w:t>根据《内蒙古自治区国家重点生态功能区产业准入负面清单（试行）》（内政发〔2018〕11号），</w:t>
            </w:r>
            <w:r>
              <w:rPr>
                <w:rFonts w:hint="eastAsia"/>
                <w:color w:val="auto"/>
                <w:kern w:val="0"/>
                <w:sz w:val="24"/>
                <w:lang w:eastAsia="zh-CN"/>
              </w:rPr>
              <w:t>磴口县</w:t>
            </w:r>
            <w:r>
              <w:rPr>
                <w:rFonts w:hint="eastAsia"/>
                <w:color w:val="auto"/>
                <w:kern w:val="0"/>
                <w:sz w:val="24"/>
                <w:lang w:val="en-US" w:eastAsia="zh-CN"/>
              </w:rPr>
              <w:t>不在“负面清单”规定的全</w:t>
            </w:r>
            <w:r>
              <w:rPr>
                <w:rFonts w:hint="eastAsia"/>
                <w:color w:val="auto"/>
                <w:kern w:val="0"/>
                <w:sz w:val="24"/>
              </w:rPr>
              <w:t>区43个国家重点生态功能区旗县（市）</w:t>
            </w:r>
            <w:r>
              <w:rPr>
                <w:rFonts w:hint="eastAsia"/>
                <w:color w:val="auto"/>
                <w:kern w:val="0"/>
                <w:sz w:val="24"/>
                <w:lang w:eastAsia="zh-CN"/>
              </w:rPr>
              <w:t>。</w:t>
            </w:r>
          </w:p>
          <w:p w14:paraId="0F94DF65">
            <w:pPr>
              <w:keepNext w:val="0"/>
              <w:keepLines w:val="0"/>
              <w:numPr>
                <w:ilvl w:val="0"/>
                <w:numId w:val="1"/>
              </w:numPr>
              <w:suppressLineNumbers w:val="0"/>
              <w:adjustRightInd w:val="0"/>
              <w:snapToGrid w:val="0"/>
              <w:spacing w:before="0" w:beforeAutospacing="0" w:after="0" w:afterAutospacing="0" w:line="360" w:lineRule="auto"/>
              <w:ind w:left="0" w:right="0" w:firstLine="480" w:firstLineChars="200"/>
              <w:rPr>
                <w:rFonts w:hint="eastAsia"/>
                <w:color w:val="auto"/>
                <w:sz w:val="24"/>
                <w:lang w:eastAsia="zh-CN"/>
              </w:rPr>
            </w:pPr>
            <w:r>
              <w:rPr>
                <w:rFonts w:hint="eastAsia"/>
                <w:color w:val="auto"/>
                <w:sz w:val="24"/>
                <w:lang w:eastAsia="zh-CN"/>
              </w:rPr>
              <w:t>相关规划符合性</w:t>
            </w:r>
          </w:p>
          <w:p w14:paraId="35D782EB">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sz w:val="24"/>
                <w:szCs w:val="32"/>
              </w:rPr>
            </w:pPr>
            <w:r>
              <w:rPr>
                <w:rFonts w:hint="eastAsia"/>
                <w:color w:val="auto"/>
                <w:sz w:val="24"/>
                <w:szCs w:val="32"/>
                <w:lang w:eastAsia="zh-CN"/>
              </w:rPr>
              <w:t>本工程</w:t>
            </w:r>
            <w:r>
              <w:rPr>
                <w:rFonts w:hint="eastAsia"/>
                <w:color w:val="auto"/>
                <w:sz w:val="24"/>
                <w:szCs w:val="32"/>
              </w:rPr>
              <w:t>与《中华人民共和国国民经济和社会发展第十四个五年规划和2035年远景目标纲要</w:t>
            </w:r>
            <w:r>
              <w:rPr>
                <w:rFonts w:hint="eastAsia"/>
                <w:color w:val="auto"/>
                <w:sz w:val="24"/>
                <w:szCs w:val="32"/>
                <w:lang w:eastAsia="zh-CN"/>
              </w:rPr>
              <w:t>》《</w:t>
            </w:r>
            <w:r>
              <w:rPr>
                <w:rFonts w:hint="eastAsia"/>
                <w:color w:val="auto"/>
                <w:sz w:val="24"/>
                <w:szCs w:val="32"/>
              </w:rPr>
              <w:t>内蒙古自治区国民经济和社会发展第十四个五年规划和2035年远景目标纲要》《内蒙古自治区“十四五”能源发展规划》《巴彦淖尔市国民经济和社会发展第十四个五年规划和2035年远景目标纲要》及《巴彦淖尔市矿产资源总体规划（2021—2025年）》符合性分析见下表。</w:t>
            </w:r>
          </w:p>
          <w:p w14:paraId="700ABB51">
            <w:pPr>
              <w:keepNext w:val="0"/>
              <w:keepLines w:val="0"/>
              <w:suppressLineNumbers w:val="0"/>
              <w:spacing w:before="0" w:beforeAutospacing="0" w:after="0" w:afterAutospacing="0"/>
              <w:ind w:left="0" w:right="0"/>
              <w:jc w:val="center"/>
              <w:rPr>
                <w:rFonts w:hint="eastAsia"/>
                <w:b/>
                <w:color w:val="auto"/>
                <w:sz w:val="24"/>
                <w:szCs w:val="21"/>
              </w:rPr>
            </w:pPr>
            <w:r>
              <w:rPr>
                <w:rFonts w:hint="default"/>
                <w:b/>
                <w:color w:val="auto"/>
                <w:sz w:val="24"/>
                <w:szCs w:val="21"/>
              </w:rPr>
              <w:t>表1-1</w:t>
            </w:r>
            <w:r>
              <w:rPr>
                <w:rFonts w:hint="eastAsia"/>
                <w:b/>
                <w:color w:val="auto"/>
                <w:sz w:val="24"/>
                <w:szCs w:val="21"/>
              </w:rPr>
              <w:t xml:space="preserve"> </w:t>
            </w:r>
            <w:r>
              <w:rPr>
                <w:rFonts w:hint="eastAsia"/>
                <w:b/>
                <w:color w:val="auto"/>
                <w:sz w:val="24"/>
                <w:szCs w:val="21"/>
                <w:lang w:eastAsia="zh-CN"/>
              </w:rPr>
              <w:t>本工程</w:t>
            </w:r>
            <w:r>
              <w:rPr>
                <w:rFonts w:hint="eastAsia"/>
                <w:b/>
                <w:color w:val="auto"/>
                <w:sz w:val="24"/>
                <w:szCs w:val="21"/>
              </w:rPr>
              <w:t>与相关规划符合性分析一览表</w:t>
            </w:r>
          </w:p>
          <w:tbl>
            <w:tblPr>
              <w:tblStyle w:val="30"/>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32"/>
              <w:gridCol w:w="3613"/>
              <w:gridCol w:w="1946"/>
              <w:gridCol w:w="797"/>
            </w:tblGrid>
            <w:tr w14:paraId="6D57C7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6" w:type="pct"/>
                  <w:noWrap w:val="0"/>
                  <w:vAlign w:val="center"/>
                </w:tcPr>
                <w:p w14:paraId="64FBDD81">
                  <w:pPr>
                    <w:keepNext w:val="0"/>
                    <w:keepLines w:val="0"/>
                    <w:suppressLineNumbers w:val="0"/>
                    <w:spacing w:before="0" w:beforeAutospacing="0" w:after="0" w:afterAutospacing="0"/>
                    <w:ind w:left="0" w:right="0"/>
                    <w:jc w:val="center"/>
                    <w:rPr>
                      <w:rFonts w:hint="default"/>
                      <w:bCs/>
                      <w:color w:val="auto"/>
                      <w:szCs w:val="21"/>
                    </w:rPr>
                  </w:pPr>
                  <w:r>
                    <w:rPr>
                      <w:rFonts w:hint="default"/>
                      <w:bCs/>
                      <w:color w:val="auto"/>
                      <w:szCs w:val="21"/>
                    </w:rPr>
                    <w:t>规划名称</w:t>
                  </w:r>
                </w:p>
              </w:tc>
              <w:tc>
                <w:tcPr>
                  <w:tcW w:w="2349" w:type="pct"/>
                  <w:noWrap w:val="0"/>
                  <w:vAlign w:val="center"/>
                </w:tcPr>
                <w:p w14:paraId="16FBFEE1">
                  <w:pPr>
                    <w:keepNext w:val="0"/>
                    <w:keepLines w:val="0"/>
                    <w:suppressLineNumbers w:val="0"/>
                    <w:spacing w:before="0" w:beforeAutospacing="0" w:after="0" w:afterAutospacing="0"/>
                    <w:ind w:left="0" w:right="0"/>
                    <w:jc w:val="center"/>
                    <w:rPr>
                      <w:rFonts w:hint="default"/>
                      <w:bCs/>
                      <w:color w:val="auto"/>
                      <w:szCs w:val="21"/>
                    </w:rPr>
                  </w:pPr>
                  <w:r>
                    <w:rPr>
                      <w:rFonts w:hint="default"/>
                      <w:bCs/>
                      <w:color w:val="auto"/>
                      <w:szCs w:val="21"/>
                    </w:rPr>
                    <w:t>规划要求</w:t>
                  </w:r>
                </w:p>
              </w:tc>
              <w:tc>
                <w:tcPr>
                  <w:tcW w:w="1265" w:type="pct"/>
                  <w:noWrap w:val="0"/>
                  <w:vAlign w:val="center"/>
                </w:tcPr>
                <w:p w14:paraId="036B3CC3">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lang w:eastAsia="zh-CN"/>
                    </w:rPr>
                    <w:t>本工程</w:t>
                  </w:r>
                  <w:r>
                    <w:rPr>
                      <w:rFonts w:hint="default"/>
                      <w:bCs/>
                      <w:color w:val="auto"/>
                      <w:szCs w:val="21"/>
                    </w:rPr>
                    <w:t>情况</w:t>
                  </w:r>
                </w:p>
              </w:tc>
              <w:tc>
                <w:tcPr>
                  <w:tcW w:w="518" w:type="pct"/>
                  <w:noWrap w:val="0"/>
                  <w:vAlign w:val="center"/>
                </w:tcPr>
                <w:p w14:paraId="18E26BD3">
                  <w:pPr>
                    <w:keepNext w:val="0"/>
                    <w:keepLines w:val="0"/>
                    <w:suppressLineNumbers w:val="0"/>
                    <w:spacing w:before="0" w:beforeAutospacing="0" w:after="0" w:afterAutospacing="0"/>
                    <w:ind w:left="0" w:right="0"/>
                    <w:jc w:val="center"/>
                    <w:rPr>
                      <w:rFonts w:hint="default"/>
                      <w:bCs/>
                      <w:color w:val="auto"/>
                      <w:szCs w:val="21"/>
                    </w:rPr>
                  </w:pPr>
                  <w:r>
                    <w:rPr>
                      <w:rFonts w:hint="default"/>
                      <w:bCs/>
                      <w:color w:val="auto"/>
                      <w:szCs w:val="21"/>
                    </w:rPr>
                    <w:t>是否符合</w:t>
                  </w:r>
                </w:p>
              </w:tc>
            </w:tr>
            <w:tr w14:paraId="758EA4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7" w:hRule="atLeast"/>
              </w:trPr>
              <w:tc>
                <w:tcPr>
                  <w:tcW w:w="866" w:type="pct"/>
                  <w:noWrap w:val="0"/>
                  <w:tcMar>
                    <w:left w:w="0" w:type="dxa"/>
                    <w:right w:w="0" w:type="dxa"/>
                  </w:tcMar>
                  <w:vAlign w:val="center"/>
                </w:tcPr>
                <w:p w14:paraId="29FDD42B">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《中华人民共和国国民经济和社会发展第十四个五年规划和2035年远景目标纲要》</w:t>
                  </w:r>
                </w:p>
              </w:tc>
              <w:tc>
                <w:tcPr>
                  <w:tcW w:w="2349" w:type="pct"/>
                  <w:noWrap w:val="0"/>
                  <w:vAlign w:val="center"/>
                </w:tcPr>
                <w:p w14:paraId="1066A83E">
                  <w:pPr>
                    <w:keepNext w:val="0"/>
                    <w:keepLines w:val="0"/>
                    <w:suppressLineNumbers w:val="0"/>
                    <w:spacing w:before="0" w:beforeAutospacing="0" w:after="0" w:afterAutospacing="0"/>
                    <w:ind w:left="0" w:right="0" w:firstLine="420" w:firstLineChars="200"/>
                    <w:jc w:val="left"/>
                    <w:rPr>
                      <w:rFonts w:hint="eastAsia"/>
                      <w:bCs/>
                      <w:color w:val="auto"/>
                      <w:szCs w:val="21"/>
                    </w:rPr>
                  </w:pPr>
                  <w:r>
                    <w:rPr>
                      <w:rFonts w:hint="eastAsia"/>
                      <w:bCs/>
                      <w:color w:val="auto"/>
                      <w:szCs w:val="21"/>
                    </w:rPr>
                    <w:t>坚持立足国内、补齐短板、多元保障、强化储备，完善产供储销体系，增强能源持续稳定供应和风险管控能力，</w:t>
                  </w:r>
                  <w:r>
                    <w:rPr>
                      <w:rFonts w:hint="eastAsia"/>
                      <w:b/>
                      <w:bCs/>
                      <w:color w:val="auto"/>
                      <w:szCs w:val="21"/>
                    </w:rPr>
                    <w:t>实现煤炭供应安全兜底、油气核心需求依靠自保</w:t>
                  </w:r>
                  <w:r>
                    <w:rPr>
                      <w:rFonts w:hint="eastAsia"/>
                      <w:bCs/>
                      <w:color w:val="auto"/>
                      <w:szCs w:val="21"/>
                    </w:rPr>
                    <w:t>、电力供应稳定可靠。</w:t>
                  </w:r>
                  <w:r>
                    <w:rPr>
                      <w:rFonts w:hint="eastAsia"/>
                      <w:b/>
                      <w:bCs/>
                      <w:color w:val="auto"/>
                      <w:szCs w:val="21"/>
                    </w:rPr>
                    <w:t>夯实国内产量基础，保持原油和天然气稳产增产</w:t>
                  </w:r>
                  <w:r>
                    <w:rPr>
                      <w:rFonts w:hint="eastAsia"/>
                      <w:bCs/>
                      <w:color w:val="auto"/>
                      <w:szCs w:val="21"/>
                    </w:rPr>
                    <w:t>，做好煤制油气战略基地规划布局和管控。扩大油气储备规模，健全政府储备和企业社会责任储备有机结合、互为补充的油气储备体系。</w:t>
                  </w:r>
                </w:p>
              </w:tc>
              <w:tc>
                <w:tcPr>
                  <w:tcW w:w="1265" w:type="pct"/>
                  <w:vMerge w:val="restart"/>
                  <w:noWrap w:val="0"/>
                  <w:vAlign w:val="center"/>
                </w:tcPr>
                <w:p w14:paraId="46E66E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olor w:val="auto"/>
                      <w:szCs w:val="21"/>
                    </w:rPr>
                  </w:pPr>
                  <w:r>
                    <w:rPr>
                      <w:rFonts w:hint="eastAsia"/>
                      <w:color w:val="auto"/>
                      <w:szCs w:val="21"/>
                      <w:lang w:val="en-US" w:eastAsia="zh-CN"/>
                    </w:rPr>
                    <w:t xml:space="preserve">  </w:t>
                  </w:r>
                  <w:r>
                    <w:rPr>
                      <w:rFonts w:hint="eastAsia"/>
                      <w:color w:val="auto"/>
                      <w:szCs w:val="21"/>
                    </w:rPr>
                    <w:fldChar w:fldCharType="begin"/>
                  </w:r>
                  <w:r>
                    <w:rPr>
                      <w:rFonts w:hint="eastAsia"/>
                      <w:color w:val="auto"/>
                      <w:szCs w:val="21"/>
                    </w:rPr>
                    <w:instrText xml:space="preserve"> = 1 \* GB3 </w:instrText>
                  </w:r>
                  <w:r>
                    <w:rPr>
                      <w:rFonts w:hint="eastAsia"/>
                      <w:color w:val="auto"/>
                      <w:szCs w:val="21"/>
                    </w:rPr>
                    <w:fldChar w:fldCharType="separate"/>
                  </w:r>
                  <w:r>
                    <w:rPr>
                      <w:rFonts w:hint="eastAsia"/>
                      <w:color w:val="auto"/>
                      <w:szCs w:val="21"/>
                    </w:rPr>
                    <w:t>①</w:t>
                  </w:r>
                  <w:r>
                    <w:rPr>
                      <w:rFonts w:hint="eastAsia"/>
                      <w:color w:val="auto"/>
                      <w:szCs w:val="21"/>
                    </w:rPr>
                    <w:fldChar w:fldCharType="end"/>
                  </w:r>
                  <w:r>
                    <w:rPr>
                      <w:rFonts w:hint="eastAsia"/>
                      <w:color w:val="auto"/>
                      <w:szCs w:val="21"/>
                      <w:lang w:eastAsia="zh-CN"/>
                    </w:rPr>
                    <w:t>本工程</w:t>
                  </w:r>
                  <w:r>
                    <w:rPr>
                      <w:rFonts w:hint="eastAsia"/>
                      <w:color w:val="auto"/>
                      <w:szCs w:val="21"/>
                    </w:rPr>
                    <w:t>为石油勘探项目，属国家战略性矿产资源勘探。</w:t>
                  </w:r>
                </w:p>
                <w:p w14:paraId="042B75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color w:val="auto"/>
                      <w:szCs w:val="21"/>
                      <w:lang w:eastAsia="zh-CN"/>
                    </w:rPr>
                  </w:pPr>
                  <w:r>
                    <w:rPr>
                      <w:rFonts w:hint="eastAsia"/>
                      <w:color w:val="auto"/>
                      <w:szCs w:val="21"/>
                    </w:rPr>
                    <w:fldChar w:fldCharType="begin"/>
                  </w:r>
                  <w:r>
                    <w:rPr>
                      <w:rFonts w:hint="eastAsia"/>
                      <w:color w:val="auto"/>
                      <w:szCs w:val="21"/>
                    </w:rPr>
                    <w:instrText xml:space="preserve"> = 2 \* GB3 </w:instrText>
                  </w:r>
                  <w:r>
                    <w:rPr>
                      <w:rFonts w:hint="eastAsia"/>
                      <w:color w:val="auto"/>
                      <w:szCs w:val="21"/>
                    </w:rPr>
                    <w:fldChar w:fldCharType="separate"/>
                  </w:r>
                  <w:r>
                    <w:rPr>
                      <w:rFonts w:hint="eastAsia"/>
                      <w:color w:val="auto"/>
                      <w:szCs w:val="21"/>
                    </w:rPr>
                    <w:t>②</w:t>
                  </w:r>
                  <w:r>
                    <w:rPr>
                      <w:rFonts w:hint="eastAsia"/>
                      <w:color w:val="auto"/>
                      <w:szCs w:val="21"/>
                    </w:rPr>
                    <w:fldChar w:fldCharType="end"/>
                  </w:r>
                  <w:r>
                    <w:rPr>
                      <w:rFonts w:hint="eastAsia"/>
                      <w:color w:val="auto"/>
                      <w:szCs w:val="21"/>
                    </w:rPr>
                    <w:t>项目位于巴彦淖尔市</w:t>
                  </w:r>
                  <w:r>
                    <w:rPr>
                      <w:rFonts w:hint="eastAsia"/>
                      <w:color w:val="auto"/>
                      <w:szCs w:val="21"/>
                      <w:lang w:eastAsia="zh-CN"/>
                    </w:rPr>
                    <w:t>磴口县</w:t>
                  </w:r>
                  <w:r>
                    <w:rPr>
                      <w:rFonts w:hint="eastAsia"/>
                      <w:color w:val="auto"/>
                      <w:szCs w:val="21"/>
                    </w:rPr>
                    <w:t>，构造位置为河套盆地中、新生代断陷盆地，属于常规油气资源勘探开发，为含油气盆地的地质勘查阶段，为下一步油气资源大力开发提供依据，进而稳步推进油气开发基地建设</w:t>
                  </w:r>
                  <w:r>
                    <w:rPr>
                      <w:rFonts w:hint="eastAsia"/>
                      <w:color w:val="auto"/>
                      <w:szCs w:val="21"/>
                      <w:lang w:eastAsia="zh-CN"/>
                    </w:rPr>
                    <w:t>。</w:t>
                  </w:r>
                </w:p>
              </w:tc>
              <w:tc>
                <w:tcPr>
                  <w:tcW w:w="518" w:type="pct"/>
                  <w:noWrap w:val="0"/>
                  <w:vAlign w:val="center"/>
                </w:tcPr>
                <w:p w14:paraId="7E2D96C0">
                  <w:pPr>
                    <w:keepNext w:val="0"/>
                    <w:keepLines w:val="0"/>
                    <w:widowControl/>
                    <w:suppressLineNumbers w:val="0"/>
                    <w:spacing w:before="0" w:beforeAutospacing="0" w:after="0" w:afterAutospacing="0" w:line="360" w:lineRule="auto"/>
                    <w:ind w:left="0" w:right="0"/>
                    <w:jc w:val="center"/>
                    <w:rPr>
                      <w:rFonts w:hint="default"/>
                      <w:color w:val="auto"/>
                      <w:szCs w:val="21"/>
                    </w:rPr>
                  </w:pPr>
                  <w:r>
                    <w:rPr>
                      <w:rFonts w:hint="default"/>
                      <w:color w:val="auto"/>
                      <w:szCs w:val="21"/>
                    </w:rPr>
                    <w:t>符合</w:t>
                  </w:r>
                </w:p>
              </w:tc>
            </w:tr>
            <w:tr w14:paraId="5967AB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6" w:type="pct"/>
                  <w:noWrap w:val="0"/>
                  <w:tcMar>
                    <w:left w:w="0" w:type="dxa"/>
                    <w:right w:w="0" w:type="dxa"/>
                  </w:tcMar>
                  <w:vAlign w:val="center"/>
                </w:tcPr>
                <w:p w14:paraId="1857D047">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《内蒙古自治区国民经济和社会发展第十四个五年规划和2035年远景目标纲要》</w:t>
                  </w:r>
                </w:p>
              </w:tc>
              <w:tc>
                <w:tcPr>
                  <w:tcW w:w="2349" w:type="pct"/>
                  <w:noWrap w:val="0"/>
                  <w:vAlign w:val="center"/>
                </w:tcPr>
                <w:p w14:paraId="73A0FDE2">
                  <w:pPr>
                    <w:keepNext w:val="0"/>
                    <w:keepLines w:val="0"/>
                    <w:suppressLineNumbers w:val="0"/>
                    <w:spacing w:before="0" w:beforeAutospacing="0" w:after="0" w:afterAutospacing="0"/>
                    <w:ind w:left="0" w:right="0" w:firstLine="420" w:firstLineChars="200"/>
                    <w:jc w:val="left"/>
                    <w:rPr>
                      <w:rFonts w:hint="eastAsia"/>
                      <w:bCs/>
                      <w:color w:val="auto"/>
                      <w:szCs w:val="21"/>
                    </w:rPr>
                  </w:pPr>
                  <w:r>
                    <w:rPr>
                      <w:rFonts w:hint="eastAsia"/>
                      <w:bCs/>
                      <w:color w:val="auto"/>
                      <w:szCs w:val="21"/>
                    </w:rPr>
                    <w:t>推进能源供应保障升级，完善能源产供储销体系。</w:t>
                  </w:r>
                  <w:r>
                    <w:rPr>
                      <w:rFonts w:hint="eastAsia"/>
                      <w:b/>
                      <w:bCs/>
                      <w:color w:val="auto"/>
                      <w:szCs w:val="21"/>
                    </w:rPr>
                    <w:t>加强鄂尔多斯等重点盆地油气、鄂尔多斯东缘页岩气勘探开发。</w:t>
                  </w:r>
                  <w:r>
                    <w:rPr>
                      <w:rFonts w:hint="eastAsia"/>
                      <w:bCs/>
                      <w:color w:val="auto"/>
                      <w:szCs w:val="21"/>
                    </w:rPr>
                    <w:t>稳妥推进鄂尔多斯等煤制油气战略基地建设，建立产能和技术储备。建设内蒙古综合能源交易中心，开展煤炭、电力、石油、天然气、氢能等多种能源产品和碳汇、碳排放权、排污权、水权、可再生能源配额、电力辅助服务等指标交易。加强供需形势的密切跟踪研判，切实做好能源安全稳定供应。</w:t>
                  </w:r>
                </w:p>
              </w:tc>
              <w:tc>
                <w:tcPr>
                  <w:tcW w:w="1265" w:type="pct"/>
                  <w:vMerge w:val="continue"/>
                  <w:noWrap w:val="0"/>
                  <w:vAlign w:val="center"/>
                </w:tcPr>
                <w:p w14:paraId="502B1C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color w:val="auto"/>
                      <w:szCs w:val="21"/>
                      <w:lang w:eastAsia="zh-CN"/>
                    </w:rPr>
                  </w:pPr>
                </w:p>
              </w:tc>
              <w:tc>
                <w:tcPr>
                  <w:tcW w:w="518" w:type="pct"/>
                  <w:noWrap w:val="0"/>
                  <w:vAlign w:val="center"/>
                </w:tcPr>
                <w:p w14:paraId="3D1F3A45">
                  <w:pPr>
                    <w:keepNext w:val="0"/>
                    <w:keepLines w:val="0"/>
                    <w:widowControl/>
                    <w:suppressLineNumbers w:val="0"/>
                    <w:spacing w:before="0" w:beforeAutospacing="0" w:after="0" w:afterAutospacing="0" w:line="360" w:lineRule="auto"/>
                    <w:ind w:left="0" w:right="0"/>
                    <w:jc w:val="center"/>
                    <w:rPr>
                      <w:rFonts w:hint="default"/>
                      <w:color w:val="auto"/>
                      <w:szCs w:val="21"/>
                    </w:rPr>
                  </w:pPr>
                  <w:r>
                    <w:rPr>
                      <w:rFonts w:hint="default"/>
                      <w:color w:val="auto"/>
                      <w:szCs w:val="21"/>
                    </w:rPr>
                    <w:t>符合</w:t>
                  </w:r>
                </w:p>
              </w:tc>
            </w:tr>
            <w:tr w14:paraId="696C39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6" w:type="pct"/>
                  <w:noWrap w:val="0"/>
                  <w:tcMar>
                    <w:left w:w="0" w:type="dxa"/>
                    <w:right w:w="0" w:type="dxa"/>
                  </w:tcMar>
                  <w:vAlign w:val="center"/>
                </w:tcPr>
                <w:p w14:paraId="264E8CCE">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内蒙古自治区“十四五”能源发展规划</w:t>
                  </w:r>
                </w:p>
              </w:tc>
              <w:tc>
                <w:tcPr>
                  <w:tcW w:w="2349" w:type="pct"/>
                  <w:noWrap w:val="0"/>
                  <w:vAlign w:val="center"/>
                </w:tcPr>
                <w:p w14:paraId="4543A1B9">
                  <w:pPr>
                    <w:keepNext w:val="0"/>
                    <w:keepLines w:val="0"/>
                    <w:suppressLineNumbers w:val="0"/>
                    <w:spacing w:before="0" w:beforeAutospacing="0" w:after="0" w:afterAutospacing="0"/>
                    <w:ind w:left="0" w:right="0" w:firstLine="420" w:firstLineChars="200"/>
                    <w:jc w:val="left"/>
                    <w:rPr>
                      <w:rFonts w:hint="eastAsia"/>
                      <w:bCs/>
                      <w:color w:val="auto"/>
                      <w:szCs w:val="21"/>
                    </w:rPr>
                  </w:pPr>
                  <w:r>
                    <w:rPr>
                      <w:rFonts w:hint="eastAsia"/>
                      <w:bCs/>
                      <w:color w:val="auto"/>
                      <w:szCs w:val="21"/>
                    </w:rPr>
                    <w:t>坚持安全可靠。</w:t>
                  </w:r>
                  <w:r>
                    <w:rPr>
                      <w:rFonts w:hint="eastAsia"/>
                      <w:b/>
                      <w:bCs/>
                      <w:color w:val="auto"/>
                      <w:szCs w:val="21"/>
                    </w:rPr>
                    <w:t>巩固国家重要能源和战略资源基地地位，围绕煤电油气安全稳定供应，强化能源兜底保障能力，</w:t>
                  </w:r>
                  <w:r>
                    <w:rPr>
                      <w:rFonts w:hint="eastAsia"/>
                      <w:bCs/>
                      <w:color w:val="auto"/>
                      <w:szCs w:val="21"/>
                    </w:rPr>
                    <w:t>提升能源供给质量，稳定能源外送能力，构建安全可靠的能源供应保障体系，夯实全国能源供应保障的“压舱石”。</w:t>
                  </w:r>
                </w:p>
              </w:tc>
              <w:tc>
                <w:tcPr>
                  <w:tcW w:w="1265" w:type="pct"/>
                  <w:vMerge w:val="continue"/>
                  <w:noWrap w:val="0"/>
                  <w:vAlign w:val="center"/>
                </w:tcPr>
                <w:p w14:paraId="4BEBE9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szCs w:val="21"/>
                      <w:lang w:eastAsia="zh-CN"/>
                    </w:rPr>
                  </w:pPr>
                </w:p>
              </w:tc>
              <w:tc>
                <w:tcPr>
                  <w:tcW w:w="518" w:type="pct"/>
                  <w:noWrap w:val="0"/>
                  <w:vAlign w:val="center"/>
                </w:tcPr>
                <w:p w14:paraId="0EA26EB6">
                  <w:pPr>
                    <w:keepNext w:val="0"/>
                    <w:keepLines w:val="0"/>
                    <w:widowControl/>
                    <w:suppressLineNumbers w:val="0"/>
                    <w:spacing w:before="0" w:beforeAutospacing="0" w:after="0" w:afterAutospacing="0" w:line="360" w:lineRule="auto"/>
                    <w:ind w:left="0" w:right="0"/>
                    <w:jc w:val="center"/>
                    <w:rPr>
                      <w:rFonts w:hint="eastAsia" w:eastAsia="宋体"/>
                      <w:color w:val="auto"/>
                      <w:szCs w:val="21"/>
                      <w:lang w:eastAsia="zh-CN"/>
                    </w:rPr>
                  </w:pPr>
                  <w:r>
                    <w:rPr>
                      <w:rFonts w:hint="eastAsia"/>
                      <w:color w:val="auto"/>
                      <w:szCs w:val="21"/>
                      <w:lang w:eastAsia="zh-CN"/>
                    </w:rPr>
                    <w:t>符合</w:t>
                  </w:r>
                </w:p>
              </w:tc>
            </w:tr>
            <w:tr w14:paraId="76012D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92" w:hRule="atLeast"/>
              </w:trPr>
              <w:tc>
                <w:tcPr>
                  <w:tcW w:w="866" w:type="pct"/>
                  <w:noWrap w:val="0"/>
                  <w:tcMar>
                    <w:left w:w="0" w:type="dxa"/>
                    <w:right w:w="0" w:type="dxa"/>
                  </w:tcMar>
                  <w:vAlign w:val="center"/>
                </w:tcPr>
                <w:p w14:paraId="3F932972">
                  <w:pPr>
                    <w:keepNext w:val="0"/>
                    <w:keepLines w:val="0"/>
                    <w:suppressLineNumbers w:val="0"/>
                    <w:spacing w:before="0" w:beforeAutospacing="0" w:after="0" w:afterAutospacing="0"/>
                    <w:ind w:left="0" w:right="0"/>
                    <w:jc w:val="center"/>
                    <w:rPr>
                      <w:rFonts w:hint="eastAsia"/>
                      <w:bCs/>
                      <w:color w:val="auto"/>
                      <w:szCs w:val="21"/>
                    </w:rPr>
                  </w:pPr>
                  <w:r>
                    <w:rPr>
                      <w:rFonts w:hint="eastAsia"/>
                      <w:color w:val="auto"/>
                    </w:rPr>
                    <w:t>《巴彦淖尔市国民经济和社会发展第十四个五年规划和2035年远景目标纲要》</w:t>
                  </w:r>
                </w:p>
              </w:tc>
              <w:tc>
                <w:tcPr>
                  <w:tcW w:w="2349" w:type="pct"/>
                  <w:noWrap w:val="0"/>
                  <w:vAlign w:val="center"/>
                </w:tcPr>
                <w:p w14:paraId="00341714">
                  <w:pPr>
                    <w:keepNext w:val="0"/>
                    <w:keepLines w:val="0"/>
                    <w:suppressLineNumbers w:val="0"/>
                    <w:spacing w:before="0" w:beforeAutospacing="0" w:after="0" w:afterAutospacing="0"/>
                    <w:ind w:left="0" w:right="0" w:firstLine="420" w:firstLineChars="200"/>
                    <w:jc w:val="left"/>
                    <w:rPr>
                      <w:rFonts w:hint="eastAsia"/>
                      <w:bCs/>
                      <w:color w:val="auto"/>
                      <w:szCs w:val="21"/>
                    </w:rPr>
                  </w:pPr>
                  <w:r>
                    <w:rPr>
                      <w:rFonts w:hint="eastAsia"/>
                      <w:color w:val="auto"/>
                    </w:rPr>
                    <w:t>加强矿产资源综合利用。在法律允许开发区域内，</w:t>
                  </w:r>
                  <w:r>
                    <w:rPr>
                      <w:rFonts w:hint="eastAsia"/>
                      <w:b/>
                      <w:bCs/>
                      <w:color w:val="auto"/>
                    </w:rPr>
                    <w:t>加大矿产资源的勘查力度，有序开发矿产资源。加大石油天然气勘探力度，推动油气开采与战略储备</w:t>
                  </w:r>
                  <w:r>
                    <w:rPr>
                      <w:rFonts w:hint="eastAsia"/>
                      <w:color w:val="auto"/>
                    </w:rPr>
                    <w:t>，实现河套盆地规模增储。</w:t>
                  </w:r>
                </w:p>
              </w:tc>
              <w:tc>
                <w:tcPr>
                  <w:tcW w:w="1265" w:type="pct"/>
                  <w:vMerge w:val="continue"/>
                  <w:noWrap w:val="0"/>
                  <w:vAlign w:val="center"/>
                </w:tcPr>
                <w:p w14:paraId="73E49A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Cs w:val="21"/>
                    </w:rPr>
                  </w:pPr>
                </w:p>
              </w:tc>
              <w:tc>
                <w:tcPr>
                  <w:tcW w:w="518" w:type="pct"/>
                  <w:noWrap w:val="0"/>
                  <w:vAlign w:val="center"/>
                </w:tcPr>
                <w:p w14:paraId="6B879D3E">
                  <w:pPr>
                    <w:keepNext w:val="0"/>
                    <w:keepLines w:val="0"/>
                    <w:widowControl/>
                    <w:suppressLineNumbers w:val="0"/>
                    <w:spacing w:before="0" w:beforeAutospacing="0" w:after="0" w:afterAutospacing="0" w:line="360" w:lineRule="auto"/>
                    <w:ind w:left="0" w:right="0"/>
                    <w:jc w:val="center"/>
                    <w:rPr>
                      <w:rFonts w:hint="eastAsia"/>
                      <w:color w:val="auto"/>
                      <w:szCs w:val="21"/>
                    </w:rPr>
                  </w:pPr>
                  <w:r>
                    <w:rPr>
                      <w:rFonts w:hint="eastAsia"/>
                      <w:color w:val="auto"/>
                      <w:szCs w:val="21"/>
                    </w:rPr>
                    <w:t>符合</w:t>
                  </w:r>
                </w:p>
              </w:tc>
            </w:tr>
            <w:tr w14:paraId="0228CE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92" w:hRule="atLeast"/>
              </w:trPr>
              <w:tc>
                <w:tcPr>
                  <w:tcW w:w="866" w:type="pct"/>
                  <w:noWrap w:val="0"/>
                  <w:tcMar>
                    <w:left w:w="0" w:type="dxa"/>
                    <w:right w:w="0" w:type="dxa"/>
                  </w:tcMar>
                  <w:vAlign w:val="center"/>
                </w:tcPr>
                <w:p w14:paraId="5F1D9C1F">
                  <w:pPr>
                    <w:keepNext w:val="0"/>
                    <w:keepLines w:val="0"/>
                    <w:suppressLineNumbers w:val="0"/>
                    <w:spacing w:before="0" w:beforeAutospacing="0" w:after="0" w:afterAutospacing="0"/>
                    <w:ind w:left="0" w:right="0"/>
                    <w:jc w:val="center"/>
                    <w:rPr>
                      <w:rFonts w:hint="eastAsia"/>
                      <w:color w:val="auto"/>
                    </w:rPr>
                  </w:pPr>
                  <w:r>
                    <w:rPr>
                      <w:rFonts w:hint="eastAsia"/>
                      <w:color w:val="auto"/>
                    </w:rPr>
                    <w:t>《巴彦淖尔市矿产资源总体规划（2021—2025年）</w:t>
                  </w:r>
                </w:p>
                <w:p w14:paraId="79FB93B6">
                  <w:pPr>
                    <w:keepNext w:val="0"/>
                    <w:keepLines w:val="0"/>
                    <w:suppressLineNumbers w:val="0"/>
                    <w:spacing w:before="0" w:beforeAutospacing="0" w:after="0" w:afterAutospacing="0"/>
                    <w:ind w:left="0" w:right="0"/>
                    <w:jc w:val="center"/>
                    <w:rPr>
                      <w:rFonts w:hint="eastAsia"/>
                      <w:color w:val="auto"/>
                    </w:rPr>
                  </w:pPr>
                </w:p>
              </w:tc>
              <w:tc>
                <w:tcPr>
                  <w:tcW w:w="2349" w:type="pct"/>
                  <w:noWrap w:val="0"/>
                  <w:vAlign w:val="center"/>
                </w:tcPr>
                <w:p w14:paraId="4B4C4D1E">
                  <w:pPr>
                    <w:keepNext w:val="0"/>
                    <w:keepLines w:val="0"/>
                    <w:suppressLineNumbers w:val="0"/>
                    <w:spacing w:before="0" w:beforeAutospacing="0" w:after="0" w:afterAutospacing="0"/>
                    <w:ind w:left="0" w:right="0" w:firstLine="422" w:firstLineChars="200"/>
                    <w:jc w:val="left"/>
                    <w:rPr>
                      <w:rFonts w:hint="eastAsia"/>
                      <w:color w:val="auto"/>
                    </w:rPr>
                  </w:pPr>
                  <w:r>
                    <w:rPr>
                      <w:rFonts w:hint="eastAsia"/>
                      <w:b/>
                      <w:color w:val="auto"/>
                    </w:rPr>
                    <w:t>重点勘查石油</w:t>
                  </w:r>
                  <w:r>
                    <w:rPr>
                      <w:rFonts w:hint="eastAsia"/>
                      <w:color w:val="auto"/>
                    </w:rPr>
                    <w:t>、地热、铁、铜、镍、金等矿产，兼顾铅、锌、饰面用花岗岩等，提高全市战略性矿产保障力度，保持铅、锌等矿产资源优势。</w:t>
                  </w:r>
                </w:p>
                <w:p w14:paraId="636E553B">
                  <w:pPr>
                    <w:keepNext w:val="0"/>
                    <w:keepLines w:val="0"/>
                    <w:suppressLineNumbers w:val="0"/>
                    <w:spacing w:before="0" w:beforeAutospacing="0" w:after="0" w:afterAutospacing="0"/>
                    <w:ind w:left="0" w:right="0" w:firstLine="420" w:firstLineChars="200"/>
                    <w:jc w:val="left"/>
                    <w:rPr>
                      <w:rFonts w:hint="eastAsia"/>
                      <w:color w:val="auto"/>
                    </w:rPr>
                  </w:pPr>
                  <w:r>
                    <w:rPr>
                      <w:rFonts w:hint="eastAsia"/>
                      <w:color w:val="auto"/>
                    </w:rPr>
                    <w:t>重点开采铜、铅、锌多金属、金、铁及优质高效的非金属矿产，</w:t>
                  </w:r>
                  <w:r>
                    <w:rPr>
                      <w:rFonts w:hint="eastAsia"/>
                      <w:b/>
                      <w:color w:val="auto"/>
                    </w:rPr>
                    <w:t>加快推进石油、地热资源的开采</w:t>
                  </w:r>
                  <w:r>
                    <w:rPr>
                      <w:rFonts w:hint="eastAsia"/>
                      <w:color w:val="auto"/>
                    </w:rPr>
                    <w:t>。</w:t>
                  </w:r>
                </w:p>
              </w:tc>
              <w:tc>
                <w:tcPr>
                  <w:tcW w:w="1265" w:type="pct"/>
                  <w:vMerge w:val="continue"/>
                  <w:noWrap w:val="0"/>
                  <w:vAlign w:val="center"/>
                </w:tcPr>
                <w:p w14:paraId="53479E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olor w:val="auto"/>
                      <w:szCs w:val="21"/>
                    </w:rPr>
                  </w:pPr>
                </w:p>
              </w:tc>
              <w:tc>
                <w:tcPr>
                  <w:tcW w:w="518" w:type="pct"/>
                  <w:noWrap w:val="0"/>
                  <w:vAlign w:val="center"/>
                </w:tcPr>
                <w:p w14:paraId="2B9C6AEB">
                  <w:pPr>
                    <w:keepNext w:val="0"/>
                    <w:keepLines w:val="0"/>
                    <w:widowControl/>
                    <w:suppressLineNumbers w:val="0"/>
                    <w:spacing w:before="0" w:beforeAutospacing="0" w:after="0" w:afterAutospacing="0" w:line="360" w:lineRule="auto"/>
                    <w:ind w:left="0" w:right="0"/>
                    <w:jc w:val="center"/>
                    <w:rPr>
                      <w:rFonts w:hint="eastAsia" w:eastAsia="宋体"/>
                      <w:color w:val="auto"/>
                      <w:szCs w:val="21"/>
                      <w:lang w:val="en-US" w:eastAsia="zh-CN"/>
                    </w:rPr>
                  </w:pPr>
                  <w:r>
                    <w:rPr>
                      <w:rFonts w:hint="eastAsia"/>
                      <w:color w:val="auto"/>
                      <w:szCs w:val="21"/>
                      <w:lang w:val="en-US" w:eastAsia="zh-CN"/>
                    </w:rPr>
                    <w:t>符合</w:t>
                  </w:r>
                </w:p>
              </w:tc>
            </w:tr>
          </w:tbl>
          <w:p w14:paraId="0AD0ABB5">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color w:val="auto"/>
                <w:sz w:val="24"/>
                <w:lang w:val="en-US" w:eastAsia="zh-CN"/>
              </w:rPr>
              <w:t>3、</w:t>
            </w:r>
            <w:r>
              <w:rPr>
                <w:rFonts w:hint="default"/>
                <w:color w:val="auto"/>
                <w:sz w:val="24"/>
              </w:rPr>
              <w:t>与</w:t>
            </w:r>
            <w:r>
              <w:rPr>
                <w:rFonts w:hint="eastAsia"/>
                <w:color w:val="auto"/>
                <w:sz w:val="24"/>
                <w:lang w:eastAsia="zh-CN"/>
              </w:rPr>
              <w:t>生态环境部</w:t>
            </w:r>
            <w:r>
              <w:rPr>
                <w:rFonts w:hint="eastAsia"/>
                <w:color w:val="auto"/>
                <w:sz w:val="24"/>
              </w:rPr>
              <w:t>“</w:t>
            </w:r>
            <w:r>
              <w:rPr>
                <w:rFonts w:hint="default"/>
                <w:color w:val="auto"/>
                <w:sz w:val="24"/>
              </w:rPr>
              <w:t>关于进一步加强石油天然气行业环境影响评价管理的通知（环办环评函〔2019〕910号）</w:t>
            </w:r>
            <w:r>
              <w:rPr>
                <w:rFonts w:hint="eastAsia"/>
                <w:color w:val="auto"/>
                <w:sz w:val="24"/>
              </w:rPr>
              <w:t>”</w:t>
            </w:r>
            <w:r>
              <w:rPr>
                <w:rFonts w:hint="default"/>
                <w:color w:val="auto"/>
                <w:sz w:val="24"/>
              </w:rPr>
              <w:t>符合性分析</w:t>
            </w:r>
            <w:r>
              <w:rPr>
                <w:rFonts w:hint="eastAsia"/>
                <w:color w:val="auto"/>
                <w:sz w:val="24"/>
              </w:rPr>
              <w:t>如下。</w:t>
            </w:r>
          </w:p>
          <w:p w14:paraId="344665D8">
            <w:pPr>
              <w:keepNext w:val="0"/>
              <w:keepLines w:val="0"/>
              <w:suppressLineNumbers w:val="0"/>
              <w:spacing w:before="0" w:beforeAutospacing="0" w:after="0" w:afterAutospacing="0"/>
              <w:ind w:left="0" w:right="0"/>
              <w:jc w:val="center"/>
              <w:rPr>
                <w:rFonts w:hint="eastAsia"/>
                <w:b/>
                <w:color w:val="auto"/>
                <w:sz w:val="24"/>
                <w:szCs w:val="21"/>
              </w:rPr>
            </w:pPr>
            <w:r>
              <w:rPr>
                <w:rFonts w:hint="default"/>
                <w:b/>
                <w:color w:val="auto"/>
                <w:sz w:val="24"/>
                <w:szCs w:val="21"/>
              </w:rPr>
              <w:t>表1-2</w:t>
            </w:r>
            <w:r>
              <w:rPr>
                <w:rFonts w:hint="eastAsia"/>
                <w:b/>
                <w:color w:val="auto"/>
                <w:sz w:val="24"/>
                <w:szCs w:val="21"/>
              </w:rPr>
              <w:t xml:space="preserve"> </w:t>
            </w:r>
            <w:r>
              <w:rPr>
                <w:rFonts w:hint="default"/>
                <w:b/>
                <w:color w:val="auto"/>
                <w:sz w:val="24"/>
                <w:szCs w:val="21"/>
              </w:rPr>
              <w:t>与环办环评函〔2019〕910号符合性分析</w:t>
            </w:r>
          </w:p>
          <w:tbl>
            <w:tblPr>
              <w:tblStyle w:val="30"/>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050"/>
              <w:gridCol w:w="2923"/>
              <w:gridCol w:w="3192"/>
              <w:gridCol w:w="520"/>
            </w:tblGrid>
            <w:tr w14:paraId="3DCB280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09" w:hRule="atLeast"/>
                <w:jc w:val="center"/>
              </w:trPr>
              <w:tc>
                <w:tcPr>
                  <w:tcW w:w="683" w:type="pct"/>
                  <w:noWrap w:val="0"/>
                  <w:vAlign w:val="center"/>
                </w:tcPr>
                <w:p w14:paraId="108041AF">
                  <w:pPr>
                    <w:keepNext w:val="0"/>
                    <w:keepLines w:val="0"/>
                    <w:pageBreakBefore w:val="0"/>
                    <w:widowControl/>
                    <w:suppressLineNumbers w:val="0"/>
                    <w:kinsoku/>
                    <w:wordWrap/>
                    <w:overflowPunct/>
                    <w:topLinePunct w:val="0"/>
                    <w:autoSpaceDE/>
                    <w:autoSpaceDN/>
                    <w:bidi w:val="0"/>
                    <w:snapToGrid w:val="0"/>
                    <w:spacing w:before="0" w:beforeAutospacing="0" w:after="0" w:afterAutospacing="0"/>
                    <w:ind w:left="0" w:right="0"/>
                    <w:jc w:val="center"/>
                    <w:textAlignment w:val="auto"/>
                    <w:rPr>
                      <w:rFonts w:hint="default"/>
                      <w:color w:val="auto"/>
                      <w:kern w:val="0"/>
                      <w:szCs w:val="21"/>
                    </w:rPr>
                  </w:pPr>
                  <w:r>
                    <w:rPr>
                      <w:rFonts w:hint="default"/>
                      <w:color w:val="auto"/>
                      <w:kern w:val="0"/>
                      <w:szCs w:val="21"/>
                    </w:rPr>
                    <w:t>内容</w:t>
                  </w:r>
                </w:p>
              </w:tc>
              <w:tc>
                <w:tcPr>
                  <w:tcW w:w="1901" w:type="pct"/>
                  <w:noWrap w:val="0"/>
                  <w:vAlign w:val="center"/>
                </w:tcPr>
                <w:p w14:paraId="226EE3C1">
                  <w:pPr>
                    <w:keepNext w:val="0"/>
                    <w:keepLines w:val="0"/>
                    <w:pageBreakBefore w:val="0"/>
                    <w:widowControl/>
                    <w:suppressLineNumbers w:val="0"/>
                    <w:kinsoku/>
                    <w:wordWrap/>
                    <w:overflowPunct/>
                    <w:topLinePunct w:val="0"/>
                    <w:autoSpaceDE/>
                    <w:autoSpaceDN/>
                    <w:bidi w:val="0"/>
                    <w:snapToGrid w:val="0"/>
                    <w:spacing w:before="0" w:beforeAutospacing="0" w:after="0" w:afterAutospacing="0"/>
                    <w:ind w:left="0" w:right="0"/>
                    <w:jc w:val="center"/>
                    <w:textAlignment w:val="auto"/>
                    <w:rPr>
                      <w:rFonts w:hint="default"/>
                      <w:color w:val="auto"/>
                      <w:kern w:val="0"/>
                      <w:szCs w:val="21"/>
                    </w:rPr>
                  </w:pPr>
                  <w:r>
                    <w:rPr>
                      <w:rFonts w:hint="default"/>
                      <w:color w:val="auto"/>
                      <w:kern w:val="0"/>
                      <w:szCs w:val="21"/>
                    </w:rPr>
                    <w:t>政策要求</w:t>
                  </w:r>
                </w:p>
              </w:tc>
              <w:tc>
                <w:tcPr>
                  <w:tcW w:w="2076" w:type="pct"/>
                  <w:noWrap w:val="0"/>
                  <w:vAlign w:val="center"/>
                </w:tcPr>
                <w:p w14:paraId="5A2A773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textAlignment w:val="auto"/>
                    <w:rPr>
                      <w:rFonts w:hint="eastAsia" w:eastAsia="宋体"/>
                      <w:color w:val="auto"/>
                      <w:kern w:val="0"/>
                      <w:szCs w:val="21"/>
                      <w:lang w:eastAsia="zh-CN"/>
                    </w:rPr>
                  </w:pPr>
                  <w:r>
                    <w:rPr>
                      <w:rFonts w:hint="eastAsia"/>
                      <w:color w:val="auto"/>
                      <w:kern w:val="0"/>
                      <w:szCs w:val="21"/>
                      <w:lang w:eastAsia="zh-CN"/>
                    </w:rPr>
                    <w:t>本工程</w:t>
                  </w:r>
                </w:p>
              </w:tc>
              <w:tc>
                <w:tcPr>
                  <w:tcW w:w="338" w:type="pct"/>
                  <w:noWrap w:val="0"/>
                  <w:tcMar>
                    <w:left w:w="0" w:type="dxa"/>
                    <w:right w:w="0" w:type="dxa"/>
                  </w:tcMar>
                  <w:vAlign w:val="center"/>
                </w:tcPr>
                <w:p w14:paraId="10CE8CA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textAlignment w:val="auto"/>
                    <w:rPr>
                      <w:rFonts w:hint="default"/>
                      <w:color w:val="auto"/>
                      <w:kern w:val="0"/>
                      <w:szCs w:val="21"/>
                    </w:rPr>
                  </w:pPr>
                  <w:r>
                    <w:rPr>
                      <w:rFonts w:hint="default"/>
                      <w:color w:val="auto"/>
                      <w:kern w:val="0"/>
                      <w:szCs w:val="21"/>
                    </w:rPr>
                    <w:t>符合性</w:t>
                  </w:r>
                </w:p>
              </w:tc>
            </w:tr>
            <w:tr w14:paraId="07F78D6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683" w:type="pct"/>
                  <w:noWrap w:val="0"/>
                  <w:vAlign w:val="center"/>
                </w:tcPr>
                <w:p w14:paraId="455F26D4">
                  <w:pPr>
                    <w:keepNext w:val="0"/>
                    <w:keepLines w:val="0"/>
                    <w:pageBreakBefore w:val="0"/>
                    <w:widowControl/>
                    <w:suppressLineNumbers w:val="0"/>
                    <w:kinsoku/>
                    <w:wordWrap/>
                    <w:overflowPunct/>
                    <w:topLinePunct w:val="0"/>
                    <w:autoSpaceDE/>
                    <w:autoSpaceDN/>
                    <w:bidi w:val="0"/>
                    <w:snapToGrid w:val="0"/>
                    <w:spacing w:before="0" w:beforeAutospacing="0" w:after="0" w:afterAutospacing="0"/>
                    <w:ind w:left="0" w:right="0"/>
                    <w:jc w:val="both"/>
                    <w:textAlignment w:val="auto"/>
                    <w:rPr>
                      <w:rFonts w:hint="default"/>
                      <w:color w:val="auto"/>
                      <w:kern w:val="0"/>
                      <w:szCs w:val="21"/>
                    </w:rPr>
                  </w:pPr>
                  <w:r>
                    <w:rPr>
                      <w:rFonts w:hint="default"/>
                      <w:color w:val="auto"/>
                      <w:kern w:val="0"/>
                      <w:szCs w:val="21"/>
                    </w:rPr>
                    <w:t>二、深化项目环评</w:t>
                  </w:r>
                  <w:r>
                    <w:rPr>
                      <w:rFonts w:hint="eastAsia"/>
                      <w:color w:val="auto"/>
                      <w:kern w:val="0"/>
                      <w:szCs w:val="21"/>
                    </w:rPr>
                    <w:t>“</w:t>
                  </w:r>
                  <w:r>
                    <w:rPr>
                      <w:rFonts w:hint="default"/>
                      <w:color w:val="auto"/>
                      <w:kern w:val="0"/>
                      <w:szCs w:val="21"/>
                    </w:rPr>
                    <w:t>放管服</w:t>
                  </w:r>
                  <w:r>
                    <w:rPr>
                      <w:rFonts w:hint="eastAsia"/>
                      <w:color w:val="auto"/>
                      <w:kern w:val="0"/>
                      <w:szCs w:val="21"/>
                    </w:rPr>
                    <w:t>”</w:t>
                  </w:r>
                  <w:r>
                    <w:rPr>
                      <w:rFonts w:hint="default"/>
                      <w:color w:val="auto"/>
                      <w:kern w:val="0"/>
                      <w:szCs w:val="21"/>
                    </w:rPr>
                    <w:t>改革</w:t>
                  </w:r>
                </w:p>
              </w:tc>
              <w:tc>
                <w:tcPr>
                  <w:tcW w:w="1901" w:type="pct"/>
                  <w:noWrap w:val="0"/>
                  <w:vAlign w:val="center"/>
                </w:tcPr>
                <w:p w14:paraId="5E18FD2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both"/>
                    <w:textAlignment w:val="auto"/>
                    <w:rPr>
                      <w:rFonts w:hint="default"/>
                      <w:color w:val="auto"/>
                      <w:kern w:val="0"/>
                      <w:szCs w:val="21"/>
                    </w:rPr>
                  </w:pPr>
                  <w:r>
                    <w:rPr>
                      <w:rFonts w:hint="default"/>
                      <w:color w:val="auto"/>
                      <w:kern w:val="0"/>
                      <w:szCs w:val="21"/>
                    </w:rPr>
                    <w:t>未确定产能建设规模的陆地油气开采新区块，建设勘探井应当依法编制环境影响报告表。</w:t>
                  </w:r>
                  <w:r>
                    <w:rPr>
                      <w:rFonts w:hint="eastAsia"/>
                      <w:color w:val="auto"/>
                      <w:kern w:val="0"/>
                      <w:szCs w:val="21"/>
                    </w:rPr>
                    <w:t>确定产能建设规模后，原则上不得以勘探名义继续开展单井环评。</w:t>
                  </w:r>
                </w:p>
              </w:tc>
              <w:tc>
                <w:tcPr>
                  <w:tcW w:w="2076" w:type="pct"/>
                  <w:noWrap w:val="0"/>
                  <w:vAlign w:val="center"/>
                </w:tcPr>
                <w:p w14:paraId="2481669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both"/>
                    <w:textAlignment w:val="auto"/>
                    <w:rPr>
                      <w:rFonts w:hint="eastAsia"/>
                      <w:color w:val="auto"/>
                      <w:kern w:val="0"/>
                      <w:szCs w:val="21"/>
                      <w:lang w:val="en-US" w:eastAsia="zh-CN"/>
                    </w:rPr>
                  </w:pPr>
                  <w:r>
                    <w:rPr>
                      <w:rFonts w:hint="default"/>
                      <w:color w:val="auto"/>
                      <w:kern w:val="0"/>
                      <w:szCs w:val="21"/>
                    </w:rPr>
                    <w:fldChar w:fldCharType="begin"/>
                  </w:r>
                  <w:r>
                    <w:rPr>
                      <w:rFonts w:hint="default"/>
                      <w:color w:val="auto"/>
                      <w:kern w:val="0"/>
                      <w:szCs w:val="21"/>
                    </w:rPr>
                    <w:instrText xml:space="preserve"> </w:instrText>
                  </w:r>
                  <w:r>
                    <w:rPr>
                      <w:rFonts w:hint="eastAsia"/>
                      <w:color w:val="auto"/>
                      <w:kern w:val="0"/>
                      <w:szCs w:val="21"/>
                    </w:rPr>
                    <w:instrText xml:space="preserve">= 1 \* GB3</w:instrText>
                  </w:r>
                  <w:r>
                    <w:rPr>
                      <w:rFonts w:hint="default"/>
                      <w:color w:val="auto"/>
                      <w:kern w:val="0"/>
                      <w:szCs w:val="21"/>
                    </w:rPr>
                    <w:instrText xml:space="preserve"> </w:instrText>
                  </w:r>
                  <w:r>
                    <w:rPr>
                      <w:rFonts w:hint="default"/>
                      <w:color w:val="auto"/>
                      <w:kern w:val="0"/>
                      <w:szCs w:val="21"/>
                    </w:rPr>
                    <w:fldChar w:fldCharType="separate"/>
                  </w:r>
                  <w:r>
                    <w:rPr>
                      <w:rFonts w:hint="eastAsia"/>
                      <w:color w:val="auto"/>
                      <w:kern w:val="0"/>
                      <w:szCs w:val="21"/>
                    </w:rPr>
                    <w:t>①</w:t>
                  </w:r>
                  <w:r>
                    <w:rPr>
                      <w:rFonts w:hint="default"/>
                      <w:color w:val="auto"/>
                      <w:kern w:val="0"/>
                      <w:szCs w:val="21"/>
                    </w:rPr>
                    <w:fldChar w:fldCharType="end"/>
                  </w:r>
                  <w:r>
                    <w:rPr>
                      <w:rFonts w:hint="eastAsia"/>
                      <w:color w:val="auto"/>
                      <w:kern w:val="0"/>
                      <w:szCs w:val="21"/>
                      <w:lang w:eastAsia="zh-CN"/>
                    </w:rPr>
                    <w:t>本工程</w:t>
                  </w:r>
                  <w:r>
                    <w:rPr>
                      <w:rFonts w:hint="default"/>
                      <w:color w:val="auto"/>
                      <w:kern w:val="0"/>
                      <w:szCs w:val="21"/>
                    </w:rPr>
                    <w:t>位于</w:t>
                  </w:r>
                  <w:r>
                    <w:rPr>
                      <w:rFonts w:hint="eastAsia"/>
                      <w:color w:val="auto"/>
                      <w:kern w:val="0"/>
                      <w:szCs w:val="21"/>
                    </w:rPr>
                    <w:t>内蒙古河套盆地吉锦油气勘查探矿权范围内，</w:t>
                  </w:r>
                  <w:r>
                    <w:rPr>
                      <w:rFonts w:hint="eastAsia"/>
                      <w:color w:val="auto"/>
                      <w:kern w:val="0"/>
                      <w:szCs w:val="21"/>
                      <w:lang w:val="en-US" w:eastAsia="zh-CN"/>
                    </w:rPr>
                    <w:t>目前</w:t>
                  </w:r>
                  <w:r>
                    <w:rPr>
                      <w:rFonts w:hint="eastAsia"/>
                      <w:color w:val="auto"/>
                      <w:kern w:val="0"/>
                      <w:szCs w:val="21"/>
                    </w:rPr>
                    <w:t>属于未确定产能建设规模的陆地油气开采新区块</w:t>
                  </w:r>
                  <w:r>
                    <w:rPr>
                      <w:rFonts w:hint="eastAsia"/>
                      <w:color w:val="auto"/>
                      <w:kern w:val="0"/>
                      <w:szCs w:val="21"/>
                      <w:lang w:eastAsia="zh-CN"/>
                    </w:rPr>
                    <w:t>，</w:t>
                  </w:r>
                  <w:r>
                    <w:rPr>
                      <w:rFonts w:hint="eastAsia"/>
                      <w:color w:val="auto"/>
                      <w:kern w:val="0"/>
                      <w:szCs w:val="21"/>
                    </w:rPr>
                    <w:t>不在</w:t>
                  </w:r>
                  <w:r>
                    <w:rPr>
                      <w:rFonts w:hint="eastAsia"/>
                      <w:color w:val="auto"/>
                      <w:kern w:val="0"/>
                      <w:szCs w:val="21"/>
                      <w:lang w:val="en-US" w:eastAsia="zh-CN"/>
                    </w:rPr>
                    <w:t>已取得</w:t>
                  </w:r>
                  <w:r>
                    <w:rPr>
                      <w:rFonts w:hint="eastAsia"/>
                      <w:color w:val="auto"/>
                      <w:kern w:val="0"/>
                      <w:szCs w:val="21"/>
                    </w:rPr>
                    <w:t>采矿权</w:t>
                  </w:r>
                  <w:r>
                    <w:rPr>
                      <w:rFonts w:hint="eastAsia"/>
                      <w:color w:val="auto"/>
                      <w:kern w:val="0"/>
                      <w:szCs w:val="21"/>
                      <w:lang w:val="en-US" w:eastAsia="zh-CN"/>
                    </w:rPr>
                    <w:t>的油田</w:t>
                  </w:r>
                  <w:r>
                    <w:rPr>
                      <w:rFonts w:hint="eastAsia"/>
                      <w:color w:val="auto"/>
                      <w:kern w:val="0"/>
                      <w:szCs w:val="21"/>
                    </w:rPr>
                    <w:t>范围内，</w:t>
                  </w:r>
                  <w:r>
                    <w:rPr>
                      <w:rFonts w:hint="eastAsia"/>
                      <w:color w:val="auto"/>
                      <w:kern w:val="0"/>
                      <w:szCs w:val="21"/>
                      <w:lang w:val="en-US" w:eastAsia="zh-CN"/>
                    </w:rPr>
                    <w:t>已取得探矿权，在勘探阶段。</w:t>
                  </w:r>
                </w:p>
                <w:p w14:paraId="6A3B149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both"/>
                    <w:textAlignment w:val="auto"/>
                    <w:rPr>
                      <w:rFonts w:hint="default"/>
                      <w:color w:val="auto"/>
                      <w:kern w:val="0"/>
                      <w:szCs w:val="21"/>
                    </w:rPr>
                  </w:pPr>
                  <w:r>
                    <w:rPr>
                      <w:rFonts w:hint="default"/>
                      <w:color w:val="auto"/>
                      <w:kern w:val="0"/>
                      <w:szCs w:val="21"/>
                    </w:rPr>
                    <w:fldChar w:fldCharType="begin"/>
                  </w:r>
                  <w:r>
                    <w:rPr>
                      <w:rFonts w:hint="default"/>
                      <w:color w:val="auto"/>
                      <w:kern w:val="0"/>
                      <w:szCs w:val="21"/>
                    </w:rPr>
                    <w:instrText xml:space="preserve"> </w:instrText>
                  </w:r>
                  <w:r>
                    <w:rPr>
                      <w:rFonts w:hint="eastAsia"/>
                      <w:color w:val="auto"/>
                      <w:kern w:val="0"/>
                      <w:szCs w:val="21"/>
                    </w:rPr>
                    <w:instrText xml:space="preserve">= 2 \* GB3</w:instrText>
                  </w:r>
                  <w:r>
                    <w:rPr>
                      <w:rFonts w:hint="default"/>
                      <w:color w:val="auto"/>
                      <w:kern w:val="0"/>
                      <w:szCs w:val="21"/>
                    </w:rPr>
                    <w:instrText xml:space="preserve"> </w:instrText>
                  </w:r>
                  <w:r>
                    <w:rPr>
                      <w:rFonts w:hint="default"/>
                      <w:color w:val="auto"/>
                      <w:kern w:val="0"/>
                      <w:szCs w:val="21"/>
                    </w:rPr>
                    <w:fldChar w:fldCharType="separate"/>
                  </w:r>
                  <w:r>
                    <w:rPr>
                      <w:rFonts w:hint="eastAsia"/>
                      <w:color w:val="auto"/>
                      <w:kern w:val="0"/>
                      <w:szCs w:val="21"/>
                    </w:rPr>
                    <w:t>②</w:t>
                  </w:r>
                  <w:r>
                    <w:rPr>
                      <w:rFonts w:hint="default"/>
                      <w:color w:val="auto"/>
                      <w:kern w:val="0"/>
                      <w:szCs w:val="21"/>
                    </w:rPr>
                    <w:fldChar w:fldCharType="end"/>
                  </w:r>
                  <w:r>
                    <w:rPr>
                      <w:rFonts w:hint="eastAsia"/>
                      <w:color w:val="auto"/>
                      <w:kern w:val="0"/>
                      <w:szCs w:val="21"/>
                      <w:lang w:val="en-US" w:eastAsia="zh-CN"/>
                    </w:rPr>
                    <w:t>根据《建设项目环境影响评价分类管理目录》（2021年版），本工程属于“07石油和天然气开采业”“0711陆地石油开采”的“其他”，编制了环境影响评价报告表。</w:t>
                  </w:r>
                </w:p>
              </w:tc>
              <w:tc>
                <w:tcPr>
                  <w:tcW w:w="338" w:type="pct"/>
                  <w:noWrap w:val="0"/>
                  <w:tcMar>
                    <w:left w:w="0" w:type="dxa"/>
                    <w:right w:w="0" w:type="dxa"/>
                  </w:tcMar>
                  <w:vAlign w:val="center"/>
                </w:tcPr>
                <w:p w14:paraId="316D8C5E">
                  <w:pPr>
                    <w:keepNext w:val="0"/>
                    <w:keepLines w:val="0"/>
                    <w:pageBreakBefore w:val="0"/>
                    <w:widowControl/>
                    <w:suppressLineNumbers w:val="0"/>
                    <w:kinsoku/>
                    <w:wordWrap/>
                    <w:overflowPunct/>
                    <w:topLinePunct w:val="0"/>
                    <w:autoSpaceDE/>
                    <w:autoSpaceDN/>
                    <w:bidi w:val="0"/>
                    <w:snapToGrid w:val="0"/>
                    <w:spacing w:before="0" w:beforeAutospacing="0" w:after="0" w:afterAutospacing="0"/>
                    <w:ind w:left="0" w:right="0"/>
                    <w:jc w:val="both"/>
                    <w:textAlignment w:val="auto"/>
                    <w:rPr>
                      <w:rFonts w:hint="default"/>
                      <w:color w:val="auto"/>
                      <w:kern w:val="0"/>
                      <w:szCs w:val="21"/>
                    </w:rPr>
                  </w:pPr>
                  <w:r>
                    <w:rPr>
                      <w:rFonts w:hint="default"/>
                      <w:color w:val="auto"/>
                      <w:kern w:val="0"/>
                      <w:szCs w:val="21"/>
                    </w:rPr>
                    <w:t>符合</w:t>
                  </w:r>
                </w:p>
              </w:tc>
            </w:tr>
            <w:tr w14:paraId="559CEFC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872" w:hRule="atLeast"/>
                <w:jc w:val="center"/>
              </w:trPr>
              <w:tc>
                <w:tcPr>
                  <w:tcW w:w="683" w:type="pct"/>
                  <w:vMerge w:val="restart"/>
                  <w:noWrap w:val="0"/>
                  <w:vAlign w:val="center"/>
                </w:tcPr>
                <w:p w14:paraId="19AECEDF">
                  <w:pPr>
                    <w:keepNext w:val="0"/>
                    <w:keepLines w:val="0"/>
                    <w:pageBreakBefore w:val="0"/>
                    <w:widowControl/>
                    <w:suppressLineNumbers w:val="0"/>
                    <w:kinsoku/>
                    <w:wordWrap/>
                    <w:overflowPunct/>
                    <w:topLinePunct w:val="0"/>
                    <w:autoSpaceDE/>
                    <w:autoSpaceDN/>
                    <w:bidi w:val="0"/>
                    <w:snapToGrid w:val="0"/>
                    <w:spacing w:before="0" w:beforeAutospacing="0" w:after="0" w:afterAutospacing="0"/>
                    <w:ind w:left="0" w:right="0"/>
                    <w:jc w:val="both"/>
                    <w:textAlignment w:val="auto"/>
                    <w:rPr>
                      <w:rFonts w:hint="default"/>
                      <w:color w:val="auto"/>
                      <w:kern w:val="0"/>
                      <w:szCs w:val="21"/>
                    </w:rPr>
                  </w:pPr>
                  <w:r>
                    <w:rPr>
                      <w:rFonts w:hint="default"/>
                      <w:color w:val="auto"/>
                      <w:kern w:val="0"/>
                      <w:szCs w:val="21"/>
                    </w:rPr>
                    <w:t>三、强化生态环境保护措施</w:t>
                  </w:r>
                </w:p>
              </w:tc>
              <w:tc>
                <w:tcPr>
                  <w:tcW w:w="1901" w:type="pct"/>
                  <w:noWrap w:val="0"/>
                  <w:vAlign w:val="center"/>
                </w:tcPr>
                <w:p w14:paraId="24C29E40">
                  <w:pPr>
                    <w:keepNext w:val="0"/>
                    <w:keepLines w:val="0"/>
                    <w:pageBreakBefore w:val="0"/>
                    <w:widowControl/>
                    <w:suppressLineNumbers w:val="0"/>
                    <w:kinsoku/>
                    <w:wordWrap/>
                    <w:overflowPunct/>
                    <w:topLinePunct w:val="0"/>
                    <w:autoSpaceDE/>
                    <w:autoSpaceDN/>
                    <w:bidi w:val="0"/>
                    <w:snapToGrid w:val="0"/>
                    <w:spacing w:before="0" w:beforeAutospacing="0" w:after="0" w:afterAutospacing="0"/>
                    <w:ind w:left="0" w:right="0"/>
                    <w:jc w:val="both"/>
                    <w:textAlignment w:val="auto"/>
                    <w:rPr>
                      <w:rFonts w:hint="default"/>
                      <w:color w:val="auto"/>
                      <w:sz w:val="24"/>
                    </w:rPr>
                  </w:pPr>
                  <w:r>
                    <w:rPr>
                      <w:rFonts w:hint="default"/>
                      <w:color w:val="auto"/>
                      <w:szCs w:val="21"/>
                    </w:rPr>
                    <w:t>施工期应当尽量减少施工占地、缩短施工时间、选择合理施工方式、落实环境敏感区管控要求以及其他生态环境保护措施，降低生态环境影响。钻井和压裂设备应当优先使用网电、高标准清洁燃油，减少废气排放。选用低噪声设备，避免噪声扰民。施工结束后，</w:t>
                  </w:r>
                  <w:r>
                    <w:rPr>
                      <w:rFonts w:hint="default"/>
                      <w:color w:val="auto"/>
                      <w:kern w:val="0"/>
                      <w:szCs w:val="21"/>
                    </w:rPr>
                    <w:t>应当及时落实环评提出的生态保护措施</w:t>
                  </w:r>
                  <w:r>
                    <w:rPr>
                      <w:rFonts w:hint="default"/>
                      <w:color w:val="auto"/>
                      <w:szCs w:val="21"/>
                    </w:rPr>
                    <w:t>。</w:t>
                  </w:r>
                </w:p>
              </w:tc>
              <w:tc>
                <w:tcPr>
                  <w:tcW w:w="2076" w:type="pct"/>
                  <w:noWrap w:val="0"/>
                  <w:vAlign w:val="center"/>
                </w:tcPr>
                <w:p w14:paraId="652BBE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color w:val="auto"/>
                      <w:sz w:val="24"/>
                    </w:rPr>
                  </w:pPr>
                  <w:r>
                    <w:rPr>
                      <w:rFonts w:hint="eastAsia"/>
                      <w:color w:val="auto"/>
                      <w:kern w:val="0"/>
                      <w:szCs w:val="21"/>
                    </w:rPr>
                    <w:t>①</w:t>
                  </w:r>
                  <w:r>
                    <w:rPr>
                      <w:rFonts w:hint="default"/>
                      <w:color w:val="auto"/>
                      <w:kern w:val="0"/>
                      <w:szCs w:val="21"/>
                    </w:rPr>
                    <w:t>施工期设备合理紧凑布置，减少占地面积</w:t>
                  </w:r>
                  <w:r>
                    <w:rPr>
                      <w:rFonts w:hint="eastAsia"/>
                      <w:color w:val="auto"/>
                      <w:kern w:val="0"/>
                      <w:szCs w:val="21"/>
                    </w:rPr>
                    <w:t>；</w:t>
                  </w:r>
                  <w:r>
                    <w:rPr>
                      <w:rFonts w:hint="default"/>
                      <w:color w:val="auto"/>
                      <w:kern w:val="0"/>
                      <w:szCs w:val="21"/>
                    </w:rPr>
                    <w:t>采取</w:t>
                  </w:r>
                  <w:r>
                    <w:rPr>
                      <w:rFonts w:hint="eastAsia"/>
                      <w:color w:val="auto"/>
                      <w:kern w:val="0"/>
                      <w:szCs w:val="21"/>
                    </w:rPr>
                    <w:t>24</w:t>
                  </w:r>
                  <w:r>
                    <w:rPr>
                      <w:rFonts w:hint="default"/>
                      <w:color w:val="auto"/>
                      <w:kern w:val="0"/>
                      <w:szCs w:val="21"/>
                    </w:rPr>
                    <w:t>h连续作业方式缩短施工时间</w:t>
                  </w:r>
                  <w:r>
                    <w:rPr>
                      <w:rFonts w:hint="eastAsia"/>
                      <w:color w:val="auto"/>
                      <w:kern w:val="0"/>
                      <w:szCs w:val="21"/>
                    </w:rPr>
                    <w:t>；施工过程中采用泥浆不落地循环工艺技术</w:t>
                  </w:r>
                  <w:r>
                    <w:rPr>
                      <w:rFonts w:hint="default"/>
                      <w:color w:val="auto"/>
                      <w:kern w:val="0"/>
                      <w:szCs w:val="21"/>
                    </w:rPr>
                    <w:t>，钻井液循环使用，固废合理处置</w:t>
                  </w:r>
                  <w:r>
                    <w:rPr>
                      <w:rFonts w:hint="eastAsia"/>
                      <w:color w:val="auto"/>
                      <w:kern w:val="0"/>
                      <w:szCs w:val="21"/>
                    </w:rPr>
                    <w:t>；</w:t>
                  </w:r>
                  <w:r>
                    <w:rPr>
                      <w:rFonts w:hint="default"/>
                      <w:color w:val="auto"/>
                      <w:kern w:val="0"/>
                      <w:szCs w:val="21"/>
                    </w:rPr>
                    <w:fldChar w:fldCharType="begin"/>
                  </w:r>
                  <w:r>
                    <w:rPr>
                      <w:rFonts w:hint="default"/>
                      <w:color w:val="auto"/>
                      <w:kern w:val="0"/>
                      <w:szCs w:val="21"/>
                    </w:rPr>
                    <w:instrText xml:space="preserve"> </w:instrText>
                  </w:r>
                  <w:r>
                    <w:rPr>
                      <w:rFonts w:hint="eastAsia"/>
                      <w:color w:val="auto"/>
                      <w:kern w:val="0"/>
                      <w:szCs w:val="21"/>
                    </w:rPr>
                    <w:instrText xml:space="preserve">= 2 \* GB3</w:instrText>
                  </w:r>
                  <w:r>
                    <w:rPr>
                      <w:rFonts w:hint="default"/>
                      <w:color w:val="auto"/>
                      <w:kern w:val="0"/>
                      <w:szCs w:val="21"/>
                    </w:rPr>
                    <w:instrText xml:space="preserve"> </w:instrText>
                  </w:r>
                  <w:r>
                    <w:rPr>
                      <w:rFonts w:hint="default"/>
                      <w:color w:val="auto"/>
                      <w:kern w:val="0"/>
                      <w:szCs w:val="21"/>
                    </w:rPr>
                    <w:fldChar w:fldCharType="separate"/>
                  </w:r>
                  <w:r>
                    <w:rPr>
                      <w:rFonts w:hint="eastAsia"/>
                      <w:color w:val="auto"/>
                      <w:kern w:val="0"/>
                      <w:szCs w:val="21"/>
                    </w:rPr>
                    <w:t>②</w:t>
                  </w:r>
                  <w:r>
                    <w:rPr>
                      <w:rFonts w:hint="default"/>
                      <w:color w:val="auto"/>
                      <w:kern w:val="0"/>
                      <w:szCs w:val="21"/>
                    </w:rPr>
                    <w:fldChar w:fldCharType="end"/>
                  </w:r>
                  <w:r>
                    <w:rPr>
                      <w:rFonts w:hint="default"/>
                      <w:color w:val="auto"/>
                      <w:kern w:val="0"/>
                      <w:szCs w:val="21"/>
                    </w:rPr>
                    <w:t>柴油发电机以高标准清洁燃油为能源</w:t>
                  </w:r>
                  <w:r>
                    <w:rPr>
                      <w:rFonts w:hint="eastAsia"/>
                      <w:color w:val="auto"/>
                      <w:kern w:val="0"/>
                      <w:szCs w:val="21"/>
                    </w:rPr>
                    <w:t>，</w:t>
                  </w:r>
                  <w:r>
                    <w:rPr>
                      <w:rFonts w:hint="default"/>
                      <w:color w:val="auto"/>
                      <w:kern w:val="0"/>
                      <w:szCs w:val="21"/>
                    </w:rPr>
                    <w:t>减少废气排放。</w:t>
                  </w:r>
                  <w:r>
                    <w:rPr>
                      <w:rFonts w:hint="default"/>
                      <w:color w:val="auto"/>
                      <w:kern w:val="0"/>
                      <w:szCs w:val="21"/>
                    </w:rPr>
                    <w:fldChar w:fldCharType="begin"/>
                  </w:r>
                  <w:r>
                    <w:rPr>
                      <w:rFonts w:hint="default"/>
                      <w:color w:val="auto"/>
                      <w:kern w:val="0"/>
                      <w:szCs w:val="21"/>
                    </w:rPr>
                    <w:instrText xml:space="preserve"> </w:instrText>
                  </w:r>
                  <w:r>
                    <w:rPr>
                      <w:rFonts w:hint="eastAsia"/>
                      <w:color w:val="auto"/>
                      <w:kern w:val="0"/>
                      <w:szCs w:val="21"/>
                    </w:rPr>
                    <w:instrText xml:space="preserve">= 3 \* GB3</w:instrText>
                  </w:r>
                  <w:r>
                    <w:rPr>
                      <w:rFonts w:hint="default"/>
                      <w:color w:val="auto"/>
                      <w:kern w:val="0"/>
                      <w:szCs w:val="21"/>
                    </w:rPr>
                    <w:instrText xml:space="preserve"> </w:instrText>
                  </w:r>
                  <w:r>
                    <w:rPr>
                      <w:rFonts w:hint="default"/>
                      <w:color w:val="auto"/>
                      <w:kern w:val="0"/>
                      <w:szCs w:val="21"/>
                    </w:rPr>
                    <w:fldChar w:fldCharType="separate"/>
                  </w:r>
                  <w:r>
                    <w:rPr>
                      <w:rFonts w:hint="eastAsia"/>
                      <w:color w:val="auto"/>
                      <w:kern w:val="0"/>
                      <w:szCs w:val="21"/>
                    </w:rPr>
                    <w:t>③</w:t>
                  </w:r>
                  <w:r>
                    <w:rPr>
                      <w:rFonts w:hint="default"/>
                      <w:color w:val="auto"/>
                      <w:kern w:val="0"/>
                      <w:szCs w:val="21"/>
                    </w:rPr>
                    <w:fldChar w:fldCharType="end"/>
                  </w:r>
                  <w:r>
                    <w:rPr>
                      <w:rFonts w:hint="default"/>
                      <w:color w:val="auto"/>
                      <w:kern w:val="0"/>
                      <w:szCs w:val="21"/>
                    </w:rPr>
                    <w:t>设备均选用低噪设备，将</w:t>
                  </w:r>
                  <w:r>
                    <w:rPr>
                      <w:rFonts w:hint="eastAsia"/>
                      <w:color w:val="auto"/>
                      <w:kern w:val="0"/>
                      <w:szCs w:val="21"/>
                    </w:rPr>
                    <w:t>高</w:t>
                  </w:r>
                  <w:r>
                    <w:rPr>
                      <w:rFonts w:hint="default"/>
                      <w:color w:val="auto"/>
                      <w:kern w:val="0"/>
                      <w:szCs w:val="21"/>
                    </w:rPr>
                    <w:t>噪设备布置在离居民点较远位置，并加强日常维修保养，避免噪声扰民。</w:t>
                  </w:r>
                  <w:r>
                    <w:rPr>
                      <w:rFonts w:hint="default"/>
                      <w:color w:val="auto"/>
                      <w:kern w:val="0"/>
                      <w:szCs w:val="21"/>
                    </w:rPr>
                    <w:fldChar w:fldCharType="begin"/>
                  </w:r>
                  <w:r>
                    <w:rPr>
                      <w:rFonts w:hint="default"/>
                      <w:color w:val="auto"/>
                      <w:kern w:val="0"/>
                      <w:szCs w:val="21"/>
                    </w:rPr>
                    <w:instrText xml:space="preserve"> </w:instrText>
                  </w:r>
                  <w:r>
                    <w:rPr>
                      <w:rFonts w:hint="eastAsia"/>
                      <w:color w:val="auto"/>
                      <w:kern w:val="0"/>
                      <w:szCs w:val="21"/>
                    </w:rPr>
                    <w:instrText xml:space="preserve">= 3 \* GB3</w:instrText>
                  </w:r>
                  <w:r>
                    <w:rPr>
                      <w:rFonts w:hint="default"/>
                      <w:color w:val="auto"/>
                      <w:kern w:val="0"/>
                      <w:szCs w:val="21"/>
                    </w:rPr>
                    <w:instrText xml:space="preserve"> </w:instrText>
                  </w:r>
                  <w:r>
                    <w:rPr>
                      <w:rFonts w:hint="default"/>
                      <w:color w:val="auto"/>
                      <w:kern w:val="0"/>
                      <w:szCs w:val="21"/>
                    </w:rPr>
                    <w:fldChar w:fldCharType="separate"/>
                  </w:r>
                  <w:r>
                    <w:rPr>
                      <w:rFonts w:hint="eastAsia"/>
                      <w:color w:val="auto"/>
                      <w:kern w:val="0"/>
                      <w:szCs w:val="21"/>
                    </w:rPr>
                    <w:t>③</w:t>
                  </w:r>
                  <w:r>
                    <w:rPr>
                      <w:rFonts w:hint="default"/>
                      <w:color w:val="auto"/>
                      <w:kern w:val="0"/>
                      <w:szCs w:val="21"/>
                    </w:rPr>
                    <w:fldChar w:fldCharType="end"/>
                  </w:r>
                  <w:r>
                    <w:rPr>
                      <w:rFonts w:hint="default"/>
                      <w:color w:val="auto"/>
                      <w:kern w:val="0"/>
                      <w:szCs w:val="21"/>
                    </w:rPr>
                    <w:t>占地前对耕作层进行表土剥离，后期进行地表清理</w:t>
                  </w:r>
                  <w:r>
                    <w:rPr>
                      <w:rFonts w:hint="eastAsia"/>
                      <w:color w:val="auto"/>
                      <w:kern w:val="0"/>
                      <w:szCs w:val="21"/>
                    </w:rPr>
                    <w:t>、</w:t>
                  </w:r>
                  <w:r>
                    <w:rPr>
                      <w:rFonts w:hint="default"/>
                      <w:color w:val="auto"/>
                      <w:kern w:val="0"/>
                      <w:szCs w:val="21"/>
                    </w:rPr>
                    <w:t>表土回覆、施肥、翻耕等措施对农田及时复垦。</w:t>
                  </w:r>
                </w:p>
              </w:tc>
              <w:tc>
                <w:tcPr>
                  <w:tcW w:w="338" w:type="pct"/>
                  <w:noWrap w:val="0"/>
                  <w:tcMar>
                    <w:left w:w="0" w:type="dxa"/>
                    <w:right w:w="0" w:type="dxa"/>
                  </w:tcMar>
                  <w:vAlign w:val="center"/>
                </w:tcPr>
                <w:p w14:paraId="1DD7D6A5">
                  <w:pPr>
                    <w:keepNext w:val="0"/>
                    <w:keepLines w:val="0"/>
                    <w:pageBreakBefore w:val="0"/>
                    <w:widowControl/>
                    <w:suppressLineNumbers w:val="0"/>
                    <w:kinsoku/>
                    <w:wordWrap/>
                    <w:overflowPunct/>
                    <w:topLinePunct w:val="0"/>
                    <w:autoSpaceDE/>
                    <w:autoSpaceDN/>
                    <w:bidi w:val="0"/>
                    <w:snapToGrid w:val="0"/>
                    <w:spacing w:before="0" w:beforeAutospacing="0" w:after="0" w:afterAutospacing="0"/>
                    <w:ind w:left="0" w:right="0"/>
                    <w:jc w:val="both"/>
                    <w:textAlignment w:val="auto"/>
                    <w:rPr>
                      <w:rFonts w:hint="default"/>
                      <w:color w:val="auto"/>
                      <w:kern w:val="0"/>
                      <w:szCs w:val="21"/>
                    </w:rPr>
                  </w:pPr>
                  <w:r>
                    <w:rPr>
                      <w:rFonts w:hint="default"/>
                      <w:color w:val="auto"/>
                      <w:kern w:val="0"/>
                      <w:szCs w:val="21"/>
                    </w:rPr>
                    <w:t>符合</w:t>
                  </w:r>
                </w:p>
              </w:tc>
            </w:tr>
            <w:tr w14:paraId="141B3AC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683" w:type="pct"/>
                  <w:vMerge w:val="continue"/>
                  <w:noWrap w:val="0"/>
                  <w:vAlign w:val="center"/>
                </w:tcPr>
                <w:p w14:paraId="17317545">
                  <w:pPr>
                    <w:keepNext w:val="0"/>
                    <w:keepLines w:val="0"/>
                    <w:pageBreakBefore w:val="0"/>
                    <w:widowControl/>
                    <w:suppressLineNumbers w:val="0"/>
                    <w:kinsoku/>
                    <w:wordWrap/>
                    <w:overflowPunct/>
                    <w:topLinePunct w:val="0"/>
                    <w:autoSpaceDE/>
                    <w:autoSpaceDN/>
                    <w:bidi w:val="0"/>
                    <w:snapToGrid w:val="0"/>
                    <w:spacing w:before="0" w:beforeAutospacing="0" w:after="0" w:afterAutospacing="0"/>
                    <w:ind w:left="0" w:right="0"/>
                    <w:jc w:val="both"/>
                    <w:textAlignment w:val="auto"/>
                    <w:rPr>
                      <w:rFonts w:hint="default"/>
                      <w:color w:val="auto"/>
                      <w:kern w:val="0"/>
                      <w:szCs w:val="21"/>
                    </w:rPr>
                  </w:pPr>
                </w:p>
              </w:tc>
              <w:tc>
                <w:tcPr>
                  <w:tcW w:w="1901" w:type="pct"/>
                  <w:noWrap w:val="0"/>
                  <w:vAlign w:val="center"/>
                </w:tcPr>
                <w:p w14:paraId="75F3CE13">
                  <w:pPr>
                    <w:keepNext w:val="0"/>
                    <w:keepLines w:val="0"/>
                    <w:pageBreakBefore w:val="0"/>
                    <w:widowControl/>
                    <w:suppressLineNumbers w:val="0"/>
                    <w:kinsoku/>
                    <w:wordWrap/>
                    <w:overflowPunct/>
                    <w:topLinePunct w:val="0"/>
                    <w:autoSpaceDE/>
                    <w:autoSpaceDN/>
                    <w:bidi w:val="0"/>
                    <w:snapToGrid w:val="0"/>
                    <w:spacing w:before="0" w:beforeAutospacing="0" w:after="0" w:afterAutospacing="0"/>
                    <w:ind w:left="0" w:right="0"/>
                    <w:jc w:val="both"/>
                    <w:textAlignment w:val="auto"/>
                    <w:rPr>
                      <w:rFonts w:hint="default"/>
                      <w:color w:val="auto"/>
                      <w:szCs w:val="21"/>
                    </w:rPr>
                  </w:pPr>
                  <w:r>
                    <w:rPr>
                      <w:rFonts w:hint="default"/>
                      <w:color w:val="auto"/>
                      <w:kern w:val="0"/>
                      <w:szCs w:val="21"/>
                    </w:rPr>
                    <w:t>油气开采产生的废弃油基泥浆、含油钻屑及其他固体废物，应当遵循减量化、资源化、无害化原则，按照国家和地方有关固体废物的管理规定进行处置。</w:t>
                  </w:r>
                </w:p>
              </w:tc>
              <w:tc>
                <w:tcPr>
                  <w:tcW w:w="2076" w:type="pct"/>
                  <w:noWrap w:val="0"/>
                  <w:vAlign w:val="center"/>
                </w:tcPr>
                <w:p w14:paraId="683274E1">
                  <w:pPr>
                    <w:keepNext w:val="0"/>
                    <w:keepLines w:val="0"/>
                    <w:pageBreakBefore w:val="0"/>
                    <w:widowControl/>
                    <w:suppressLineNumbers w:val="0"/>
                    <w:kinsoku/>
                    <w:wordWrap/>
                    <w:overflowPunct/>
                    <w:topLinePunct w:val="0"/>
                    <w:autoSpaceDE/>
                    <w:autoSpaceDN/>
                    <w:bidi w:val="0"/>
                    <w:snapToGrid w:val="0"/>
                    <w:spacing w:before="0" w:beforeAutospacing="0" w:after="0" w:afterAutospacing="0"/>
                    <w:ind w:left="0" w:right="0"/>
                    <w:jc w:val="both"/>
                    <w:textAlignment w:val="auto"/>
                    <w:rPr>
                      <w:rFonts w:hint="eastAsia" w:eastAsia="宋体"/>
                      <w:color w:val="auto"/>
                      <w:kern w:val="0"/>
                      <w:szCs w:val="21"/>
                      <w:lang w:eastAsia="zh-CN"/>
                    </w:rPr>
                  </w:pPr>
                  <w:r>
                    <w:rPr>
                      <w:rFonts w:hint="eastAsia"/>
                      <w:color w:val="auto"/>
                      <w:kern w:val="0"/>
                      <w:szCs w:val="21"/>
                      <w:lang w:eastAsia="zh-CN"/>
                    </w:rPr>
                    <w:t>本工程</w:t>
                  </w:r>
                  <w:r>
                    <w:rPr>
                      <w:rFonts w:hint="eastAsia"/>
                      <w:color w:val="auto"/>
                      <w:kern w:val="0"/>
                      <w:szCs w:val="21"/>
                    </w:rPr>
                    <w:t>使用水基泥浆，无废弃油基泥浆产生。</w:t>
                  </w:r>
                  <w:r>
                    <w:rPr>
                      <w:rFonts w:hint="eastAsia"/>
                      <w:color w:val="auto"/>
                      <w:kern w:val="0"/>
                      <w:szCs w:val="21"/>
                      <w:lang w:eastAsia="zh-CN"/>
                    </w:rPr>
                    <w:t>本项目产生的废弃泥浆、岩屑经“钻井泥浆不落地工艺”处理后，废液由罐车拉运至吉兰泰联合站采出水处理系统处理后回注采油层，固相钻井泥浆、钻井岩屑，拉运至内蒙古联源热电有限公司固废处置场。</w:t>
                  </w:r>
                  <w:r>
                    <w:rPr>
                      <w:rFonts w:hint="eastAsia"/>
                      <w:color w:val="auto"/>
                      <w:kern w:val="0"/>
                      <w:szCs w:val="21"/>
                      <w:lang w:val="en-US" w:eastAsia="zh-CN"/>
                    </w:rPr>
                    <w:t xml:space="preserve">                                                                                                                                                                                                                                                                                                                                                                                                                                                                                                                                                                                                                                                                                                                                                                                                                                                                                                                                                                                                                                                                                                                       </w:t>
                  </w:r>
                </w:p>
              </w:tc>
              <w:tc>
                <w:tcPr>
                  <w:tcW w:w="338" w:type="pct"/>
                  <w:noWrap w:val="0"/>
                  <w:tcMar>
                    <w:left w:w="0" w:type="dxa"/>
                    <w:right w:w="0" w:type="dxa"/>
                  </w:tcMar>
                  <w:vAlign w:val="center"/>
                </w:tcPr>
                <w:p w14:paraId="0995592A">
                  <w:pPr>
                    <w:keepNext w:val="0"/>
                    <w:keepLines w:val="0"/>
                    <w:pageBreakBefore w:val="0"/>
                    <w:widowControl/>
                    <w:suppressLineNumbers w:val="0"/>
                    <w:kinsoku/>
                    <w:wordWrap/>
                    <w:overflowPunct/>
                    <w:topLinePunct w:val="0"/>
                    <w:autoSpaceDE/>
                    <w:autoSpaceDN/>
                    <w:bidi w:val="0"/>
                    <w:snapToGrid w:val="0"/>
                    <w:spacing w:before="0" w:beforeAutospacing="0" w:after="0" w:afterAutospacing="0"/>
                    <w:ind w:left="0" w:right="0"/>
                    <w:jc w:val="both"/>
                    <w:textAlignment w:val="auto"/>
                    <w:rPr>
                      <w:rFonts w:hint="default"/>
                      <w:color w:val="auto"/>
                      <w:kern w:val="0"/>
                      <w:szCs w:val="21"/>
                    </w:rPr>
                  </w:pPr>
                  <w:r>
                    <w:rPr>
                      <w:rFonts w:hint="default"/>
                      <w:color w:val="auto"/>
                      <w:kern w:val="0"/>
                      <w:szCs w:val="21"/>
                    </w:rPr>
                    <w:t>符合</w:t>
                  </w:r>
                </w:p>
              </w:tc>
            </w:tr>
            <w:tr w14:paraId="7CF16F0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925" w:hRule="atLeast"/>
                <w:jc w:val="center"/>
              </w:trPr>
              <w:tc>
                <w:tcPr>
                  <w:tcW w:w="683" w:type="pct"/>
                  <w:noWrap w:val="0"/>
                  <w:vAlign w:val="center"/>
                </w:tcPr>
                <w:p w14:paraId="637483DD">
                  <w:pPr>
                    <w:keepNext w:val="0"/>
                    <w:keepLines w:val="0"/>
                    <w:pageBreakBefore w:val="0"/>
                    <w:widowControl/>
                    <w:suppressLineNumbers w:val="0"/>
                    <w:kinsoku/>
                    <w:wordWrap/>
                    <w:overflowPunct/>
                    <w:topLinePunct w:val="0"/>
                    <w:autoSpaceDE/>
                    <w:autoSpaceDN/>
                    <w:bidi w:val="0"/>
                    <w:snapToGrid w:val="0"/>
                    <w:spacing w:before="0" w:beforeAutospacing="0" w:after="0" w:afterAutospacing="0"/>
                    <w:ind w:left="0" w:right="0"/>
                    <w:jc w:val="both"/>
                    <w:textAlignment w:val="auto"/>
                    <w:rPr>
                      <w:rFonts w:hint="default"/>
                      <w:color w:val="auto"/>
                      <w:kern w:val="0"/>
                      <w:szCs w:val="21"/>
                    </w:rPr>
                  </w:pPr>
                  <w:r>
                    <w:rPr>
                      <w:rFonts w:hint="default"/>
                      <w:color w:val="auto"/>
                      <w:kern w:val="0"/>
                      <w:szCs w:val="21"/>
                    </w:rPr>
                    <w:t>四、加强事中事后监管</w:t>
                  </w:r>
                </w:p>
              </w:tc>
              <w:tc>
                <w:tcPr>
                  <w:tcW w:w="1901" w:type="pct"/>
                  <w:noWrap w:val="0"/>
                  <w:tcMar>
                    <w:left w:w="0" w:type="dxa"/>
                    <w:right w:w="0" w:type="dxa"/>
                  </w:tcMar>
                  <w:vAlign w:val="center"/>
                </w:tcPr>
                <w:p w14:paraId="232BFB30">
                  <w:pPr>
                    <w:keepNext w:val="0"/>
                    <w:keepLines w:val="0"/>
                    <w:pageBreakBefore w:val="0"/>
                    <w:suppressLineNumbers w:val="0"/>
                    <w:kinsoku/>
                    <w:wordWrap/>
                    <w:overflowPunct/>
                    <w:topLinePunct w:val="0"/>
                    <w:autoSpaceDE/>
                    <w:autoSpaceDN/>
                    <w:bidi w:val="0"/>
                    <w:snapToGrid w:val="0"/>
                    <w:spacing w:before="0" w:beforeAutospacing="0" w:after="0" w:afterAutospacing="0"/>
                    <w:ind w:left="0" w:right="0"/>
                    <w:jc w:val="both"/>
                    <w:textAlignment w:val="auto"/>
                    <w:rPr>
                      <w:rFonts w:hint="default"/>
                      <w:color w:val="auto"/>
                      <w:kern w:val="0"/>
                      <w:szCs w:val="21"/>
                      <w:highlight w:val="none"/>
                    </w:rPr>
                  </w:pPr>
                  <w:r>
                    <w:rPr>
                      <w:rFonts w:hint="default"/>
                      <w:color w:val="auto"/>
                      <w:kern w:val="0"/>
                      <w:szCs w:val="21"/>
                      <w:highlight w:val="none"/>
                    </w:rPr>
                    <w:t>工程设施退役，建设单位或生产经营单位应当按照相关要求，采取有效生态环境保护措施。同时，按照《中华人民共和国土壤污染防治法》《土壤环境质量建设用地土壤污染风险管控标准（试行）》（GB 36600</w:t>
                  </w:r>
                  <w:r>
                    <w:rPr>
                      <w:rFonts w:hint="eastAsia"/>
                      <w:color w:val="auto"/>
                      <w:kern w:val="0"/>
                      <w:szCs w:val="21"/>
                      <w:highlight w:val="none"/>
                    </w:rPr>
                    <w:t>-2018</w:t>
                  </w:r>
                  <w:r>
                    <w:rPr>
                      <w:rFonts w:hint="default"/>
                      <w:color w:val="auto"/>
                      <w:kern w:val="0"/>
                      <w:szCs w:val="21"/>
                      <w:highlight w:val="none"/>
                    </w:rPr>
                    <w:t>）的要求，对永久停用、拆除或弃置的各类井设、管道等工程施</w:t>
                  </w:r>
                  <w:r>
                    <w:rPr>
                      <w:rFonts w:hint="eastAsia"/>
                      <w:color w:val="auto"/>
                      <w:kern w:val="0"/>
                      <w:szCs w:val="21"/>
                      <w:highlight w:val="none"/>
                      <w:lang w:eastAsia="zh-CN"/>
                    </w:rPr>
                    <w:t>实施</w:t>
                  </w:r>
                  <w:r>
                    <w:rPr>
                      <w:rFonts w:hint="default"/>
                      <w:color w:val="auto"/>
                      <w:kern w:val="0"/>
                      <w:szCs w:val="21"/>
                      <w:highlight w:val="none"/>
                    </w:rPr>
                    <w:t>封堵、土壤及地下水修复、生态修复等措施。</w:t>
                  </w:r>
                </w:p>
              </w:tc>
              <w:tc>
                <w:tcPr>
                  <w:tcW w:w="2076" w:type="pct"/>
                  <w:noWrap w:val="0"/>
                  <w:vAlign w:val="center"/>
                </w:tcPr>
                <w:p w14:paraId="285E7E21">
                  <w:pPr>
                    <w:keepNext w:val="0"/>
                    <w:keepLines w:val="0"/>
                    <w:pageBreakBefore w:val="0"/>
                    <w:widowControl/>
                    <w:suppressLineNumbers w:val="0"/>
                    <w:kinsoku/>
                    <w:wordWrap/>
                    <w:overflowPunct/>
                    <w:topLinePunct w:val="0"/>
                    <w:autoSpaceDE/>
                    <w:autoSpaceDN/>
                    <w:bidi w:val="0"/>
                    <w:snapToGrid w:val="0"/>
                    <w:spacing w:before="0" w:beforeAutospacing="0" w:after="0" w:afterAutospacing="0"/>
                    <w:ind w:left="0" w:right="0"/>
                    <w:jc w:val="both"/>
                    <w:textAlignment w:val="auto"/>
                    <w:rPr>
                      <w:rFonts w:hint="default"/>
                      <w:color w:val="auto"/>
                      <w:kern w:val="0"/>
                      <w:szCs w:val="21"/>
                      <w:highlight w:val="none"/>
                    </w:rPr>
                  </w:pPr>
                  <w:r>
                    <w:rPr>
                      <w:rFonts w:hint="default"/>
                      <w:color w:val="auto"/>
                      <w:kern w:val="0"/>
                      <w:szCs w:val="21"/>
                      <w:highlight w:val="none"/>
                    </w:rPr>
                    <w:t>项目占地前对</w:t>
                  </w:r>
                  <w:r>
                    <w:rPr>
                      <w:rFonts w:hint="eastAsia"/>
                      <w:color w:val="auto"/>
                      <w:kern w:val="0"/>
                      <w:szCs w:val="21"/>
                      <w:highlight w:val="none"/>
                      <w:lang w:eastAsia="zh-CN"/>
                    </w:rPr>
                    <w:t>表土</w:t>
                  </w:r>
                  <w:r>
                    <w:rPr>
                      <w:rFonts w:hint="default"/>
                      <w:color w:val="auto"/>
                      <w:kern w:val="0"/>
                      <w:szCs w:val="21"/>
                      <w:highlight w:val="none"/>
                    </w:rPr>
                    <w:t>层进行表土剥离，</w:t>
                  </w:r>
                  <w:r>
                    <w:rPr>
                      <w:rFonts w:hint="eastAsia"/>
                      <w:color w:val="auto"/>
                      <w:kern w:val="0"/>
                      <w:szCs w:val="21"/>
                      <w:highlight w:val="none"/>
                    </w:rPr>
                    <w:t>勘探</w:t>
                  </w:r>
                  <w:r>
                    <w:rPr>
                      <w:rFonts w:hint="default"/>
                      <w:color w:val="auto"/>
                      <w:kern w:val="0"/>
                      <w:szCs w:val="21"/>
                      <w:highlight w:val="none"/>
                    </w:rPr>
                    <w:t>结束后进行地表清理，表土回覆、施肥等措施</w:t>
                  </w:r>
                  <w:r>
                    <w:rPr>
                      <w:rFonts w:hint="eastAsia"/>
                      <w:color w:val="auto"/>
                      <w:kern w:val="0"/>
                      <w:szCs w:val="21"/>
                      <w:highlight w:val="none"/>
                      <w:lang w:eastAsia="zh-CN"/>
                    </w:rPr>
                    <w:t>。若无利用价值则永久封井，隔离各个油气层，最下部打水泥塞，打地表水泥塞，要求所有关键性层段之间隔离开，恢复地貌，</w:t>
                  </w:r>
                  <w:r>
                    <w:rPr>
                      <w:rFonts w:hint="default"/>
                      <w:color w:val="auto"/>
                      <w:kern w:val="0"/>
                      <w:szCs w:val="21"/>
                      <w:highlight w:val="none"/>
                    </w:rPr>
                    <w:t>使项目占地范围内的</w:t>
                  </w:r>
                  <w:r>
                    <w:rPr>
                      <w:rFonts w:hint="eastAsia"/>
                      <w:color w:val="auto"/>
                      <w:kern w:val="0"/>
                      <w:szCs w:val="21"/>
                      <w:highlight w:val="none"/>
                      <w:lang w:eastAsia="zh-CN"/>
                    </w:rPr>
                    <w:t>农田</w:t>
                  </w:r>
                  <w:r>
                    <w:rPr>
                      <w:rFonts w:hint="default"/>
                      <w:color w:val="auto"/>
                      <w:kern w:val="0"/>
                      <w:szCs w:val="21"/>
                      <w:highlight w:val="none"/>
                    </w:rPr>
                    <w:t>恢复到原有水平。</w:t>
                  </w:r>
                </w:p>
              </w:tc>
              <w:tc>
                <w:tcPr>
                  <w:tcW w:w="338" w:type="pct"/>
                  <w:noWrap w:val="0"/>
                  <w:tcMar>
                    <w:left w:w="0" w:type="dxa"/>
                    <w:right w:w="0" w:type="dxa"/>
                  </w:tcMar>
                  <w:vAlign w:val="center"/>
                </w:tcPr>
                <w:p w14:paraId="0C254485">
                  <w:pPr>
                    <w:keepNext w:val="0"/>
                    <w:keepLines w:val="0"/>
                    <w:pageBreakBefore w:val="0"/>
                    <w:widowControl/>
                    <w:suppressLineNumbers w:val="0"/>
                    <w:kinsoku/>
                    <w:wordWrap/>
                    <w:overflowPunct/>
                    <w:topLinePunct w:val="0"/>
                    <w:autoSpaceDE/>
                    <w:autoSpaceDN/>
                    <w:bidi w:val="0"/>
                    <w:snapToGrid w:val="0"/>
                    <w:spacing w:before="0" w:beforeAutospacing="0" w:after="0" w:afterAutospacing="0"/>
                    <w:ind w:left="0" w:right="0"/>
                    <w:jc w:val="both"/>
                    <w:textAlignment w:val="auto"/>
                    <w:rPr>
                      <w:rFonts w:hint="default"/>
                      <w:color w:val="auto"/>
                      <w:kern w:val="0"/>
                      <w:szCs w:val="21"/>
                    </w:rPr>
                  </w:pPr>
                  <w:r>
                    <w:rPr>
                      <w:rFonts w:hint="default"/>
                      <w:color w:val="auto"/>
                      <w:kern w:val="0"/>
                      <w:szCs w:val="21"/>
                    </w:rPr>
                    <w:t>符合</w:t>
                  </w:r>
                </w:p>
              </w:tc>
            </w:tr>
          </w:tbl>
          <w:p w14:paraId="15D793AE">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color w:val="auto"/>
                <w:kern w:val="0"/>
                <w:sz w:val="24"/>
                <w:lang w:val="en-US" w:eastAsia="zh-CN"/>
              </w:rPr>
              <w:t>4</w:t>
            </w:r>
            <w:r>
              <w:rPr>
                <w:rFonts w:hint="default"/>
                <w:color w:val="auto"/>
                <w:kern w:val="0"/>
                <w:sz w:val="24"/>
              </w:rPr>
              <w:t>、</w:t>
            </w:r>
            <w:r>
              <w:rPr>
                <w:rFonts w:hint="default"/>
                <w:color w:val="auto"/>
                <w:sz w:val="24"/>
              </w:rPr>
              <w:t>与</w:t>
            </w:r>
            <w:r>
              <w:rPr>
                <w:rFonts w:hint="eastAsia"/>
                <w:color w:val="auto"/>
                <w:sz w:val="24"/>
                <w:lang w:val="en-US" w:eastAsia="zh-CN"/>
              </w:rPr>
              <w:t>环境保护部</w:t>
            </w:r>
            <w:r>
              <w:rPr>
                <w:rFonts w:hint="eastAsia"/>
                <w:color w:val="auto"/>
                <w:sz w:val="24"/>
              </w:rPr>
              <w:t>公告2012年第18号</w:t>
            </w:r>
            <w:r>
              <w:rPr>
                <w:rFonts w:hint="default"/>
                <w:color w:val="auto"/>
                <w:sz w:val="24"/>
              </w:rPr>
              <w:t>《石油天然气开采业污染防治技术政策》符合性分析</w:t>
            </w:r>
            <w:r>
              <w:rPr>
                <w:rFonts w:hint="eastAsia"/>
                <w:color w:val="auto"/>
                <w:sz w:val="24"/>
              </w:rPr>
              <w:t>如下。</w:t>
            </w:r>
          </w:p>
          <w:p w14:paraId="74E703EF">
            <w:pPr>
              <w:keepNext w:val="0"/>
              <w:keepLines w:val="0"/>
              <w:suppressLineNumbers w:val="0"/>
              <w:spacing w:before="0" w:beforeAutospacing="0" w:after="0" w:afterAutospacing="0"/>
              <w:ind w:left="0" w:right="0"/>
              <w:jc w:val="center"/>
              <w:rPr>
                <w:rFonts w:hint="eastAsia"/>
                <w:b/>
                <w:color w:val="auto"/>
                <w:sz w:val="24"/>
                <w:szCs w:val="21"/>
              </w:rPr>
            </w:pPr>
            <w:r>
              <w:rPr>
                <w:rFonts w:hint="default"/>
                <w:b/>
                <w:color w:val="auto"/>
                <w:sz w:val="24"/>
                <w:szCs w:val="21"/>
              </w:rPr>
              <w:t>表1-3</w:t>
            </w:r>
            <w:r>
              <w:rPr>
                <w:rFonts w:hint="eastAsia"/>
                <w:b/>
                <w:color w:val="auto"/>
                <w:sz w:val="24"/>
                <w:szCs w:val="21"/>
              </w:rPr>
              <w:t xml:space="preserve"> </w:t>
            </w:r>
            <w:r>
              <w:rPr>
                <w:rFonts w:hint="eastAsia"/>
                <w:b/>
                <w:color w:val="auto"/>
                <w:sz w:val="24"/>
                <w:szCs w:val="21"/>
                <w:lang w:val="en-US" w:eastAsia="zh-CN"/>
              </w:rPr>
              <w:t>本工程</w:t>
            </w:r>
            <w:r>
              <w:rPr>
                <w:rFonts w:hint="eastAsia"/>
                <w:b/>
                <w:color w:val="auto"/>
                <w:sz w:val="24"/>
                <w:szCs w:val="21"/>
              </w:rPr>
              <w:t>与《石油天然气开采业污染防治技术政策》符合性分析</w:t>
            </w:r>
          </w:p>
          <w:tbl>
            <w:tblPr>
              <w:tblStyle w:val="30"/>
              <w:tblpPr w:leftFromText="180" w:rightFromText="180" w:vertAnchor="text" w:horzAnchor="page" w:tblpX="410" w:tblpY="304"/>
              <w:tblOverlap w:val="never"/>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633"/>
              <w:gridCol w:w="3532"/>
              <w:gridCol w:w="520"/>
            </w:tblGrid>
            <w:tr w14:paraId="4860063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9" w:hRule="atLeast"/>
              </w:trPr>
              <w:tc>
                <w:tcPr>
                  <w:tcW w:w="2363" w:type="pct"/>
                  <w:noWrap w:val="0"/>
                  <w:vAlign w:val="center"/>
                </w:tcPr>
                <w:p w14:paraId="2A644D05">
                  <w:pPr>
                    <w:keepNext w:val="0"/>
                    <w:keepLines w:val="0"/>
                    <w:suppressLineNumbers w:val="0"/>
                    <w:spacing w:before="0" w:beforeAutospacing="0" w:after="0" w:afterAutospacing="0"/>
                    <w:ind w:left="0" w:right="0"/>
                    <w:jc w:val="center"/>
                    <w:rPr>
                      <w:rFonts w:hint="default"/>
                      <w:bCs/>
                      <w:color w:val="auto"/>
                      <w:szCs w:val="21"/>
                    </w:rPr>
                  </w:pPr>
                  <w:r>
                    <w:rPr>
                      <w:rFonts w:hint="default"/>
                      <w:bCs/>
                      <w:color w:val="auto"/>
                      <w:szCs w:val="21"/>
                    </w:rPr>
                    <w:t>条件要求</w:t>
                  </w:r>
                </w:p>
              </w:tc>
              <w:tc>
                <w:tcPr>
                  <w:tcW w:w="2297" w:type="pct"/>
                  <w:noWrap w:val="0"/>
                  <w:vAlign w:val="center"/>
                </w:tcPr>
                <w:p w14:paraId="7427B9B1">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lang w:val="en-US" w:eastAsia="zh-CN"/>
                    </w:rPr>
                    <w:t xml:space="preserve"> 本工程拟采取的工艺及污染防治技术</w:t>
                  </w:r>
                </w:p>
              </w:tc>
              <w:tc>
                <w:tcPr>
                  <w:tcW w:w="338" w:type="pct"/>
                  <w:noWrap w:val="0"/>
                  <w:tcMar>
                    <w:left w:w="0" w:type="dxa"/>
                    <w:right w:w="0" w:type="dxa"/>
                  </w:tcMar>
                  <w:vAlign w:val="center"/>
                </w:tcPr>
                <w:p w14:paraId="62C7867B">
                  <w:pPr>
                    <w:keepNext w:val="0"/>
                    <w:keepLines w:val="0"/>
                    <w:suppressLineNumbers w:val="0"/>
                    <w:spacing w:before="0" w:beforeAutospacing="0" w:after="0" w:afterAutospacing="0"/>
                    <w:ind w:left="0" w:right="0"/>
                    <w:jc w:val="center"/>
                    <w:rPr>
                      <w:rFonts w:hint="default"/>
                      <w:bCs/>
                      <w:color w:val="auto"/>
                      <w:szCs w:val="21"/>
                    </w:rPr>
                  </w:pPr>
                  <w:r>
                    <w:rPr>
                      <w:rFonts w:hint="default"/>
                      <w:bCs/>
                      <w:color w:val="auto"/>
                      <w:szCs w:val="21"/>
                    </w:rPr>
                    <w:t>符合情况</w:t>
                  </w:r>
                </w:p>
              </w:tc>
            </w:tr>
            <w:tr w14:paraId="6C8A5A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363" w:type="pct"/>
                  <w:noWrap w:val="0"/>
                  <w:vAlign w:val="center"/>
                </w:tcPr>
                <w:p w14:paraId="2A69FA7C">
                  <w:pPr>
                    <w:keepNext w:val="0"/>
                    <w:keepLines w:val="0"/>
                    <w:suppressLineNumbers w:val="0"/>
                    <w:spacing w:before="0" w:beforeAutospacing="0" w:after="0" w:afterAutospacing="0"/>
                    <w:ind w:left="0" w:right="0"/>
                    <w:jc w:val="center"/>
                    <w:rPr>
                      <w:rFonts w:hint="default"/>
                      <w:bCs/>
                      <w:color w:val="auto"/>
                      <w:szCs w:val="21"/>
                    </w:rPr>
                  </w:pPr>
                  <w:r>
                    <w:rPr>
                      <w:rFonts w:hint="default"/>
                      <w:bCs/>
                      <w:color w:val="auto"/>
                      <w:szCs w:val="21"/>
                    </w:rPr>
                    <w:t>一</w:t>
                  </w:r>
                  <w:r>
                    <w:rPr>
                      <w:rFonts w:hint="eastAsia"/>
                      <w:bCs/>
                      <w:color w:val="auto"/>
                      <w:szCs w:val="21"/>
                    </w:rPr>
                    <w:t>、</w:t>
                  </w:r>
                  <w:r>
                    <w:rPr>
                      <w:rFonts w:hint="default"/>
                      <w:bCs/>
                      <w:color w:val="auto"/>
                      <w:szCs w:val="21"/>
                    </w:rPr>
                    <w:t>总则</w:t>
                  </w:r>
                </w:p>
              </w:tc>
              <w:tc>
                <w:tcPr>
                  <w:tcW w:w="2297" w:type="pct"/>
                  <w:noWrap w:val="0"/>
                  <w:vAlign w:val="center"/>
                </w:tcPr>
                <w:p w14:paraId="4718636C">
                  <w:pPr>
                    <w:keepNext w:val="0"/>
                    <w:keepLines w:val="0"/>
                    <w:suppressLineNumbers w:val="0"/>
                    <w:spacing w:before="0" w:beforeAutospacing="0" w:after="0" w:afterAutospacing="0"/>
                    <w:ind w:left="0" w:right="0"/>
                    <w:jc w:val="center"/>
                    <w:rPr>
                      <w:rFonts w:hint="default"/>
                      <w:bCs/>
                      <w:color w:val="auto"/>
                      <w:szCs w:val="21"/>
                    </w:rPr>
                  </w:pPr>
                </w:p>
              </w:tc>
              <w:tc>
                <w:tcPr>
                  <w:tcW w:w="338" w:type="pct"/>
                  <w:noWrap w:val="0"/>
                  <w:vAlign w:val="center"/>
                </w:tcPr>
                <w:p w14:paraId="0B8321F7">
                  <w:pPr>
                    <w:keepNext w:val="0"/>
                    <w:keepLines w:val="0"/>
                    <w:suppressLineNumbers w:val="0"/>
                    <w:spacing w:before="0" w:beforeAutospacing="0" w:after="0" w:afterAutospacing="0"/>
                    <w:ind w:left="0" w:right="0"/>
                    <w:jc w:val="center"/>
                    <w:rPr>
                      <w:rFonts w:hint="default"/>
                      <w:bCs/>
                      <w:color w:val="auto"/>
                      <w:szCs w:val="21"/>
                    </w:rPr>
                  </w:pPr>
                </w:p>
              </w:tc>
            </w:tr>
            <w:tr w14:paraId="5E9B5F2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44" w:hRule="atLeast"/>
              </w:trPr>
              <w:tc>
                <w:tcPr>
                  <w:tcW w:w="2363" w:type="pct"/>
                  <w:noWrap w:val="0"/>
                  <w:vAlign w:val="center"/>
                </w:tcPr>
                <w:p w14:paraId="7656E9AB">
                  <w:pPr>
                    <w:keepNext w:val="0"/>
                    <w:keepLines w:val="0"/>
                    <w:suppressLineNumbers w:val="0"/>
                    <w:spacing w:before="0" w:beforeAutospacing="0" w:after="0" w:afterAutospacing="0"/>
                    <w:ind w:left="0" w:right="0"/>
                    <w:jc w:val="left"/>
                    <w:rPr>
                      <w:rFonts w:hint="default"/>
                      <w:bCs/>
                      <w:color w:val="auto"/>
                      <w:szCs w:val="21"/>
                    </w:rPr>
                  </w:pPr>
                  <w:r>
                    <w:rPr>
                      <w:rFonts w:hint="default"/>
                      <w:bCs/>
                      <w:color w:val="auto"/>
                      <w:szCs w:val="21"/>
                    </w:rPr>
                    <w:t>（三）到2015年末，行业新、改、扩建项</w:t>
                  </w:r>
                  <w:r>
                    <w:rPr>
                      <w:rFonts w:hint="eastAsia"/>
                      <w:bCs/>
                      <w:color w:val="auto"/>
                      <w:szCs w:val="21"/>
                    </w:rPr>
                    <w:t>目</w:t>
                  </w:r>
                  <w:r>
                    <w:rPr>
                      <w:rFonts w:hint="default"/>
                      <w:bCs/>
                      <w:color w:val="auto"/>
                      <w:szCs w:val="21"/>
                    </w:rPr>
                    <w:t>均</w:t>
                  </w:r>
                  <w:r>
                    <w:rPr>
                      <w:rFonts w:hint="eastAsia"/>
                      <w:bCs/>
                      <w:color w:val="auto"/>
                      <w:szCs w:val="21"/>
                    </w:rPr>
                    <w:t>使</w:t>
                  </w:r>
                  <w:r>
                    <w:rPr>
                      <w:rFonts w:hint="default"/>
                      <w:bCs/>
                      <w:color w:val="auto"/>
                      <w:szCs w:val="21"/>
                    </w:rPr>
                    <w:t>用清洁生产工艺和技术，工业废水回用率达到90%以上，工业固体废物资源</w:t>
                  </w:r>
                  <w:r>
                    <w:rPr>
                      <w:rFonts w:hint="eastAsia"/>
                      <w:bCs/>
                      <w:color w:val="auto"/>
                      <w:szCs w:val="21"/>
                    </w:rPr>
                    <w:t>化</w:t>
                  </w:r>
                  <w:r>
                    <w:rPr>
                      <w:rFonts w:hint="default"/>
                      <w:bCs/>
                      <w:color w:val="auto"/>
                      <w:szCs w:val="21"/>
                    </w:rPr>
                    <w:t>及无害化处理处置率达到100%。要遏制重大、杜绝特别重大环境污染和生态破坏事故的发生。</w:t>
                  </w:r>
                </w:p>
              </w:tc>
              <w:tc>
                <w:tcPr>
                  <w:tcW w:w="2297" w:type="pct"/>
                  <w:noWrap w:val="0"/>
                  <w:vAlign w:val="center"/>
                </w:tcPr>
                <w:p w14:paraId="32A53B6E">
                  <w:pPr>
                    <w:keepNext w:val="0"/>
                    <w:keepLines w:val="0"/>
                    <w:suppressLineNumbers w:val="0"/>
                    <w:spacing w:before="0" w:beforeAutospacing="0" w:after="0" w:afterAutospacing="0"/>
                    <w:ind w:left="0" w:right="0"/>
                    <w:rPr>
                      <w:rFonts w:hint="eastAsia" w:eastAsia="宋体"/>
                      <w:bCs/>
                      <w:color w:val="auto"/>
                      <w:szCs w:val="21"/>
                      <w:lang w:eastAsia="zh-CN"/>
                    </w:rPr>
                  </w:pPr>
                  <w:r>
                    <w:rPr>
                      <w:rFonts w:hint="eastAsia"/>
                      <w:bCs/>
                      <w:color w:val="auto"/>
                      <w:szCs w:val="21"/>
                      <w:lang w:eastAsia="zh-CN"/>
                    </w:rPr>
                    <w:t>本工程使用了清洁生产工艺及技术，主要</w:t>
                  </w:r>
                  <w:r>
                    <w:rPr>
                      <w:rFonts w:hint="default"/>
                      <w:bCs/>
                      <w:color w:val="auto"/>
                      <w:szCs w:val="21"/>
                    </w:rPr>
                    <w:t>采用</w:t>
                  </w:r>
                  <w:r>
                    <w:rPr>
                      <w:rFonts w:hint="eastAsia"/>
                      <w:bCs/>
                      <w:color w:val="auto"/>
                      <w:szCs w:val="21"/>
                    </w:rPr>
                    <w:t>“</w:t>
                  </w:r>
                  <w:r>
                    <w:rPr>
                      <w:rFonts w:hint="default"/>
                      <w:bCs/>
                      <w:color w:val="auto"/>
                      <w:szCs w:val="21"/>
                    </w:rPr>
                    <w:t>泥浆不落地工艺技术</w:t>
                  </w:r>
                  <w:r>
                    <w:rPr>
                      <w:rFonts w:hint="eastAsia"/>
                      <w:bCs/>
                      <w:color w:val="auto"/>
                      <w:szCs w:val="21"/>
                    </w:rPr>
                    <w:t>”</w:t>
                  </w:r>
                  <w:r>
                    <w:rPr>
                      <w:rFonts w:hint="default"/>
                      <w:bCs/>
                      <w:color w:val="auto"/>
                      <w:szCs w:val="21"/>
                    </w:rPr>
                    <w:t>。该技术利用防渗泥浆罐代替原有泥浆池，属于目前国内先进技术，有效减少了工程开挖带来的环境风险。</w:t>
                  </w:r>
                  <w:r>
                    <w:rPr>
                      <w:rFonts w:hint="eastAsia"/>
                      <w:bCs/>
                      <w:color w:val="auto"/>
                      <w:szCs w:val="21"/>
                      <w:lang w:eastAsia="zh-CN"/>
                    </w:rPr>
                    <w:t>本工程的工业废水回用率达到了</w:t>
                  </w:r>
                  <w:r>
                    <w:rPr>
                      <w:rFonts w:hint="default" w:ascii="Times New Roman" w:hAnsi="Times New Roman" w:cs="Times New Roman"/>
                      <w:bCs/>
                      <w:color w:val="auto"/>
                      <w:szCs w:val="21"/>
                      <w:lang w:val="en-US" w:eastAsia="zh-CN"/>
                    </w:rPr>
                    <w:t>90％</w:t>
                  </w:r>
                  <w:r>
                    <w:rPr>
                      <w:rFonts w:hint="eastAsia"/>
                      <w:bCs/>
                      <w:color w:val="auto"/>
                      <w:szCs w:val="21"/>
                      <w:lang w:val="en-US" w:eastAsia="zh-CN"/>
                    </w:rPr>
                    <w:t>以上。</w:t>
                  </w:r>
                  <w:r>
                    <w:rPr>
                      <w:rFonts w:hint="default"/>
                      <w:bCs/>
                      <w:color w:val="auto"/>
                      <w:szCs w:val="21"/>
                    </w:rPr>
                    <w:t>钻井过程中采用水基钻井泥浆，钻井液循环使用，固体废物全部合理化处置，无害化处理处置率达到100%。</w:t>
                  </w:r>
                  <w:r>
                    <w:rPr>
                      <w:rFonts w:hint="eastAsia"/>
                      <w:bCs/>
                      <w:color w:val="auto"/>
                      <w:szCs w:val="21"/>
                      <w:lang w:eastAsia="zh-CN"/>
                    </w:rPr>
                    <w:t>会</w:t>
                  </w:r>
                  <w:r>
                    <w:rPr>
                      <w:rFonts w:hint="default"/>
                      <w:bCs/>
                      <w:color w:val="auto"/>
                      <w:szCs w:val="21"/>
                    </w:rPr>
                    <w:t>遏制重大、杜绝特别重大环境污染和生态破坏事故的发生</w:t>
                  </w:r>
                  <w:r>
                    <w:rPr>
                      <w:rFonts w:hint="eastAsia"/>
                      <w:bCs/>
                      <w:color w:val="auto"/>
                      <w:szCs w:val="21"/>
                      <w:lang w:eastAsia="zh-CN"/>
                    </w:rPr>
                    <w:t>。</w:t>
                  </w:r>
                </w:p>
              </w:tc>
              <w:tc>
                <w:tcPr>
                  <w:tcW w:w="338" w:type="pct"/>
                  <w:noWrap w:val="0"/>
                  <w:tcMar>
                    <w:left w:w="0" w:type="dxa"/>
                    <w:right w:w="0" w:type="dxa"/>
                  </w:tcMar>
                  <w:vAlign w:val="center"/>
                </w:tcPr>
                <w:p w14:paraId="05DF0EA8">
                  <w:pPr>
                    <w:keepNext w:val="0"/>
                    <w:keepLines w:val="0"/>
                    <w:suppressLineNumbers w:val="0"/>
                    <w:spacing w:before="0" w:beforeAutospacing="0" w:after="0" w:afterAutospacing="0"/>
                    <w:ind w:left="0" w:right="0"/>
                    <w:jc w:val="center"/>
                    <w:rPr>
                      <w:rFonts w:hint="default"/>
                      <w:bCs/>
                      <w:color w:val="auto"/>
                      <w:szCs w:val="21"/>
                    </w:rPr>
                  </w:pPr>
                  <w:r>
                    <w:rPr>
                      <w:rFonts w:hint="default"/>
                      <w:bCs/>
                      <w:color w:val="auto"/>
                      <w:szCs w:val="21"/>
                    </w:rPr>
                    <w:t>符合</w:t>
                  </w:r>
                </w:p>
              </w:tc>
            </w:tr>
            <w:tr w14:paraId="6D74E8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44" w:hRule="atLeast"/>
              </w:trPr>
              <w:tc>
                <w:tcPr>
                  <w:tcW w:w="2363" w:type="pct"/>
                  <w:noWrap w:val="0"/>
                  <w:vAlign w:val="center"/>
                </w:tcPr>
                <w:p w14:paraId="4F77CD36">
                  <w:pPr>
                    <w:keepNext w:val="0"/>
                    <w:keepLines w:val="0"/>
                    <w:suppressLineNumbers w:val="0"/>
                    <w:spacing w:before="0" w:beforeAutospacing="0" w:after="0" w:afterAutospacing="0"/>
                    <w:ind w:left="0" w:right="0"/>
                    <w:jc w:val="left"/>
                    <w:rPr>
                      <w:rFonts w:hint="default"/>
                      <w:bCs/>
                      <w:color w:val="auto"/>
                      <w:szCs w:val="21"/>
                    </w:rPr>
                  </w:pPr>
                  <w:r>
                    <w:rPr>
                      <w:rFonts w:hint="default"/>
                      <w:bCs/>
                      <w:color w:val="auto"/>
                      <w:szCs w:val="21"/>
                    </w:rPr>
                    <w:t>（五）在环境敏感区进行石油天然气勘探、开采的，要在开发前对生态、环境影响进行充分论证，并</w:t>
                  </w:r>
                  <w:r>
                    <w:rPr>
                      <w:rFonts w:hint="eastAsia"/>
                      <w:bCs/>
                      <w:color w:val="auto"/>
                      <w:szCs w:val="21"/>
                      <w:lang w:eastAsia="zh-CN"/>
                    </w:rPr>
                    <w:t>严格执行环境影响</w:t>
                  </w:r>
                  <w:r>
                    <w:rPr>
                      <w:rFonts w:hint="default"/>
                      <w:bCs/>
                      <w:color w:val="auto"/>
                      <w:szCs w:val="21"/>
                    </w:rPr>
                    <w:t>评价文件的要求，积极采取缓解生态、环境破坏的措施</w:t>
                  </w:r>
                  <w:r>
                    <w:rPr>
                      <w:rFonts w:hint="eastAsia"/>
                      <w:bCs/>
                      <w:color w:val="auto"/>
                      <w:szCs w:val="21"/>
                    </w:rPr>
                    <w:t>。</w:t>
                  </w:r>
                </w:p>
              </w:tc>
              <w:tc>
                <w:tcPr>
                  <w:tcW w:w="2297" w:type="pct"/>
                  <w:noWrap w:val="0"/>
                  <w:vAlign w:val="center"/>
                </w:tcPr>
                <w:p w14:paraId="257D39DA">
                  <w:pPr>
                    <w:keepNext w:val="0"/>
                    <w:keepLines w:val="0"/>
                    <w:suppressLineNumbers w:val="0"/>
                    <w:spacing w:before="0" w:beforeAutospacing="0" w:after="0" w:afterAutospacing="0"/>
                    <w:ind w:left="0" w:right="0"/>
                    <w:rPr>
                      <w:rFonts w:hint="eastAsia"/>
                      <w:bCs/>
                      <w:color w:val="auto"/>
                      <w:szCs w:val="21"/>
                      <w:lang w:eastAsia="zh-CN"/>
                    </w:rPr>
                  </w:pPr>
                  <w:r>
                    <w:rPr>
                      <w:rFonts w:hint="eastAsia"/>
                      <w:bCs/>
                      <w:color w:val="auto"/>
                      <w:szCs w:val="21"/>
                      <w:lang w:eastAsia="zh-CN"/>
                    </w:rPr>
                    <w:t>本项目占地及评价范围是不涉及环境敏感区，</w:t>
                  </w:r>
                  <w:r>
                    <w:rPr>
                      <w:rFonts w:hint="eastAsia"/>
                      <w:bCs/>
                      <w:color w:val="auto"/>
                      <w:szCs w:val="21"/>
                      <w:lang w:val="en-US" w:eastAsia="zh-CN"/>
                    </w:rPr>
                    <w:t>所以不需要</w:t>
                  </w:r>
                  <w:r>
                    <w:rPr>
                      <w:rFonts w:hint="eastAsia"/>
                      <w:bCs/>
                      <w:color w:val="auto"/>
                      <w:szCs w:val="21"/>
                      <w:lang w:eastAsia="zh-CN"/>
                    </w:rPr>
                    <w:t>在开发前对生态、环境影响进行充分论证。但本项目严格执行环境影响评价文件的要求，积极采取了措施：占地前对表土层进行表土剥离，勘探结束后进行地表清理，表土回覆、施肥等措施。若无利用价值则永久封井，隔离各个油气层，最下部打水泥塞，打地表水泥塞，要求所有关键性层段之间隔离开，恢复地貌，使项目占地范围内的农田恢复到原有水平。</w:t>
                  </w:r>
                </w:p>
              </w:tc>
              <w:tc>
                <w:tcPr>
                  <w:tcW w:w="338" w:type="pct"/>
                  <w:noWrap w:val="0"/>
                  <w:tcMar>
                    <w:left w:w="0" w:type="dxa"/>
                    <w:right w:w="0" w:type="dxa"/>
                  </w:tcMar>
                  <w:vAlign w:val="center"/>
                </w:tcPr>
                <w:p w14:paraId="70DB6972">
                  <w:pPr>
                    <w:keepNext w:val="0"/>
                    <w:keepLines w:val="0"/>
                    <w:suppressLineNumbers w:val="0"/>
                    <w:spacing w:before="0" w:beforeAutospacing="0" w:after="0" w:afterAutospacing="0"/>
                    <w:ind w:left="0" w:right="0"/>
                    <w:jc w:val="center"/>
                    <w:rPr>
                      <w:rFonts w:hint="default"/>
                      <w:bCs/>
                      <w:color w:val="auto"/>
                      <w:szCs w:val="21"/>
                    </w:rPr>
                  </w:pPr>
                </w:p>
              </w:tc>
            </w:tr>
            <w:tr w14:paraId="70133C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363" w:type="pct"/>
                  <w:noWrap w:val="0"/>
                  <w:vAlign w:val="center"/>
                </w:tcPr>
                <w:p w14:paraId="624F4F94">
                  <w:pPr>
                    <w:keepNext w:val="0"/>
                    <w:keepLines w:val="0"/>
                    <w:suppressLineNumbers w:val="0"/>
                    <w:spacing w:before="0" w:beforeAutospacing="0" w:after="0" w:afterAutospacing="0"/>
                    <w:ind w:left="0" w:right="0"/>
                    <w:jc w:val="center"/>
                    <w:rPr>
                      <w:rFonts w:hint="default"/>
                      <w:bCs/>
                      <w:color w:val="auto"/>
                      <w:szCs w:val="21"/>
                    </w:rPr>
                  </w:pPr>
                  <w:r>
                    <w:rPr>
                      <w:rFonts w:hint="default"/>
                      <w:bCs/>
                      <w:color w:val="auto"/>
                      <w:szCs w:val="21"/>
                    </w:rPr>
                    <w:t>二、清洁生产</w:t>
                  </w:r>
                </w:p>
              </w:tc>
              <w:tc>
                <w:tcPr>
                  <w:tcW w:w="2297" w:type="pct"/>
                  <w:noWrap w:val="0"/>
                  <w:vAlign w:val="center"/>
                </w:tcPr>
                <w:p w14:paraId="1BF22CDA">
                  <w:pPr>
                    <w:keepNext w:val="0"/>
                    <w:keepLines w:val="0"/>
                    <w:suppressLineNumbers w:val="0"/>
                    <w:spacing w:before="0" w:beforeAutospacing="0" w:after="0" w:afterAutospacing="0"/>
                    <w:ind w:left="0" w:right="0"/>
                    <w:jc w:val="center"/>
                    <w:rPr>
                      <w:rFonts w:hint="default"/>
                      <w:bCs/>
                      <w:color w:val="auto"/>
                      <w:szCs w:val="21"/>
                    </w:rPr>
                  </w:pPr>
                </w:p>
              </w:tc>
              <w:tc>
                <w:tcPr>
                  <w:tcW w:w="338" w:type="pct"/>
                  <w:noWrap w:val="0"/>
                  <w:tcMar>
                    <w:left w:w="0" w:type="dxa"/>
                    <w:right w:w="0" w:type="dxa"/>
                  </w:tcMar>
                  <w:vAlign w:val="center"/>
                </w:tcPr>
                <w:p w14:paraId="599763C2">
                  <w:pPr>
                    <w:keepNext w:val="0"/>
                    <w:keepLines w:val="0"/>
                    <w:suppressLineNumbers w:val="0"/>
                    <w:spacing w:before="0" w:beforeAutospacing="0" w:after="0" w:afterAutospacing="0"/>
                    <w:ind w:left="0" w:right="0"/>
                    <w:jc w:val="center"/>
                    <w:rPr>
                      <w:rFonts w:hint="default"/>
                      <w:bCs/>
                      <w:color w:val="auto"/>
                      <w:szCs w:val="21"/>
                    </w:rPr>
                  </w:pPr>
                </w:p>
              </w:tc>
            </w:tr>
            <w:tr w14:paraId="20DC87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363" w:type="pct"/>
                  <w:noWrap w:val="0"/>
                  <w:vAlign w:val="center"/>
                </w:tcPr>
                <w:p w14:paraId="5E20C2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eastAsia" w:eastAsia="宋体"/>
                      <w:bCs/>
                      <w:color w:val="auto"/>
                      <w:szCs w:val="21"/>
                      <w:lang w:eastAsia="zh-CN"/>
                    </w:rPr>
                  </w:pPr>
                  <w:r>
                    <w:rPr>
                      <w:rFonts w:hint="eastAsia"/>
                      <w:bCs/>
                      <w:color w:val="auto"/>
                      <w:szCs w:val="21"/>
                      <w:lang w:eastAsia="zh-CN"/>
                    </w:rPr>
                    <w:t>（一）</w:t>
                  </w:r>
                  <w:r>
                    <w:rPr>
                      <w:rFonts w:hint="default"/>
                      <w:bCs/>
                      <w:color w:val="auto"/>
                      <w:szCs w:val="21"/>
                    </w:rPr>
                    <w:t>油气田建设应总体规划，优化布局，整体开发，减少占地和油气损失，实现油气和废物的集中收集、处理处置</w:t>
                  </w:r>
                  <w:r>
                    <w:rPr>
                      <w:rFonts w:hint="eastAsia"/>
                      <w:bCs/>
                      <w:color w:val="auto"/>
                      <w:szCs w:val="21"/>
                      <w:lang w:eastAsia="zh-CN"/>
                    </w:rPr>
                    <w:t>。</w:t>
                  </w:r>
                </w:p>
              </w:tc>
              <w:tc>
                <w:tcPr>
                  <w:tcW w:w="2297" w:type="pct"/>
                  <w:noWrap w:val="0"/>
                  <w:vAlign w:val="center"/>
                </w:tcPr>
                <w:p w14:paraId="440B903F">
                  <w:pPr>
                    <w:keepNext w:val="0"/>
                    <w:keepLines w:val="0"/>
                    <w:suppressLineNumbers w:val="0"/>
                    <w:spacing w:before="0" w:beforeAutospacing="0" w:after="0" w:afterAutospacing="0"/>
                    <w:ind w:left="0" w:right="0"/>
                    <w:jc w:val="center"/>
                    <w:rPr>
                      <w:rFonts w:hint="eastAsia" w:eastAsia="宋体"/>
                      <w:bCs/>
                      <w:color w:val="auto"/>
                      <w:szCs w:val="21"/>
                      <w:lang w:eastAsia="zh-CN"/>
                    </w:rPr>
                  </w:pPr>
                  <w:r>
                    <w:rPr>
                      <w:rFonts w:hint="eastAsia"/>
                      <w:bCs/>
                      <w:color w:val="auto"/>
                      <w:szCs w:val="21"/>
                      <w:lang w:eastAsia="zh-CN"/>
                    </w:rPr>
                    <w:t>本工程属于石油勘探工程，通过在矿权范围进行总体规划来开展油气勘探工作，采取设备合理紧凑布置、采用密闭集输流程，从而最大限度地减少占地和油气集输过程中烃类的排放量。本工程油气和废物也实现了集中收集、处理处置。</w:t>
                  </w:r>
                </w:p>
              </w:tc>
              <w:tc>
                <w:tcPr>
                  <w:tcW w:w="338" w:type="pct"/>
                  <w:noWrap w:val="0"/>
                  <w:tcMar>
                    <w:left w:w="0" w:type="dxa"/>
                    <w:right w:w="0" w:type="dxa"/>
                  </w:tcMar>
                  <w:vAlign w:val="center"/>
                </w:tcPr>
                <w:p w14:paraId="162DA340">
                  <w:pPr>
                    <w:keepNext w:val="0"/>
                    <w:keepLines w:val="0"/>
                    <w:suppressLineNumbers w:val="0"/>
                    <w:spacing w:before="0" w:beforeAutospacing="0" w:after="0" w:afterAutospacing="0"/>
                    <w:ind w:left="0" w:right="0"/>
                    <w:jc w:val="center"/>
                    <w:rPr>
                      <w:rFonts w:hint="eastAsia" w:eastAsia="宋体"/>
                      <w:bCs/>
                      <w:color w:val="auto"/>
                      <w:szCs w:val="21"/>
                      <w:lang w:eastAsia="zh-CN"/>
                    </w:rPr>
                  </w:pPr>
                  <w:r>
                    <w:rPr>
                      <w:rFonts w:hint="eastAsia"/>
                      <w:bCs/>
                      <w:color w:val="auto"/>
                      <w:szCs w:val="21"/>
                      <w:lang w:eastAsia="zh-CN"/>
                    </w:rPr>
                    <w:t>符合</w:t>
                  </w:r>
                </w:p>
              </w:tc>
            </w:tr>
            <w:tr w14:paraId="4DD3345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08" w:hRule="atLeast"/>
              </w:trPr>
              <w:tc>
                <w:tcPr>
                  <w:tcW w:w="2363" w:type="pct"/>
                  <w:noWrap w:val="0"/>
                  <w:tcMar>
                    <w:left w:w="0" w:type="dxa"/>
                    <w:right w:w="0" w:type="dxa"/>
                  </w:tcMar>
                  <w:vAlign w:val="center"/>
                </w:tcPr>
                <w:p w14:paraId="5D2238C1">
                  <w:pPr>
                    <w:keepNext w:val="0"/>
                    <w:keepLines w:val="0"/>
                    <w:suppressLineNumbers w:val="0"/>
                    <w:spacing w:before="0" w:beforeAutospacing="0" w:after="0" w:afterAutospacing="0"/>
                    <w:ind w:left="0" w:right="0"/>
                    <w:jc w:val="left"/>
                    <w:rPr>
                      <w:rFonts w:hint="default"/>
                      <w:bCs/>
                      <w:color w:val="auto"/>
                      <w:szCs w:val="21"/>
                    </w:rPr>
                  </w:pPr>
                  <w:r>
                    <w:rPr>
                      <w:rFonts w:hint="default"/>
                      <w:bCs/>
                      <w:color w:val="auto"/>
                      <w:szCs w:val="21"/>
                    </w:rPr>
                    <w:t>（二）油气田开发不得使用含有国际公约禁用化学物质的油气田化学剂，逐步淘汰微毒及以上油气田化学剂，鼓励使用无毒油气田化学剂。</w:t>
                  </w:r>
                </w:p>
              </w:tc>
              <w:tc>
                <w:tcPr>
                  <w:tcW w:w="2297" w:type="pct"/>
                  <w:noWrap w:val="0"/>
                  <w:tcMar>
                    <w:left w:w="0" w:type="dxa"/>
                    <w:right w:w="0" w:type="dxa"/>
                  </w:tcMar>
                  <w:vAlign w:val="center"/>
                </w:tcPr>
                <w:p w14:paraId="300AA01E">
                  <w:pPr>
                    <w:keepNext w:val="0"/>
                    <w:keepLines w:val="0"/>
                    <w:suppressLineNumbers w:val="0"/>
                    <w:spacing w:before="0" w:beforeAutospacing="0" w:after="0" w:afterAutospacing="0"/>
                    <w:ind w:left="0" w:right="0"/>
                    <w:rPr>
                      <w:rFonts w:hint="default"/>
                      <w:bCs/>
                      <w:color w:val="auto"/>
                      <w:szCs w:val="21"/>
                    </w:rPr>
                  </w:pPr>
                  <w:r>
                    <w:rPr>
                      <w:rFonts w:hint="default"/>
                      <w:bCs/>
                      <w:color w:val="auto"/>
                      <w:szCs w:val="21"/>
                    </w:rPr>
                    <w:t>使用水基泥浆，水基泥浆配置所需原辅材料不含国际公约禁用化学物质的油气田化学剂。</w:t>
                  </w:r>
                </w:p>
              </w:tc>
              <w:tc>
                <w:tcPr>
                  <w:tcW w:w="338" w:type="pct"/>
                  <w:noWrap w:val="0"/>
                  <w:tcMar>
                    <w:left w:w="0" w:type="dxa"/>
                    <w:right w:w="0" w:type="dxa"/>
                  </w:tcMar>
                  <w:vAlign w:val="center"/>
                </w:tcPr>
                <w:p w14:paraId="7BF139D6">
                  <w:pPr>
                    <w:keepNext w:val="0"/>
                    <w:keepLines w:val="0"/>
                    <w:suppressLineNumbers w:val="0"/>
                    <w:spacing w:before="0" w:beforeAutospacing="0" w:after="0" w:afterAutospacing="0"/>
                    <w:ind w:left="0" w:right="0"/>
                    <w:jc w:val="center"/>
                    <w:rPr>
                      <w:rFonts w:hint="default"/>
                      <w:bCs/>
                      <w:color w:val="auto"/>
                      <w:szCs w:val="21"/>
                    </w:rPr>
                  </w:pPr>
                  <w:r>
                    <w:rPr>
                      <w:rFonts w:hint="default"/>
                      <w:bCs/>
                      <w:color w:val="auto"/>
                      <w:szCs w:val="21"/>
                    </w:rPr>
                    <w:t>符合</w:t>
                  </w:r>
                </w:p>
              </w:tc>
            </w:tr>
            <w:tr w14:paraId="551637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32" w:hRule="atLeast"/>
              </w:trPr>
              <w:tc>
                <w:tcPr>
                  <w:tcW w:w="2363" w:type="pct"/>
                  <w:noWrap w:val="0"/>
                  <w:vAlign w:val="center"/>
                </w:tcPr>
                <w:p w14:paraId="3D64069E">
                  <w:pPr>
                    <w:keepNext w:val="0"/>
                    <w:keepLines w:val="0"/>
                    <w:suppressLineNumbers w:val="0"/>
                    <w:spacing w:before="0" w:beforeAutospacing="0" w:after="0" w:afterAutospacing="0"/>
                    <w:ind w:left="0" w:right="0"/>
                    <w:jc w:val="left"/>
                    <w:rPr>
                      <w:rFonts w:hint="default"/>
                      <w:bCs/>
                      <w:color w:val="auto"/>
                      <w:szCs w:val="21"/>
                    </w:rPr>
                  </w:pPr>
                  <w:r>
                    <w:rPr>
                      <w:rFonts w:hint="default"/>
                      <w:bCs/>
                      <w:color w:val="auto"/>
                      <w:szCs w:val="21"/>
                    </w:rPr>
                    <w:t>（三）在勘探开发过程中，应防止产生落地原油。其中井下作业过程中</w:t>
                  </w:r>
                  <w:r>
                    <w:rPr>
                      <w:rFonts w:hint="eastAsia"/>
                      <w:bCs/>
                      <w:color w:val="auto"/>
                      <w:szCs w:val="21"/>
                    </w:rPr>
                    <w:t>配备</w:t>
                  </w:r>
                  <w:r>
                    <w:rPr>
                      <w:rFonts w:hint="default"/>
                      <w:bCs/>
                      <w:color w:val="auto"/>
                      <w:szCs w:val="21"/>
                    </w:rPr>
                    <w:t>泄油器、刮油器等。落地原油应及时回收，落地原油回收率应达到100%。</w:t>
                  </w:r>
                </w:p>
              </w:tc>
              <w:tc>
                <w:tcPr>
                  <w:tcW w:w="2297" w:type="pct"/>
                  <w:noWrap w:val="0"/>
                  <w:vAlign w:val="center"/>
                </w:tcPr>
                <w:p w14:paraId="61C8116A">
                  <w:pPr>
                    <w:keepNext w:val="0"/>
                    <w:keepLines w:val="0"/>
                    <w:suppressLineNumbers w:val="0"/>
                    <w:spacing w:before="0" w:beforeAutospacing="0" w:after="0" w:afterAutospacing="0"/>
                    <w:ind w:left="0" w:right="0"/>
                    <w:rPr>
                      <w:rFonts w:hint="default"/>
                      <w:bCs/>
                      <w:color w:val="auto"/>
                      <w:szCs w:val="21"/>
                    </w:rPr>
                  </w:pPr>
                  <w:r>
                    <w:rPr>
                      <w:rFonts w:hint="default"/>
                      <w:bCs/>
                      <w:color w:val="auto"/>
                      <w:szCs w:val="21"/>
                    </w:rPr>
                    <w:t>项目不会产生落地油、含油污泥</w:t>
                  </w:r>
                  <w:r>
                    <w:rPr>
                      <w:rFonts w:hint="eastAsia"/>
                      <w:bCs/>
                      <w:color w:val="auto"/>
                      <w:szCs w:val="21"/>
                    </w:rPr>
                    <w:t>，</w:t>
                  </w:r>
                  <w:r>
                    <w:rPr>
                      <w:rFonts w:hint="default"/>
                      <w:bCs/>
                      <w:color w:val="auto"/>
                      <w:szCs w:val="21"/>
                    </w:rPr>
                    <w:t>不进行井下作业</w:t>
                  </w:r>
                  <w:r>
                    <w:rPr>
                      <w:rFonts w:hint="default"/>
                      <w:bCs/>
                      <w:color w:val="auto"/>
                      <w:szCs w:val="21"/>
                      <w:highlight w:val="none"/>
                    </w:rPr>
                    <w:t>。事故状</w:t>
                  </w:r>
                  <w:r>
                    <w:rPr>
                      <w:rFonts w:hint="eastAsia"/>
                      <w:bCs/>
                      <w:color w:val="auto"/>
                      <w:szCs w:val="21"/>
                      <w:highlight w:val="none"/>
                      <w:lang w:val="en-US" w:eastAsia="zh-CN"/>
                    </w:rPr>
                    <w:t>态</w:t>
                  </w:r>
                  <w:r>
                    <w:rPr>
                      <w:rFonts w:hint="default"/>
                      <w:bCs/>
                      <w:color w:val="auto"/>
                      <w:szCs w:val="21"/>
                      <w:highlight w:val="none"/>
                    </w:rPr>
                    <w:t>下的落地油100%进行回收交</w:t>
                  </w:r>
                  <w:r>
                    <w:rPr>
                      <w:rFonts w:hint="eastAsia"/>
                      <w:bCs/>
                      <w:color w:val="auto"/>
                      <w:szCs w:val="21"/>
                      <w:highlight w:val="none"/>
                      <w:lang w:eastAsia="zh-CN"/>
                    </w:rPr>
                    <w:t>由</w:t>
                  </w:r>
                  <w:r>
                    <w:rPr>
                      <w:rFonts w:hint="eastAsia"/>
                      <w:color w:val="auto"/>
                      <w:kern w:val="0"/>
                      <w:szCs w:val="21"/>
                      <w:highlight w:val="none"/>
                      <w:lang w:eastAsia="zh-CN"/>
                    </w:rPr>
                    <w:t>有资质单位处置</w:t>
                  </w:r>
                  <w:r>
                    <w:rPr>
                      <w:rFonts w:hint="default"/>
                      <w:bCs/>
                      <w:color w:val="auto"/>
                      <w:szCs w:val="21"/>
                      <w:highlight w:val="none"/>
                    </w:rPr>
                    <w:t>。</w:t>
                  </w:r>
                </w:p>
              </w:tc>
              <w:tc>
                <w:tcPr>
                  <w:tcW w:w="338" w:type="pct"/>
                  <w:noWrap w:val="0"/>
                  <w:tcMar>
                    <w:left w:w="0" w:type="dxa"/>
                    <w:right w:w="0" w:type="dxa"/>
                  </w:tcMar>
                  <w:vAlign w:val="center"/>
                </w:tcPr>
                <w:p w14:paraId="34179F2E">
                  <w:pPr>
                    <w:keepNext w:val="0"/>
                    <w:keepLines w:val="0"/>
                    <w:suppressLineNumbers w:val="0"/>
                    <w:spacing w:before="0" w:beforeAutospacing="0" w:after="0" w:afterAutospacing="0"/>
                    <w:ind w:left="0" w:right="0"/>
                    <w:jc w:val="center"/>
                    <w:rPr>
                      <w:rFonts w:hint="default"/>
                      <w:bCs/>
                      <w:color w:val="auto"/>
                      <w:szCs w:val="21"/>
                    </w:rPr>
                  </w:pPr>
                  <w:r>
                    <w:rPr>
                      <w:rFonts w:hint="default"/>
                      <w:bCs/>
                      <w:color w:val="auto"/>
                      <w:szCs w:val="21"/>
                    </w:rPr>
                    <w:t>符合</w:t>
                  </w:r>
                </w:p>
              </w:tc>
            </w:tr>
            <w:tr w14:paraId="7BE0E43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33" w:hRule="atLeast"/>
              </w:trPr>
              <w:tc>
                <w:tcPr>
                  <w:tcW w:w="2363" w:type="pct"/>
                  <w:noWrap w:val="0"/>
                  <w:tcMar>
                    <w:left w:w="0" w:type="dxa"/>
                    <w:right w:w="0" w:type="dxa"/>
                  </w:tcMar>
                  <w:vAlign w:val="center"/>
                </w:tcPr>
                <w:p w14:paraId="5B53ED35">
                  <w:pPr>
                    <w:keepNext w:val="0"/>
                    <w:keepLines w:val="0"/>
                    <w:suppressLineNumbers w:val="0"/>
                    <w:spacing w:before="0" w:beforeAutospacing="0" w:after="0" w:afterAutospacing="0"/>
                    <w:ind w:left="0" w:right="0"/>
                    <w:jc w:val="left"/>
                    <w:rPr>
                      <w:rFonts w:hint="default"/>
                      <w:bCs/>
                      <w:color w:val="auto"/>
                      <w:szCs w:val="21"/>
                    </w:rPr>
                  </w:pPr>
                  <w:r>
                    <w:rPr>
                      <w:rFonts w:hint="default"/>
                      <w:bCs/>
                      <w:color w:val="auto"/>
                      <w:szCs w:val="21"/>
                    </w:rPr>
                    <w:t>（五）</w:t>
                  </w:r>
                  <w:r>
                    <w:rPr>
                      <w:rFonts w:hint="default"/>
                      <w:color w:val="auto"/>
                    </w:rPr>
                    <w:t>在钻井过程中，鼓励采用环境友好的钻井液体系；配备完善的固控设备，钻井液循环率达到95%以上；钻井过程产生的废水应回用。</w:t>
                  </w:r>
                </w:p>
              </w:tc>
              <w:tc>
                <w:tcPr>
                  <w:tcW w:w="2297" w:type="pct"/>
                  <w:noWrap w:val="0"/>
                  <w:vAlign w:val="center"/>
                </w:tcPr>
                <w:p w14:paraId="0C72FD10">
                  <w:pPr>
                    <w:keepNext w:val="0"/>
                    <w:keepLines w:val="0"/>
                    <w:suppressLineNumbers w:val="0"/>
                    <w:spacing w:before="0" w:beforeAutospacing="0" w:after="0" w:afterAutospacing="0"/>
                    <w:ind w:left="0" w:right="0"/>
                    <w:rPr>
                      <w:rFonts w:hint="default"/>
                      <w:bCs/>
                      <w:color w:val="auto"/>
                      <w:szCs w:val="21"/>
                    </w:rPr>
                  </w:pPr>
                  <w:r>
                    <w:rPr>
                      <w:rFonts w:hint="eastAsia"/>
                      <w:bCs/>
                      <w:color w:val="auto"/>
                      <w:szCs w:val="21"/>
                      <w:lang w:eastAsia="zh-CN"/>
                    </w:rPr>
                    <w:t>本工程</w:t>
                  </w:r>
                  <w:r>
                    <w:rPr>
                      <w:rFonts w:hint="default"/>
                      <w:bCs/>
                      <w:color w:val="auto"/>
                      <w:szCs w:val="21"/>
                    </w:rPr>
                    <w:t>钻井液使用无毒无害的水基泥浆，并配备完善的固控设备，钻井液循环率95%</w:t>
                  </w:r>
                  <w:r>
                    <w:rPr>
                      <w:rFonts w:hint="eastAsia"/>
                      <w:bCs/>
                      <w:color w:val="auto"/>
                      <w:szCs w:val="21"/>
                    </w:rPr>
                    <w:t>，钻井过程产生的废水</w:t>
                  </w:r>
                  <w:r>
                    <w:rPr>
                      <w:rFonts w:hint="eastAsia"/>
                      <w:bCs/>
                      <w:color w:val="auto"/>
                      <w:szCs w:val="21"/>
                      <w:lang w:eastAsia="zh-CN"/>
                    </w:rPr>
                    <w:t>全部</w:t>
                  </w:r>
                  <w:r>
                    <w:rPr>
                      <w:rFonts w:hint="eastAsia"/>
                      <w:bCs/>
                      <w:color w:val="auto"/>
                      <w:szCs w:val="21"/>
                    </w:rPr>
                    <w:t>回用</w:t>
                  </w:r>
                  <w:r>
                    <w:rPr>
                      <w:rFonts w:hint="default"/>
                      <w:bCs/>
                      <w:color w:val="auto"/>
                      <w:szCs w:val="21"/>
                    </w:rPr>
                    <w:t>。钻井液经</w:t>
                  </w:r>
                  <w:r>
                    <w:rPr>
                      <w:rFonts w:hint="eastAsia"/>
                      <w:bCs/>
                      <w:color w:val="auto"/>
                      <w:szCs w:val="21"/>
                    </w:rPr>
                    <w:t>“</w:t>
                  </w:r>
                  <w:r>
                    <w:rPr>
                      <w:rFonts w:hint="default"/>
                      <w:bCs/>
                      <w:color w:val="auto"/>
                      <w:szCs w:val="21"/>
                    </w:rPr>
                    <w:t>泥浆不落地工艺</w:t>
                  </w:r>
                  <w:r>
                    <w:rPr>
                      <w:rFonts w:hint="eastAsia"/>
                      <w:bCs/>
                      <w:color w:val="auto"/>
                      <w:szCs w:val="21"/>
                    </w:rPr>
                    <w:t>”</w:t>
                  </w:r>
                  <w:r>
                    <w:rPr>
                      <w:rFonts w:hint="default"/>
                      <w:bCs/>
                      <w:color w:val="auto"/>
                      <w:szCs w:val="21"/>
                    </w:rPr>
                    <w:t>系统处理后，无法回用的废水拉运至</w:t>
                  </w:r>
                  <w:r>
                    <w:rPr>
                      <w:rFonts w:hint="eastAsia"/>
                      <w:bCs/>
                      <w:color w:val="auto"/>
                      <w:kern w:val="0"/>
                      <w:szCs w:val="21"/>
                      <w:lang w:eastAsia="zh-CN"/>
                    </w:rPr>
                    <w:t>吉泰勘探开发分公司</w:t>
                  </w:r>
                  <w:r>
                    <w:rPr>
                      <w:rFonts w:hint="eastAsia"/>
                      <w:bCs/>
                      <w:color w:val="auto"/>
                      <w:kern w:val="0"/>
                      <w:szCs w:val="21"/>
                    </w:rPr>
                    <w:t>吉兰泰联合站</w:t>
                  </w:r>
                  <w:r>
                    <w:rPr>
                      <w:rFonts w:hint="default"/>
                      <w:bCs/>
                      <w:color w:val="auto"/>
                      <w:kern w:val="0"/>
                      <w:szCs w:val="21"/>
                    </w:rPr>
                    <w:t>采出水处理系统</w:t>
                  </w:r>
                  <w:r>
                    <w:rPr>
                      <w:rFonts w:hint="eastAsia"/>
                      <w:bCs/>
                      <w:color w:val="auto"/>
                      <w:kern w:val="0"/>
                      <w:szCs w:val="21"/>
                    </w:rPr>
                    <w:t>，</w:t>
                  </w:r>
                  <w:r>
                    <w:rPr>
                      <w:rFonts w:hint="default"/>
                      <w:bCs/>
                      <w:color w:val="auto"/>
                      <w:kern w:val="0"/>
                      <w:szCs w:val="21"/>
                    </w:rPr>
                    <w:t>处理</w:t>
                  </w:r>
                  <w:r>
                    <w:rPr>
                      <w:rFonts w:hint="eastAsia"/>
                      <w:bCs/>
                      <w:color w:val="auto"/>
                      <w:kern w:val="0"/>
                      <w:szCs w:val="21"/>
                    </w:rPr>
                    <w:t>达标后</w:t>
                  </w:r>
                  <w:r>
                    <w:rPr>
                      <w:rFonts w:hint="default"/>
                      <w:bCs/>
                      <w:color w:val="auto"/>
                      <w:kern w:val="0"/>
                      <w:szCs w:val="21"/>
                    </w:rPr>
                    <w:t>回注</w:t>
                  </w:r>
                  <w:r>
                    <w:rPr>
                      <w:rFonts w:hint="eastAsia"/>
                      <w:bCs/>
                      <w:color w:val="auto"/>
                      <w:kern w:val="0"/>
                      <w:szCs w:val="21"/>
                    </w:rPr>
                    <w:t>，不外排</w:t>
                  </w:r>
                  <w:r>
                    <w:rPr>
                      <w:rFonts w:hint="default"/>
                      <w:bCs/>
                      <w:color w:val="auto"/>
                      <w:szCs w:val="21"/>
                    </w:rPr>
                    <w:t>。</w:t>
                  </w:r>
                </w:p>
              </w:tc>
              <w:tc>
                <w:tcPr>
                  <w:tcW w:w="338" w:type="pct"/>
                  <w:noWrap w:val="0"/>
                  <w:tcMar>
                    <w:left w:w="0" w:type="dxa"/>
                    <w:right w:w="0" w:type="dxa"/>
                  </w:tcMar>
                  <w:vAlign w:val="center"/>
                </w:tcPr>
                <w:p w14:paraId="423D6D4C">
                  <w:pPr>
                    <w:keepNext w:val="0"/>
                    <w:keepLines w:val="0"/>
                    <w:suppressLineNumbers w:val="0"/>
                    <w:spacing w:before="0" w:beforeAutospacing="0" w:after="0" w:afterAutospacing="0"/>
                    <w:ind w:left="0" w:right="0"/>
                    <w:jc w:val="center"/>
                    <w:rPr>
                      <w:rFonts w:hint="default"/>
                      <w:bCs/>
                      <w:color w:val="auto"/>
                      <w:szCs w:val="21"/>
                    </w:rPr>
                  </w:pPr>
                  <w:r>
                    <w:rPr>
                      <w:rFonts w:hint="default"/>
                      <w:bCs/>
                      <w:color w:val="auto"/>
                      <w:szCs w:val="21"/>
                    </w:rPr>
                    <w:t>符合</w:t>
                  </w:r>
                </w:p>
              </w:tc>
            </w:tr>
            <w:tr w14:paraId="0E801C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363" w:type="pct"/>
                  <w:noWrap w:val="0"/>
                  <w:vAlign w:val="center"/>
                </w:tcPr>
                <w:p w14:paraId="7E2A79E5">
                  <w:pPr>
                    <w:keepNext w:val="0"/>
                    <w:keepLines w:val="0"/>
                    <w:suppressLineNumbers w:val="0"/>
                    <w:spacing w:before="0" w:beforeAutospacing="0" w:after="0" w:afterAutospacing="0"/>
                    <w:ind w:left="0" w:right="0"/>
                    <w:jc w:val="center"/>
                    <w:rPr>
                      <w:rFonts w:hint="default"/>
                      <w:bCs/>
                      <w:color w:val="auto"/>
                      <w:szCs w:val="21"/>
                    </w:rPr>
                  </w:pPr>
                  <w:r>
                    <w:rPr>
                      <w:rFonts w:hint="default"/>
                      <w:bCs/>
                      <w:color w:val="auto"/>
                      <w:szCs w:val="21"/>
                    </w:rPr>
                    <w:t>四、污染治理</w:t>
                  </w:r>
                </w:p>
              </w:tc>
              <w:tc>
                <w:tcPr>
                  <w:tcW w:w="2297" w:type="pct"/>
                  <w:noWrap w:val="0"/>
                  <w:vAlign w:val="center"/>
                </w:tcPr>
                <w:p w14:paraId="103AE712">
                  <w:pPr>
                    <w:keepNext w:val="0"/>
                    <w:keepLines w:val="0"/>
                    <w:suppressLineNumbers w:val="0"/>
                    <w:spacing w:before="0" w:beforeAutospacing="0" w:after="0" w:afterAutospacing="0"/>
                    <w:ind w:left="0" w:right="0"/>
                    <w:jc w:val="center"/>
                    <w:rPr>
                      <w:rFonts w:hint="default"/>
                      <w:bCs/>
                      <w:color w:val="auto"/>
                      <w:szCs w:val="21"/>
                    </w:rPr>
                  </w:pPr>
                </w:p>
              </w:tc>
              <w:tc>
                <w:tcPr>
                  <w:tcW w:w="338" w:type="pct"/>
                  <w:noWrap w:val="0"/>
                  <w:tcMar>
                    <w:left w:w="0" w:type="dxa"/>
                    <w:right w:w="0" w:type="dxa"/>
                  </w:tcMar>
                  <w:vAlign w:val="center"/>
                </w:tcPr>
                <w:p w14:paraId="5BD1E439">
                  <w:pPr>
                    <w:keepNext w:val="0"/>
                    <w:keepLines w:val="0"/>
                    <w:suppressLineNumbers w:val="0"/>
                    <w:spacing w:before="0" w:beforeAutospacing="0" w:after="0" w:afterAutospacing="0"/>
                    <w:ind w:left="0" w:right="0"/>
                    <w:jc w:val="center"/>
                    <w:rPr>
                      <w:rFonts w:hint="default"/>
                      <w:bCs/>
                      <w:color w:val="auto"/>
                      <w:szCs w:val="21"/>
                    </w:rPr>
                  </w:pPr>
                </w:p>
              </w:tc>
            </w:tr>
            <w:tr w14:paraId="2DE5C4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04" w:hRule="atLeast"/>
              </w:trPr>
              <w:tc>
                <w:tcPr>
                  <w:tcW w:w="2363" w:type="pct"/>
                  <w:noWrap w:val="0"/>
                  <w:vAlign w:val="center"/>
                </w:tcPr>
                <w:p w14:paraId="6353FA4A">
                  <w:pPr>
                    <w:keepNext w:val="0"/>
                    <w:keepLines w:val="0"/>
                    <w:suppressLineNumbers w:val="0"/>
                    <w:spacing w:before="0" w:beforeAutospacing="0" w:after="0" w:afterAutospacing="0"/>
                    <w:ind w:left="0" w:right="0"/>
                    <w:jc w:val="left"/>
                    <w:rPr>
                      <w:rFonts w:hint="default"/>
                      <w:bCs/>
                      <w:color w:val="auto"/>
                      <w:szCs w:val="21"/>
                    </w:rPr>
                  </w:pPr>
                  <w:r>
                    <w:rPr>
                      <w:rFonts w:hint="default"/>
                      <w:bCs/>
                      <w:color w:val="auto"/>
                      <w:szCs w:val="21"/>
                    </w:rPr>
                    <w:t>（三）固体废物收集、贮存、处理处置设施应按照标准</w:t>
                  </w:r>
                  <w:r>
                    <w:rPr>
                      <w:rFonts w:hint="eastAsia"/>
                      <w:bCs/>
                      <w:color w:val="auto"/>
                      <w:szCs w:val="21"/>
                    </w:rPr>
                    <w:t>要</w:t>
                  </w:r>
                  <w:r>
                    <w:rPr>
                      <w:rFonts w:hint="default"/>
                      <w:bCs/>
                      <w:color w:val="auto"/>
                      <w:szCs w:val="21"/>
                    </w:rPr>
                    <w:t>求采取防渗措施。试油（气）后应立即封闭废弃钻井液贮池。</w:t>
                  </w:r>
                </w:p>
              </w:tc>
              <w:tc>
                <w:tcPr>
                  <w:tcW w:w="2297" w:type="pct"/>
                  <w:noWrap w:val="0"/>
                  <w:vAlign w:val="center"/>
                </w:tcPr>
                <w:p w14:paraId="7504822E">
                  <w:pPr>
                    <w:keepNext w:val="0"/>
                    <w:keepLines w:val="0"/>
                    <w:suppressLineNumbers w:val="0"/>
                    <w:spacing w:before="0" w:beforeAutospacing="0" w:after="0" w:afterAutospacing="0"/>
                    <w:ind w:left="0" w:right="0"/>
                    <w:rPr>
                      <w:rFonts w:hint="eastAsia" w:eastAsia="宋体"/>
                      <w:bCs/>
                      <w:color w:val="auto"/>
                      <w:szCs w:val="21"/>
                      <w:lang w:eastAsia="zh-CN"/>
                    </w:rPr>
                  </w:pPr>
                  <w:r>
                    <w:rPr>
                      <w:rFonts w:hint="eastAsia"/>
                      <w:color w:val="auto"/>
                      <w:kern w:val="0"/>
                      <w:szCs w:val="21"/>
                      <w:lang w:eastAsia="zh-CN"/>
                    </w:rPr>
                    <w:t>本工程</w:t>
                  </w:r>
                  <w:r>
                    <w:rPr>
                      <w:rFonts w:hint="default"/>
                      <w:bCs/>
                      <w:color w:val="auto"/>
                      <w:szCs w:val="21"/>
                    </w:rPr>
                    <w:t>采用</w:t>
                  </w:r>
                  <w:r>
                    <w:rPr>
                      <w:rFonts w:hint="eastAsia"/>
                      <w:bCs/>
                      <w:color w:val="auto"/>
                      <w:szCs w:val="21"/>
                    </w:rPr>
                    <w:t>“</w:t>
                  </w:r>
                  <w:r>
                    <w:rPr>
                      <w:rFonts w:hint="default"/>
                      <w:bCs/>
                      <w:color w:val="auto"/>
                      <w:szCs w:val="21"/>
                    </w:rPr>
                    <w:t>泥浆不落地工艺</w:t>
                  </w:r>
                  <w:r>
                    <w:rPr>
                      <w:rFonts w:hint="eastAsia"/>
                      <w:bCs/>
                      <w:color w:val="auto"/>
                      <w:szCs w:val="21"/>
                    </w:rPr>
                    <w:t>”</w:t>
                  </w:r>
                  <w:r>
                    <w:rPr>
                      <w:rFonts w:hint="default"/>
                      <w:bCs/>
                      <w:color w:val="auto"/>
                      <w:szCs w:val="21"/>
                    </w:rPr>
                    <w:t>处理钻井泥浆</w:t>
                  </w:r>
                  <w:r>
                    <w:rPr>
                      <w:rFonts w:hint="eastAsia"/>
                      <w:bCs/>
                      <w:color w:val="auto"/>
                      <w:szCs w:val="21"/>
                      <w:lang w:eastAsia="zh-CN"/>
                    </w:rPr>
                    <w:t>、岩屑</w:t>
                  </w:r>
                  <w:r>
                    <w:rPr>
                      <w:rFonts w:hint="default"/>
                      <w:bCs/>
                      <w:color w:val="auto"/>
                      <w:szCs w:val="21"/>
                    </w:rPr>
                    <w:t>，</w:t>
                  </w:r>
                  <w:r>
                    <w:rPr>
                      <w:rFonts w:hint="eastAsia"/>
                      <w:bCs/>
                      <w:color w:val="auto"/>
                      <w:szCs w:val="21"/>
                    </w:rPr>
                    <w:t>井场按要求采取分区防渗措</w:t>
                  </w:r>
                  <w:r>
                    <w:rPr>
                      <w:rFonts w:hint="eastAsia"/>
                      <w:bCs/>
                      <w:color w:val="auto"/>
                      <w:szCs w:val="21"/>
                      <w:highlight w:val="none"/>
                    </w:rPr>
                    <w:t>施，</w:t>
                  </w:r>
                  <w:r>
                    <w:rPr>
                      <w:rFonts w:hint="eastAsia"/>
                      <w:bCs/>
                      <w:color w:val="auto"/>
                      <w:szCs w:val="21"/>
                      <w:highlight w:val="none"/>
                      <w:lang w:eastAsia="zh-CN"/>
                    </w:rPr>
                    <w:t>固液分离后</w:t>
                  </w:r>
                  <w:r>
                    <w:rPr>
                      <w:rFonts w:hint="eastAsia"/>
                      <w:bCs/>
                      <w:color w:val="auto"/>
                      <w:szCs w:val="21"/>
                      <w:highlight w:val="none"/>
                    </w:rPr>
                    <w:t>泥饼</w:t>
                  </w:r>
                  <w:r>
                    <w:rPr>
                      <w:rFonts w:hint="eastAsia"/>
                      <w:bCs/>
                      <w:color w:val="auto"/>
                      <w:szCs w:val="21"/>
                      <w:highlight w:val="none"/>
                      <w:lang w:eastAsia="zh-CN"/>
                    </w:rPr>
                    <w:t>交由</w:t>
                  </w:r>
                  <w:r>
                    <w:rPr>
                      <w:rFonts w:hint="eastAsia"/>
                      <w:color w:val="auto"/>
                      <w:kern w:val="0"/>
                      <w:szCs w:val="21"/>
                      <w:highlight w:val="none"/>
                      <w:lang w:eastAsia="zh-CN"/>
                    </w:rPr>
                    <w:t>内蒙古联源热电有限公司固废处置场</w:t>
                  </w:r>
                  <w:r>
                    <w:rPr>
                      <w:rFonts w:hint="default"/>
                      <w:bCs/>
                      <w:color w:val="auto"/>
                      <w:szCs w:val="21"/>
                      <w:highlight w:val="none"/>
                    </w:rPr>
                    <w:t>处理</w:t>
                  </w:r>
                  <w:r>
                    <w:rPr>
                      <w:rFonts w:hint="default"/>
                      <w:color w:val="auto"/>
                      <w:kern w:val="0"/>
                      <w:szCs w:val="21"/>
                      <w:highlight w:val="none"/>
                    </w:rPr>
                    <w:t>，不建泥浆池。</w:t>
                  </w:r>
                </w:p>
              </w:tc>
              <w:tc>
                <w:tcPr>
                  <w:tcW w:w="338" w:type="pct"/>
                  <w:noWrap w:val="0"/>
                  <w:tcMar>
                    <w:left w:w="0" w:type="dxa"/>
                    <w:right w:w="0" w:type="dxa"/>
                  </w:tcMar>
                  <w:vAlign w:val="center"/>
                </w:tcPr>
                <w:p w14:paraId="5AB90595">
                  <w:pPr>
                    <w:keepNext w:val="0"/>
                    <w:keepLines w:val="0"/>
                    <w:suppressLineNumbers w:val="0"/>
                    <w:spacing w:before="0" w:beforeAutospacing="0" w:after="0" w:afterAutospacing="0"/>
                    <w:ind w:left="0" w:right="0"/>
                    <w:jc w:val="center"/>
                    <w:rPr>
                      <w:rFonts w:hint="default"/>
                      <w:bCs/>
                      <w:color w:val="auto"/>
                      <w:szCs w:val="21"/>
                    </w:rPr>
                  </w:pPr>
                  <w:r>
                    <w:rPr>
                      <w:rFonts w:hint="default"/>
                      <w:bCs/>
                      <w:color w:val="auto"/>
                      <w:szCs w:val="21"/>
                    </w:rPr>
                    <w:t>符合</w:t>
                  </w:r>
                </w:p>
              </w:tc>
            </w:tr>
            <w:tr w14:paraId="7127EC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22" w:hRule="atLeast"/>
              </w:trPr>
              <w:tc>
                <w:tcPr>
                  <w:tcW w:w="2363" w:type="pct"/>
                  <w:noWrap w:val="0"/>
                  <w:tcMar>
                    <w:left w:w="0" w:type="dxa"/>
                    <w:right w:w="0" w:type="dxa"/>
                  </w:tcMar>
                  <w:vAlign w:val="center"/>
                </w:tcPr>
                <w:p w14:paraId="2EFED9AB">
                  <w:pPr>
                    <w:keepNext w:val="0"/>
                    <w:keepLines w:val="0"/>
                    <w:suppressLineNumbers w:val="0"/>
                    <w:spacing w:before="0" w:beforeAutospacing="0" w:after="0" w:afterAutospacing="0"/>
                    <w:ind w:left="0" w:right="0"/>
                    <w:jc w:val="left"/>
                    <w:rPr>
                      <w:rFonts w:hint="default"/>
                      <w:bCs/>
                      <w:color w:val="auto"/>
                      <w:szCs w:val="21"/>
                    </w:rPr>
                  </w:pPr>
                  <w:r>
                    <w:rPr>
                      <w:rFonts w:hint="default"/>
                      <w:bCs/>
                      <w:color w:val="auto"/>
                      <w:szCs w:val="21"/>
                    </w:rPr>
                    <w:t>（四）应回收落地原油，以及原油处理、废水处理产生的油泥（砂）等中的油类物质，含油污泥资源化利用率应达到90%以上，残余固体废物应按照《国家危险废物名录》和危险废物鉴别标准识别，根据识别结果资源化利用或无害化处</w:t>
                  </w:r>
                  <w:r>
                    <w:rPr>
                      <w:rFonts w:hint="eastAsia"/>
                      <w:bCs/>
                      <w:color w:val="auto"/>
                      <w:szCs w:val="21"/>
                    </w:rPr>
                    <w:t>理</w:t>
                  </w:r>
                  <w:r>
                    <w:rPr>
                      <w:rFonts w:hint="default"/>
                      <w:bCs/>
                      <w:color w:val="auto"/>
                      <w:szCs w:val="21"/>
                    </w:rPr>
                    <w:t>。</w:t>
                  </w:r>
                </w:p>
              </w:tc>
              <w:tc>
                <w:tcPr>
                  <w:tcW w:w="2297" w:type="pct"/>
                  <w:noWrap w:val="0"/>
                  <w:vAlign w:val="center"/>
                </w:tcPr>
                <w:p w14:paraId="65595D8E">
                  <w:pPr>
                    <w:keepNext w:val="0"/>
                    <w:keepLines w:val="0"/>
                    <w:suppressLineNumbers w:val="0"/>
                    <w:spacing w:before="0" w:beforeAutospacing="0" w:after="0" w:afterAutospacing="0"/>
                    <w:ind w:left="0" w:right="0"/>
                    <w:rPr>
                      <w:rFonts w:hint="default"/>
                      <w:bCs/>
                      <w:color w:val="auto"/>
                      <w:szCs w:val="21"/>
                    </w:rPr>
                  </w:pPr>
                  <w:r>
                    <w:rPr>
                      <w:rFonts w:hint="eastAsia"/>
                      <w:bCs/>
                      <w:color w:val="auto"/>
                      <w:szCs w:val="21"/>
                      <w:lang w:eastAsia="zh-CN"/>
                    </w:rPr>
                    <w:t>本工程</w:t>
                  </w:r>
                  <w:r>
                    <w:rPr>
                      <w:rFonts w:hint="default"/>
                      <w:bCs/>
                      <w:color w:val="auto"/>
                      <w:szCs w:val="21"/>
                    </w:rPr>
                    <w:t>正常工况不会产生落地油、含</w:t>
                  </w:r>
                  <w:r>
                    <w:rPr>
                      <w:rFonts w:hint="default"/>
                      <w:bCs/>
                      <w:color w:val="auto"/>
                      <w:szCs w:val="21"/>
                      <w:highlight w:val="none"/>
                    </w:rPr>
                    <w:t>油污泥。事故状态下的落地油</w:t>
                  </w:r>
                  <w:r>
                    <w:rPr>
                      <w:rFonts w:hint="eastAsia"/>
                      <w:bCs/>
                      <w:color w:val="auto"/>
                      <w:szCs w:val="21"/>
                      <w:highlight w:val="none"/>
                      <w:lang w:eastAsia="zh-CN"/>
                    </w:rPr>
                    <w:t>交由有资质单位处置</w:t>
                  </w:r>
                  <w:r>
                    <w:rPr>
                      <w:rFonts w:hint="default"/>
                      <w:bCs/>
                      <w:color w:val="auto"/>
                      <w:szCs w:val="21"/>
                    </w:rPr>
                    <w:t>。</w:t>
                  </w:r>
                </w:p>
              </w:tc>
              <w:tc>
                <w:tcPr>
                  <w:tcW w:w="338" w:type="pct"/>
                  <w:noWrap w:val="0"/>
                  <w:tcMar>
                    <w:left w:w="0" w:type="dxa"/>
                    <w:right w:w="0" w:type="dxa"/>
                  </w:tcMar>
                  <w:vAlign w:val="center"/>
                </w:tcPr>
                <w:p w14:paraId="7927B358">
                  <w:pPr>
                    <w:keepNext w:val="0"/>
                    <w:keepLines w:val="0"/>
                    <w:suppressLineNumbers w:val="0"/>
                    <w:spacing w:before="0" w:beforeAutospacing="0" w:after="0" w:afterAutospacing="0"/>
                    <w:ind w:left="0" w:right="0"/>
                    <w:jc w:val="center"/>
                    <w:rPr>
                      <w:rFonts w:hint="default"/>
                      <w:bCs/>
                      <w:color w:val="auto"/>
                      <w:szCs w:val="21"/>
                    </w:rPr>
                  </w:pPr>
                  <w:r>
                    <w:rPr>
                      <w:rFonts w:hint="default"/>
                      <w:bCs/>
                      <w:color w:val="auto"/>
                      <w:szCs w:val="21"/>
                    </w:rPr>
                    <w:t>符合</w:t>
                  </w:r>
                </w:p>
              </w:tc>
            </w:tr>
            <w:tr w14:paraId="5B37E2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363" w:type="pct"/>
                  <w:noWrap w:val="0"/>
                  <w:vAlign w:val="center"/>
                </w:tcPr>
                <w:p w14:paraId="390D397D">
                  <w:pPr>
                    <w:keepNext w:val="0"/>
                    <w:keepLines w:val="0"/>
                    <w:suppressLineNumbers w:val="0"/>
                    <w:spacing w:before="0" w:beforeAutospacing="0" w:after="0" w:afterAutospacing="0"/>
                    <w:ind w:left="0" w:right="0"/>
                    <w:jc w:val="center"/>
                    <w:rPr>
                      <w:rFonts w:hint="default"/>
                      <w:bCs/>
                      <w:color w:val="auto"/>
                      <w:szCs w:val="21"/>
                    </w:rPr>
                  </w:pPr>
                  <w:r>
                    <w:rPr>
                      <w:rFonts w:hint="default"/>
                      <w:bCs/>
                      <w:color w:val="auto"/>
                      <w:szCs w:val="21"/>
                    </w:rPr>
                    <w:t>六、运行管理与风险防范</w:t>
                  </w:r>
                </w:p>
              </w:tc>
              <w:tc>
                <w:tcPr>
                  <w:tcW w:w="2297" w:type="pct"/>
                  <w:noWrap w:val="0"/>
                  <w:vAlign w:val="center"/>
                </w:tcPr>
                <w:p w14:paraId="3C487398">
                  <w:pPr>
                    <w:keepNext w:val="0"/>
                    <w:keepLines w:val="0"/>
                    <w:suppressLineNumbers w:val="0"/>
                    <w:spacing w:before="0" w:beforeAutospacing="0" w:after="0" w:afterAutospacing="0"/>
                    <w:ind w:left="0" w:right="0"/>
                    <w:jc w:val="center"/>
                    <w:rPr>
                      <w:rFonts w:hint="default"/>
                      <w:bCs/>
                      <w:color w:val="auto"/>
                      <w:szCs w:val="21"/>
                    </w:rPr>
                  </w:pPr>
                </w:p>
              </w:tc>
              <w:tc>
                <w:tcPr>
                  <w:tcW w:w="338" w:type="pct"/>
                  <w:noWrap w:val="0"/>
                  <w:tcMar>
                    <w:left w:w="0" w:type="dxa"/>
                    <w:right w:w="0" w:type="dxa"/>
                  </w:tcMar>
                  <w:vAlign w:val="center"/>
                </w:tcPr>
                <w:p w14:paraId="0EB42D68">
                  <w:pPr>
                    <w:keepNext w:val="0"/>
                    <w:keepLines w:val="0"/>
                    <w:suppressLineNumbers w:val="0"/>
                    <w:spacing w:before="0" w:beforeAutospacing="0" w:after="0" w:afterAutospacing="0"/>
                    <w:ind w:left="0" w:right="0"/>
                    <w:jc w:val="center"/>
                    <w:rPr>
                      <w:rFonts w:hint="default"/>
                      <w:bCs/>
                      <w:color w:val="auto"/>
                      <w:szCs w:val="21"/>
                    </w:rPr>
                  </w:pPr>
                </w:p>
              </w:tc>
            </w:tr>
            <w:tr w14:paraId="243CF5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82" w:hRule="atLeast"/>
              </w:trPr>
              <w:tc>
                <w:tcPr>
                  <w:tcW w:w="2363" w:type="pct"/>
                  <w:noWrap w:val="0"/>
                  <w:vAlign w:val="center"/>
                </w:tcPr>
                <w:p w14:paraId="590A34DF">
                  <w:pPr>
                    <w:keepNext w:val="0"/>
                    <w:keepLines w:val="0"/>
                    <w:suppressLineNumbers w:val="0"/>
                    <w:spacing w:before="0" w:beforeAutospacing="0" w:after="0" w:afterAutospacing="0"/>
                    <w:ind w:left="0" w:right="0"/>
                    <w:jc w:val="left"/>
                    <w:rPr>
                      <w:rFonts w:hint="default"/>
                      <w:bCs/>
                      <w:color w:val="auto"/>
                      <w:szCs w:val="21"/>
                    </w:rPr>
                  </w:pPr>
                  <w:r>
                    <w:rPr>
                      <w:rFonts w:hint="default"/>
                      <w:bCs/>
                      <w:color w:val="auto"/>
                      <w:szCs w:val="21"/>
                    </w:rPr>
                    <w:t>（一）油气田企业应制定环境保护管理规定，建立并</w:t>
                  </w:r>
                  <w:r>
                    <w:rPr>
                      <w:rFonts w:hint="eastAsia"/>
                      <w:bCs/>
                      <w:color w:val="auto"/>
                      <w:szCs w:val="21"/>
                    </w:rPr>
                    <w:t>运</w:t>
                  </w:r>
                  <w:r>
                    <w:rPr>
                      <w:rFonts w:hint="default"/>
                      <w:bCs/>
                      <w:color w:val="auto"/>
                      <w:szCs w:val="21"/>
                    </w:rPr>
                    <w:t>行健康、安全与环境管理体系。</w:t>
                  </w:r>
                </w:p>
              </w:tc>
              <w:tc>
                <w:tcPr>
                  <w:tcW w:w="2297" w:type="pct"/>
                  <w:noWrap w:val="0"/>
                  <w:vAlign w:val="center"/>
                </w:tcPr>
                <w:p w14:paraId="2450635F">
                  <w:pPr>
                    <w:keepNext w:val="0"/>
                    <w:keepLines w:val="0"/>
                    <w:suppressLineNumbers w:val="0"/>
                    <w:spacing w:before="0" w:beforeAutospacing="0" w:after="0" w:afterAutospacing="0"/>
                    <w:ind w:left="0" w:right="0"/>
                    <w:jc w:val="left"/>
                    <w:rPr>
                      <w:rFonts w:hint="default"/>
                      <w:bCs/>
                      <w:color w:val="auto"/>
                      <w:szCs w:val="21"/>
                    </w:rPr>
                  </w:pPr>
                  <w:r>
                    <w:rPr>
                      <w:rFonts w:hint="default"/>
                      <w:bCs/>
                      <w:color w:val="auto"/>
                      <w:szCs w:val="21"/>
                    </w:rPr>
                    <w:t>华北油田巴彦勘探开发分公司制定了环境保护管理规定，建立并运行了健康、安全与环境管理体系。</w:t>
                  </w:r>
                </w:p>
              </w:tc>
              <w:tc>
                <w:tcPr>
                  <w:tcW w:w="338" w:type="pct"/>
                  <w:noWrap w:val="0"/>
                  <w:tcMar>
                    <w:left w:w="0" w:type="dxa"/>
                    <w:right w:w="0" w:type="dxa"/>
                  </w:tcMar>
                  <w:vAlign w:val="center"/>
                </w:tcPr>
                <w:p w14:paraId="5024A301">
                  <w:pPr>
                    <w:keepNext w:val="0"/>
                    <w:keepLines w:val="0"/>
                    <w:suppressLineNumbers w:val="0"/>
                    <w:spacing w:before="0" w:beforeAutospacing="0" w:after="0" w:afterAutospacing="0"/>
                    <w:ind w:left="0" w:right="0"/>
                    <w:jc w:val="center"/>
                    <w:rPr>
                      <w:rFonts w:hint="default"/>
                      <w:bCs/>
                      <w:color w:val="auto"/>
                      <w:szCs w:val="21"/>
                    </w:rPr>
                  </w:pPr>
                  <w:r>
                    <w:rPr>
                      <w:rFonts w:hint="default"/>
                      <w:bCs/>
                      <w:color w:val="auto"/>
                      <w:szCs w:val="21"/>
                    </w:rPr>
                    <w:t>符合</w:t>
                  </w:r>
                </w:p>
              </w:tc>
            </w:tr>
            <w:tr w14:paraId="6BAB21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75" w:hRule="atLeast"/>
              </w:trPr>
              <w:tc>
                <w:tcPr>
                  <w:tcW w:w="2363" w:type="pct"/>
                  <w:noWrap w:val="0"/>
                  <w:vAlign w:val="center"/>
                </w:tcPr>
                <w:p w14:paraId="3FE5867D">
                  <w:pPr>
                    <w:keepNext w:val="0"/>
                    <w:keepLines w:val="0"/>
                    <w:suppressLineNumbers w:val="0"/>
                    <w:spacing w:before="0" w:beforeAutospacing="0" w:after="0" w:afterAutospacing="0"/>
                    <w:ind w:left="0" w:right="0"/>
                    <w:jc w:val="left"/>
                    <w:rPr>
                      <w:rFonts w:hint="default"/>
                      <w:bCs/>
                      <w:color w:val="auto"/>
                      <w:szCs w:val="21"/>
                    </w:rPr>
                  </w:pPr>
                  <w:r>
                    <w:rPr>
                      <w:rFonts w:hint="default"/>
                      <w:bCs/>
                      <w:color w:val="auto"/>
                      <w:szCs w:val="21"/>
                    </w:rPr>
                    <w:t>（五）油气田企业应对勘探开发过程进行环境风险因素识别，制定突发环境事件应急预案并定期进行演练。应开展特征污染物监测工作，采取环境风险防范和应急措施，防止发生由突发性油气泄漏产生的环境事故。</w:t>
                  </w:r>
                </w:p>
              </w:tc>
              <w:tc>
                <w:tcPr>
                  <w:tcW w:w="2297" w:type="pct"/>
                  <w:noWrap w:val="0"/>
                  <w:vAlign w:val="center"/>
                </w:tcPr>
                <w:p w14:paraId="531874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bCs/>
                      <w:color w:val="auto"/>
                      <w:szCs w:val="21"/>
                    </w:rPr>
                  </w:pPr>
                  <w:r>
                    <w:rPr>
                      <w:rFonts w:hint="eastAsia"/>
                      <w:bCs/>
                      <w:color w:val="auto"/>
                      <w:szCs w:val="21"/>
                    </w:rPr>
                    <w:t>①</w:t>
                  </w:r>
                  <w:r>
                    <w:rPr>
                      <w:rFonts w:hint="default"/>
                      <w:bCs/>
                      <w:color w:val="auto"/>
                      <w:szCs w:val="21"/>
                    </w:rPr>
                    <w:t>对勘探过程进行了环境风险因素识别，成立了环境风险管控机构，</w:t>
                  </w:r>
                  <w:r>
                    <w:rPr>
                      <w:rFonts w:hint="eastAsia"/>
                      <w:bCs/>
                      <w:color w:val="auto"/>
                      <w:szCs w:val="21"/>
                    </w:rPr>
                    <w:t>并针对在临河地区勘探阶段</w:t>
                  </w:r>
                  <w:r>
                    <w:rPr>
                      <w:rFonts w:hint="default"/>
                      <w:bCs/>
                      <w:color w:val="auto"/>
                      <w:szCs w:val="21"/>
                    </w:rPr>
                    <w:t>制定突发环境事件应急预案</w:t>
                  </w:r>
                  <w:r>
                    <w:rPr>
                      <w:rFonts w:hint="eastAsia"/>
                      <w:bCs/>
                      <w:color w:val="auto"/>
                      <w:szCs w:val="21"/>
                    </w:rPr>
                    <w:t>并备案，备案编号：1</w:t>
                  </w:r>
                  <w:r>
                    <w:rPr>
                      <w:rFonts w:hint="default"/>
                      <w:bCs/>
                      <w:color w:val="auto"/>
                      <w:szCs w:val="21"/>
                    </w:rPr>
                    <w:t>50802-2022-012-</w:t>
                  </w:r>
                  <w:r>
                    <w:rPr>
                      <w:rFonts w:hint="eastAsia"/>
                      <w:bCs/>
                      <w:color w:val="auto"/>
                      <w:szCs w:val="21"/>
                    </w:rPr>
                    <w:t>L，定期</w:t>
                  </w:r>
                  <w:r>
                    <w:rPr>
                      <w:rFonts w:hint="default"/>
                      <w:bCs/>
                      <w:color w:val="auto"/>
                      <w:szCs w:val="21"/>
                    </w:rPr>
                    <w:t>进行演练</w:t>
                  </w:r>
                  <w:r>
                    <w:rPr>
                      <w:rFonts w:hint="eastAsia"/>
                      <w:bCs/>
                      <w:color w:val="auto"/>
                      <w:szCs w:val="21"/>
                    </w:rPr>
                    <w:t>。</w:t>
                  </w:r>
                </w:p>
                <w:p w14:paraId="06E315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bCs/>
                      <w:color w:val="auto"/>
                      <w:szCs w:val="21"/>
                    </w:rPr>
                  </w:pPr>
                  <w:r>
                    <w:rPr>
                      <w:rFonts w:hint="eastAsia"/>
                      <w:bCs/>
                      <w:color w:val="auto"/>
                      <w:szCs w:val="21"/>
                    </w:rPr>
                    <w:t>②施工过程中</w:t>
                  </w:r>
                  <w:r>
                    <w:rPr>
                      <w:rFonts w:hint="default"/>
                      <w:bCs/>
                      <w:color w:val="auto"/>
                      <w:szCs w:val="21"/>
                    </w:rPr>
                    <w:t>安装防井喷装置，落实各项风险应急物资等防止发生由突发性油气泄漏产生的环境事故。</w:t>
                  </w:r>
                </w:p>
              </w:tc>
              <w:tc>
                <w:tcPr>
                  <w:tcW w:w="338" w:type="pct"/>
                  <w:noWrap w:val="0"/>
                  <w:tcMar>
                    <w:left w:w="0" w:type="dxa"/>
                    <w:right w:w="0" w:type="dxa"/>
                  </w:tcMar>
                  <w:vAlign w:val="center"/>
                </w:tcPr>
                <w:p w14:paraId="70947256">
                  <w:pPr>
                    <w:keepNext w:val="0"/>
                    <w:keepLines w:val="0"/>
                    <w:suppressLineNumbers w:val="0"/>
                    <w:spacing w:before="0" w:beforeAutospacing="0" w:after="0" w:afterAutospacing="0"/>
                    <w:ind w:left="0" w:right="0"/>
                    <w:jc w:val="center"/>
                    <w:rPr>
                      <w:rFonts w:hint="default"/>
                      <w:bCs/>
                      <w:color w:val="auto"/>
                      <w:szCs w:val="21"/>
                    </w:rPr>
                  </w:pPr>
                  <w:r>
                    <w:rPr>
                      <w:rFonts w:hint="default"/>
                      <w:bCs/>
                      <w:color w:val="auto"/>
                      <w:szCs w:val="21"/>
                    </w:rPr>
                    <w:t>符合</w:t>
                  </w:r>
                </w:p>
              </w:tc>
            </w:tr>
          </w:tbl>
          <w:p w14:paraId="445FC1CA">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rPr>
            </w:pPr>
            <w:r>
              <w:rPr>
                <w:rFonts w:hint="eastAsia"/>
                <w:color w:val="auto"/>
                <w:sz w:val="24"/>
                <w:lang w:val="en-US" w:eastAsia="zh-CN"/>
              </w:rPr>
              <w:t>5</w:t>
            </w:r>
            <w:r>
              <w:rPr>
                <w:rFonts w:hint="eastAsia"/>
                <w:color w:val="auto"/>
                <w:sz w:val="24"/>
              </w:rPr>
              <w:t>、</w:t>
            </w:r>
            <w:r>
              <w:rPr>
                <w:rFonts w:hint="default"/>
                <w:color w:val="auto"/>
                <w:sz w:val="24"/>
              </w:rPr>
              <w:t>《矿山生态环境保护与恢复治理技术规范（试行）》（HJ651-2013）符合性分析</w:t>
            </w:r>
            <w:r>
              <w:rPr>
                <w:rFonts w:hint="eastAsia"/>
                <w:color w:val="auto"/>
                <w:sz w:val="24"/>
              </w:rPr>
              <w:t>如下。</w:t>
            </w:r>
          </w:p>
          <w:p w14:paraId="7880770B">
            <w:pPr>
              <w:keepNext w:val="0"/>
              <w:keepLines w:val="0"/>
              <w:suppressLineNumbers w:val="0"/>
              <w:spacing w:before="0" w:beforeAutospacing="0" w:after="0" w:afterAutospacing="0"/>
              <w:ind w:left="0" w:right="0"/>
              <w:jc w:val="center"/>
              <w:rPr>
                <w:rFonts w:hint="eastAsia"/>
                <w:b/>
                <w:color w:val="auto"/>
                <w:sz w:val="24"/>
                <w:szCs w:val="21"/>
              </w:rPr>
            </w:pPr>
            <w:r>
              <w:rPr>
                <w:rFonts w:hint="default"/>
                <w:b/>
                <w:color w:val="auto"/>
                <w:sz w:val="24"/>
                <w:szCs w:val="21"/>
              </w:rPr>
              <w:t>表1-4</w:t>
            </w:r>
            <w:r>
              <w:rPr>
                <w:rFonts w:hint="eastAsia"/>
                <w:b/>
                <w:color w:val="auto"/>
                <w:sz w:val="24"/>
                <w:szCs w:val="21"/>
              </w:rPr>
              <w:t xml:space="preserve"> 与</w:t>
            </w:r>
            <w:r>
              <w:rPr>
                <w:rFonts w:hint="default"/>
                <w:b/>
                <w:color w:val="auto"/>
                <w:sz w:val="24"/>
                <w:szCs w:val="21"/>
              </w:rPr>
              <w:t>《矿山生态环境保护与恢复治理技术规范（试行）》</w:t>
            </w:r>
          </w:p>
          <w:p w14:paraId="2D5FC7B6">
            <w:pPr>
              <w:keepNext w:val="0"/>
              <w:keepLines w:val="0"/>
              <w:suppressLineNumbers w:val="0"/>
              <w:spacing w:before="0" w:beforeAutospacing="0" w:after="0" w:afterAutospacing="0"/>
              <w:ind w:left="0" w:right="0"/>
              <w:jc w:val="center"/>
              <w:rPr>
                <w:rFonts w:hint="default"/>
                <w:b/>
                <w:color w:val="auto"/>
                <w:sz w:val="24"/>
                <w:szCs w:val="21"/>
              </w:rPr>
            </w:pPr>
            <w:r>
              <w:rPr>
                <w:rFonts w:hint="default"/>
                <w:b/>
                <w:color w:val="auto"/>
                <w:sz w:val="24"/>
                <w:szCs w:val="21"/>
              </w:rPr>
              <w:t>符合性分析</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94"/>
              <w:gridCol w:w="3574"/>
              <w:gridCol w:w="3620"/>
            </w:tblGrid>
            <w:tr w14:paraId="619A47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645" w:type="pct"/>
                  <w:gridSpan w:val="2"/>
                  <w:noWrap w:val="0"/>
                  <w:vAlign w:val="center"/>
                </w:tcPr>
                <w:p w14:paraId="0A378AD5">
                  <w:pPr>
                    <w:keepNext w:val="0"/>
                    <w:keepLines w:val="0"/>
                    <w:widowControl/>
                    <w:suppressLineNumbers w:val="0"/>
                    <w:snapToGrid w:val="0"/>
                    <w:spacing w:before="0" w:beforeAutospacing="0" w:after="0" w:afterAutospacing="0"/>
                    <w:ind w:left="0" w:right="0"/>
                    <w:jc w:val="center"/>
                    <w:rPr>
                      <w:rFonts w:hint="default"/>
                      <w:color w:val="auto"/>
                      <w:kern w:val="0"/>
                      <w:szCs w:val="21"/>
                    </w:rPr>
                  </w:pPr>
                  <w:r>
                    <w:rPr>
                      <w:rFonts w:hint="default"/>
                      <w:color w:val="auto"/>
                      <w:szCs w:val="21"/>
                    </w:rPr>
                    <w:t>政策要求</w:t>
                  </w:r>
                </w:p>
              </w:tc>
              <w:tc>
                <w:tcPr>
                  <w:tcW w:w="2354" w:type="pct"/>
                  <w:noWrap w:val="0"/>
                  <w:vAlign w:val="center"/>
                </w:tcPr>
                <w:p w14:paraId="27FDF33D">
                  <w:pPr>
                    <w:keepNext w:val="0"/>
                    <w:keepLines w:val="0"/>
                    <w:widowControl/>
                    <w:suppressLineNumbers w:val="0"/>
                    <w:snapToGrid w:val="0"/>
                    <w:spacing w:before="0" w:beforeAutospacing="0" w:after="0" w:afterAutospacing="0"/>
                    <w:ind w:left="0" w:right="0"/>
                    <w:jc w:val="center"/>
                    <w:rPr>
                      <w:rFonts w:hint="default"/>
                      <w:color w:val="auto"/>
                      <w:kern w:val="0"/>
                      <w:szCs w:val="21"/>
                    </w:rPr>
                  </w:pPr>
                  <w:r>
                    <w:rPr>
                      <w:rFonts w:hint="default"/>
                      <w:color w:val="auto"/>
                      <w:szCs w:val="21"/>
                    </w:rPr>
                    <w:t>符合性分析</w:t>
                  </w:r>
                </w:p>
              </w:tc>
            </w:tr>
            <w:tr w14:paraId="05B840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21" w:type="pct"/>
                  <w:noWrap w:val="0"/>
                  <w:vAlign w:val="center"/>
                </w:tcPr>
                <w:p w14:paraId="5A946375">
                  <w:pPr>
                    <w:keepNext w:val="0"/>
                    <w:keepLines w:val="0"/>
                    <w:widowControl/>
                    <w:suppressLineNumbers w:val="0"/>
                    <w:snapToGrid w:val="0"/>
                    <w:spacing w:before="0" w:beforeAutospacing="0" w:after="0" w:afterAutospacing="0"/>
                    <w:ind w:left="0" w:right="0"/>
                    <w:jc w:val="center"/>
                    <w:rPr>
                      <w:rFonts w:hint="default"/>
                      <w:color w:val="auto"/>
                      <w:szCs w:val="21"/>
                    </w:rPr>
                  </w:pPr>
                  <w:r>
                    <w:rPr>
                      <w:rFonts w:hint="eastAsia"/>
                      <w:color w:val="auto"/>
                      <w:szCs w:val="21"/>
                    </w:rPr>
                    <w:t>4.1</w:t>
                  </w:r>
                </w:p>
              </w:tc>
              <w:tc>
                <w:tcPr>
                  <w:tcW w:w="2324" w:type="pct"/>
                  <w:noWrap w:val="0"/>
                  <w:vAlign w:val="center"/>
                </w:tcPr>
                <w:p w14:paraId="22EDD82B">
                  <w:pPr>
                    <w:keepNext w:val="0"/>
                    <w:keepLines w:val="0"/>
                    <w:widowControl/>
                    <w:suppressLineNumbers w:val="0"/>
                    <w:snapToGrid w:val="0"/>
                    <w:spacing w:before="0" w:beforeAutospacing="0" w:after="0" w:afterAutospacing="0"/>
                    <w:ind w:left="0" w:right="0"/>
                    <w:rPr>
                      <w:rFonts w:hint="default"/>
                      <w:color w:val="auto"/>
                      <w:kern w:val="0"/>
                      <w:szCs w:val="21"/>
                    </w:rPr>
                  </w:pPr>
                  <w:r>
                    <w:rPr>
                      <w:rFonts w:hint="default"/>
                      <w:color w:val="auto"/>
                      <w:kern w:val="0"/>
                      <w:szCs w:val="21"/>
                    </w:rPr>
                    <w:t>禁止在依法划定的自然保护区、风景名胜区、森林公园、饮用水水源保护区、文物古迹所在地、地质遗迹保护区、基本农田保护区等重要生态保护地以及其他法律法规规定的禁采区域内采矿。禁止在重要道路、航道两侧及重要生态环境</w:t>
                  </w:r>
                  <w:r>
                    <w:rPr>
                      <w:rFonts w:hint="eastAsia"/>
                      <w:color w:val="auto"/>
                      <w:kern w:val="0"/>
                      <w:szCs w:val="21"/>
                      <w:lang w:eastAsia="zh-CN"/>
                    </w:rPr>
                    <w:t>敏感</w:t>
                  </w:r>
                  <w:r>
                    <w:rPr>
                      <w:rFonts w:hint="default"/>
                      <w:color w:val="auto"/>
                      <w:kern w:val="0"/>
                      <w:szCs w:val="21"/>
                    </w:rPr>
                    <w:cr/>
                  </w:r>
                  <w:r>
                    <w:rPr>
                      <w:rFonts w:hint="default"/>
                      <w:color w:val="auto"/>
                      <w:kern w:val="0"/>
                      <w:szCs w:val="21"/>
                    </w:rPr>
                    <w:t>目标可视范围内进行对景观破坏明显的露天开采。</w:t>
                  </w:r>
                </w:p>
              </w:tc>
              <w:tc>
                <w:tcPr>
                  <w:tcW w:w="2354" w:type="pct"/>
                  <w:noWrap w:val="0"/>
                  <w:tcMar>
                    <w:left w:w="0" w:type="dxa"/>
                    <w:right w:w="0" w:type="dxa"/>
                  </w:tcMar>
                  <w:vAlign w:val="center"/>
                </w:tcPr>
                <w:p w14:paraId="590A260C">
                  <w:pPr>
                    <w:keepNext w:val="0"/>
                    <w:keepLines w:val="0"/>
                    <w:widowControl/>
                    <w:suppressLineNumbers w:val="0"/>
                    <w:snapToGrid w:val="0"/>
                    <w:spacing w:before="0" w:beforeAutospacing="0" w:after="0" w:afterAutospacing="0"/>
                    <w:ind w:left="0" w:right="0" w:firstLine="420" w:firstLineChars="200"/>
                    <w:rPr>
                      <w:rFonts w:hint="default"/>
                      <w:color w:val="auto"/>
                      <w:highlight w:val="none"/>
                    </w:rPr>
                  </w:pPr>
                  <w:r>
                    <w:rPr>
                      <w:rFonts w:hint="eastAsia"/>
                      <w:color w:val="auto"/>
                      <w:kern w:val="0"/>
                      <w:szCs w:val="21"/>
                      <w:lang w:eastAsia="zh-CN"/>
                    </w:rPr>
                    <w:t>本工程距离哈腾套海自然保护区实验区为</w:t>
                  </w:r>
                  <w:r>
                    <w:rPr>
                      <w:rFonts w:hint="eastAsia"/>
                      <w:color w:val="auto"/>
                      <w:kern w:val="0"/>
                      <w:szCs w:val="21"/>
                      <w:lang w:val="en-US" w:eastAsia="zh-CN"/>
                    </w:rPr>
                    <w:t>3km</w:t>
                  </w:r>
                  <w:r>
                    <w:rPr>
                      <w:rFonts w:hint="eastAsia"/>
                      <w:color w:val="auto"/>
                      <w:kern w:val="0"/>
                      <w:szCs w:val="21"/>
                      <w:lang w:eastAsia="zh-CN"/>
                    </w:rPr>
                    <w:t>，本工程占地及评价范围内</w:t>
                  </w:r>
                  <w:r>
                    <w:rPr>
                      <w:rFonts w:hint="default"/>
                      <w:color w:val="auto"/>
                      <w:kern w:val="0"/>
                      <w:szCs w:val="21"/>
                    </w:rPr>
                    <w:t>无自然保护区、风景名胜区、森林公园、饮用水水源保护区所在地</w:t>
                  </w:r>
                  <w:r>
                    <w:rPr>
                      <w:rFonts w:hint="default"/>
                      <w:color w:val="auto"/>
                      <w:kern w:val="0"/>
                      <w:szCs w:val="21"/>
                      <w:highlight w:val="none"/>
                    </w:rPr>
                    <w:t>、地质遗迹保护区等重要生态保护地</w:t>
                  </w:r>
                  <w:r>
                    <w:rPr>
                      <w:rFonts w:hint="default"/>
                      <w:color w:val="auto"/>
                      <w:highlight w:val="none"/>
                    </w:rPr>
                    <w:t>。</w:t>
                  </w:r>
                </w:p>
                <w:p w14:paraId="7883D4D0">
                  <w:pPr>
                    <w:keepNext w:val="0"/>
                    <w:keepLines w:val="0"/>
                    <w:widowControl/>
                    <w:suppressLineNumbers w:val="0"/>
                    <w:snapToGrid w:val="0"/>
                    <w:spacing w:before="0" w:beforeAutospacing="0" w:after="0" w:afterAutospacing="0"/>
                    <w:ind w:left="0" w:right="0" w:firstLine="420" w:firstLineChars="200"/>
                    <w:rPr>
                      <w:rFonts w:hint="default"/>
                      <w:color w:val="auto"/>
                      <w:kern w:val="0"/>
                      <w:szCs w:val="21"/>
                    </w:rPr>
                  </w:pPr>
                  <w:r>
                    <w:rPr>
                      <w:rFonts w:hint="eastAsia"/>
                      <w:color w:val="auto"/>
                      <w:kern w:val="0"/>
                      <w:szCs w:val="21"/>
                      <w:highlight w:val="none"/>
                    </w:rPr>
                    <w:t>202</w:t>
                  </w:r>
                  <w:r>
                    <w:rPr>
                      <w:rFonts w:hint="eastAsia"/>
                      <w:color w:val="auto"/>
                      <w:kern w:val="0"/>
                      <w:szCs w:val="21"/>
                      <w:highlight w:val="none"/>
                      <w:lang w:val="en-US" w:eastAsia="zh-CN"/>
                    </w:rPr>
                    <w:t>4</w:t>
                  </w:r>
                  <w:r>
                    <w:rPr>
                      <w:rFonts w:hint="eastAsia"/>
                      <w:color w:val="auto"/>
                      <w:kern w:val="0"/>
                      <w:szCs w:val="21"/>
                      <w:highlight w:val="none"/>
                    </w:rPr>
                    <w:t>年</w:t>
                  </w:r>
                  <w:r>
                    <w:rPr>
                      <w:rFonts w:hint="eastAsia"/>
                      <w:color w:val="auto"/>
                      <w:kern w:val="0"/>
                      <w:szCs w:val="21"/>
                      <w:highlight w:val="none"/>
                      <w:lang w:val="en-US" w:eastAsia="zh-CN"/>
                    </w:rPr>
                    <w:t>11</w:t>
                  </w:r>
                  <w:r>
                    <w:rPr>
                      <w:rFonts w:hint="eastAsia"/>
                      <w:color w:val="auto"/>
                      <w:kern w:val="0"/>
                      <w:szCs w:val="21"/>
                      <w:highlight w:val="none"/>
                    </w:rPr>
                    <w:t>月</w:t>
                  </w:r>
                  <w:r>
                    <w:rPr>
                      <w:rFonts w:hint="eastAsia"/>
                      <w:color w:val="auto"/>
                      <w:kern w:val="0"/>
                      <w:szCs w:val="21"/>
                      <w:highlight w:val="none"/>
                      <w:lang w:val="en-US" w:eastAsia="zh-CN"/>
                    </w:rPr>
                    <w:t>19</w:t>
                  </w:r>
                  <w:r>
                    <w:rPr>
                      <w:rFonts w:hint="eastAsia"/>
                      <w:color w:val="auto"/>
                      <w:kern w:val="0"/>
                      <w:szCs w:val="21"/>
                      <w:highlight w:val="none"/>
                    </w:rPr>
                    <w:t>日巴彦淖尔市自然资源局下发《</w:t>
                  </w:r>
                  <w:r>
                    <w:rPr>
                      <w:rFonts w:hint="eastAsia"/>
                      <w:color w:val="auto"/>
                      <w:kern w:val="0"/>
                      <w:szCs w:val="21"/>
                      <w:highlight w:val="none"/>
                      <w:lang w:eastAsia="zh-CN"/>
                    </w:rPr>
                    <w:t>巴彦淖尔市自然资源局关于中国石油天然气股份有限公司华北油田巴彦勘探开发分公司扎格6井项目临时用地的批复</w:t>
                  </w:r>
                  <w:r>
                    <w:rPr>
                      <w:rFonts w:hint="eastAsia"/>
                      <w:color w:val="auto"/>
                      <w:kern w:val="0"/>
                      <w:szCs w:val="21"/>
                      <w:highlight w:val="none"/>
                    </w:rPr>
                    <w:t>》（</w:t>
                  </w:r>
                  <w:r>
                    <w:rPr>
                      <w:rFonts w:hint="eastAsia"/>
                      <w:color w:val="auto"/>
                      <w:kern w:val="0"/>
                      <w:szCs w:val="21"/>
                      <w:highlight w:val="none"/>
                      <w:lang w:eastAsia="zh-CN"/>
                    </w:rPr>
                    <w:t>巴自然资字〔2024〕85号</w:t>
                  </w:r>
                  <w:r>
                    <w:rPr>
                      <w:rFonts w:hint="eastAsia"/>
                      <w:color w:val="auto"/>
                      <w:kern w:val="0"/>
                      <w:szCs w:val="21"/>
                      <w:highlight w:val="none"/>
                    </w:rPr>
                    <w:t>），同意</w:t>
                  </w:r>
                  <w:r>
                    <w:rPr>
                      <w:rFonts w:hint="eastAsia"/>
                      <w:color w:val="auto"/>
                      <w:kern w:val="0"/>
                      <w:szCs w:val="21"/>
                      <w:highlight w:val="none"/>
                      <w:lang w:eastAsia="zh-CN"/>
                    </w:rPr>
                    <w:t>扎格</w:t>
                  </w:r>
                  <w:r>
                    <w:rPr>
                      <w:rFonts w:hint="eastAsia"/>
                      <w:color w:val="auto"/>
                      <w:kern w:val="0"/>
                      <w:szCs w:val="21"/>
                      <w:highlight w:val="none"/>
                      <w:lang w:val="en-US" w:eastAsia="zh-CN"/>
                    </w:rPr>
                    <w:t>6</w:t>
                  </w:r>
                  <w:r>
                    <w:rPr>
                      <w:rFonts w:hint="eastAsia"/>
                      <w:color w:val="auto"/>
                      <w:kern w:val="0"/>
                      <w:szCs w:val="21"/>
                      <w:highlight w:val="none"/>
                    </w:rPr>
                    <w:t>井临时用地。</w:t>
                  </w:r>
                </w:p>
              </w:tc>
            </w:tr>
            <w:tr w14:paraId="3A1FA3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5" w:hRule="atLeast"/>
                <w:jc w:val="center"/>
              </w:trPr>
              <w:tc>
                <w:tcPr>
                  <w:tcW w:w="321" w:type="pct"/>
                  <w:noWrap w:val="0"/>
                  <w:vAlign w:val="center"/>
                </w:tcPr>
                <w:p w14:paraId="26A1237A">
                  <w:pPr>
                    <w:keepNext w:val="0"/>
                    <w:keepLines w:val="0"/>
                    <w:widowControl/>
                    <w:suppressLineNumbers w:val="0"/>
                    <w:snapToGrid w:val="0"/>
                    <w:spacing w:before="0" w:beforeAutospacing="0" w:after="0" w:afterAutospacing="0"/>
                    <w:ind w:left="0" w:right="0"/>
                    <w:rPr>
                      <w:rFonts w:hint="default"/>
                      <w:color w:val="auto"/>
                      <w:kern w:val="0"/>
                      <w:szCs w:val="21"/>
                    </w:rPr>
                  </w:pPr>
                  <w:r>
                    <w:rPr>
                      <w:rFonts w:hint="default"/>
                      <w:color w:val="auto"/>
                      <w:kern w:val="0"/>
                      <w:szCs w:val="21"/>
                    </w:rPr>
                    <w:t>4.</w:t>
                  </w:r>
                  <w:r>
                    <w:rPr>
                      <w:rFonts w:hint="eastAsia"/>
                      <w:color w:val="auto"/>
                      <w:kern w:val="0"/>
                      <w:szCs w:val="21"/>
                    </w:rPr>
                    <w:t>2</w:t>
                  </w:r>
                </w:p>
              </w:tc>
              <w:tc>
                <w:tcPr>
                  <w:tcW w:w="2324" w:type="pct"/>
                  <w:noWrap w:val="0"/>
                  <w:vAlign w:val="center"/>
                </w:tcPr>
                <w:p w14:paraId="58819789">
                  <w:pPr>
                    <w:keepNext w:val="0"/>
                    <w:keepLines w:val="0"/>
                    <w:widowControl/>
                    <w:suppressLineNumbers w:val="0"/>
                    <w:snapToGrid w:val="0"/>
                    <w:spacing w:before="0" w:beforeAutospacing="0" w:after="0" w:afterAutospacing="0"/>
                    <w:ind w:left="0" w:right="0"/>
                    <w:rPr>
                      <w:rFonts w:hint="default"/>
                      <w:color w:val="auto"/>
                      <w:kern w:val="0"/>
                      <w:szCs w:val="21"/>
                    </w:rPr>
                  </w:pPr>
                  <w:r>
                    <w:rPr>
                      <w:rFonts w:hint="default"/>
                      <w:color w:val="auto"/>
                      <w:kern w:val="0"/>
                      <w:szCs w:val="21"/>
                    </w:rPr>
                    <w:t>矿产资源开发活动应符合国家</w:t>
                  </w:r>
                  <w:r>
                    <w:rPr>
                      <w:rFonts w:hint="eastAsia"/>
                      <w:color w:val="auto"/>
                      <w:kern w:val="0"/>
                      <w:szCs w:val="21"/>
                    </w:rPr>
                    <w:t>和</w:t>
                  </w:r>
                  <w:r>
                    <w:rPr>
                      <w:rFonts w:hint="default"/>
                      <w:color w:val="auto"/>
                      <w:kern w:val="0"/>
                      <w:szCs w:val="21"/>
                    </w:rPr>
                    <w:t>区域主体功能区规划、生态功能</w:t>
                  </w:r>
                  <w:r>
                    <w:rPr>
                      <w:rFonts w:hint="default"/>
                      <w:color w:val="auto"/>
                      <w:kern w:val="0"/>
                      <w:szCs w:val="21"/>
                      <w:highlight w:val="none"/>
                    </w:rPr>
                    <w:t>区</w:t>
                  </w:r>
                  <w:r>
                    <w:rPr>
                      <w:rFonts w:hint="default"/>
                      <w:color w:val="auto"/>
                      <w:kern w:val="0"/>
                      <w:szCs w:val="21"/>
                    </w:rPr>
                    <w:t>划、生态环境保护规划的要求，采取有效预防</w:t>
                  </w:r>
                  <w:r>
                    <w:rPr>
                      <w:rFonts w:hint="eastAsia"/>
                      <w:color w:val="auto"/>
                      <w:kern w:val="0"/>
                      <w:szCs w:val="21"/>
                    </w:rPr>
                    <w:t>和</w:t>
                  </w:r>
                  <w:r>
                    <w:rPr>
                      <w:rFonts w:hint="default"/>
                      <w:color w:val="auto"/>
                      <w:kern w:val="0"/>
                      <w:szCs w:val="21"/>
                    </w:rPr>
                    <w:t>保护措施，避免或减轻矿产资源开发活动造成的生态破坏和环境污染。</w:t>
                  </w:r>
                </w:p>
              </w:tc>
              <w:tc>
                <w:tcPr>
                  <w:tcW w:w="2354" w:type="pct"/>
                  <w:noWrap w:val="0"/>
                  <w:tcMar>
                    <w:left w:w="0" w:type="dxa"/>
                    <w:right w:w="0" w:type="dxa"/>
                  </w:tcMar>
                  <w:vAlign w:val="center"/>
                </w:tcPr>
                <w:p w14:paraId="4997C0C2">
                  <w:pPr>
                    <w:keepNext w:val="0"/>
                    <w:keepLines w:val="0"/>
                    <w:widowControl/>
                    <w:suppressLineNumbers w:val="0"/>
                    <w:snapToGrid w:val="0"/>
                    <w:spacing w:before="0" w:beforeAutospacing="0" w:after="0" w:afterAutospacing="0"/>
                    <w:ind w:left="0" w:right="0" w:firstLine="420" w:firstLineChars="200"/>
                    <w:rPr>
                      <w:rFonts w:hint="default"/>
                      <w:color w:val="auto"/>
                      <w:kern w:val="0"/>
                      <w:szCs w:val="21"/>
                    </w:rPr>
                  </w:pPr>
                  <w:r>
                    <w:rPr>
                      <w:rFonts w:hint="default"/>
                      <w:color w:val="auto"/>
                      <w:kern w:val="0"/>
                      <w:szCs w:val="21"/>
                    </w:rPr>
                    <w:t>中华人民共和国自然资源部颁发内蒙古河套盆地吉锦油气勘查证书（</w:t>
                  </w:r>
                  <w:r>
                    <w:rPr>
                      <w:rFonts w:hint="default"/>
                      <w:color w:val="auto"/>
                      <w:szCs w:val="21"/>
                    </w:rPr>
                    <w:t>T1000002020121018000204</w:t>
                  </w:r>
                  <w:r>
                    <w:rPr>
                      <w:rFonts w:hint="default"/>
                      <w:color w:val="auto"/>
                      <w:kern w:val="0"/>
                      <w:szCs w:val="21"/>
                    </w:rPr>
                    <w:t>），同意中国石油天然气股份有限公司华北油田巴彦勘探开发分公司在矿权范围开展油气勘探工作。</w:t>
                  </w:r>
                </w:p>
                <w:p w14:paraId="0E51F30D">
                  <w:pPr>
                    <w:keepNext w:val="0"/>
                    <w:keepLines w:val="0"/>
                    <w:widowControl/>
                    <w:suppressLineNumbers w:val="0"/>
                    <w:snapToGrid w:val="0"/>
                    <w:spacing w:before="0" w:beforeAutospacing="0" w:after="0" w:afterAutospacing="0"/>
                    <w:ind w:left="0" w:right="0" w:firstLine="420" w:firstLineChars="200"/>
                    <w:rPr>
                      <w:rFonts w:hint="eastAsia"/>
                      <w:color w:val="auto"/>
                      <w:kern w:val="0"/>
                      <w:szCs w:val="21"/>
                      <w:lang w:eastAsia="zh-CN"/>
                    </w:rPr>
                  </w:pPr>
                  <w:r>
                    <w:rPr>
                      <w:rFonts w:hint="eastAsia"/>
                      <w:color w:val="auto"/>
                      <w:kern w:val="0"/>
                      <w:szCs w:val="21"/>
                    </w:rPr>
                    <w:t>项目符合国家和区域主体功能区规划、生态功能区划、生态环境保护规划的要求</w:t>
                  </w:r>
                  <w:r>
                    <w:rPr>
                      <w:rFonts w:hint="eastAsia"/>
                      <w:color w:val="auto"/>
                      <w:kern w:val="0"/>
                      <w:szCs w:val="21"/>
                      <w:lang w:eastAsia="zh-CN"/>
                    </w:rPr>
                    <w:t>。</w:t>
                  </w:r>
                </w:p>
                <w:p w14:paraId="644F646C">
                  <w:pPr>
                    <w:keepNext w:val="0"/>
                    <w:keepLines w:val="0"/>
                    <w:widowControl/>
                    <w:suppressLineNumbers w:val="0"/>
                    <w:snapToGrid w:val="0"/>
                    <w:spacing w:before="0" w:beforeAutospacing="0" w:after="0" w:afterAutospacing="0"/>
                    <w:ind w:left="0" w:right="0" w:firstLine="420" w:firstLineChars="200"/>
                    <w:rPr>
                      <w:rFonts w:hint="default"/>
                      <w:color w:val="auto"/>
                      <w:kern w:val="0"/>
                      <w:szCs w:val="21"/>
                    </w:rPr>
                  </w:pPr>
                  <w:r>
                    <w:rPr>
                      <w:rFonts w:hint="eastAsia"/>
                      <w:color w:val="auto"/>
                      <w:kern w:val="0"/>
                      <w:szCs w:val="21"/>
                      <w:lang w:eastAsia="zh-CN"/>
                    </w:rPr>
                    <w:t>勘探结束后，若不具备开采价值，则进行封井封场处理，采取减缓生态环境影响措施，对用地范围内进行地表清理、表土回覆、平整、翻耕等有效措施对占用的基本农田及时复垦。在严格落实防治措施的前提下，可</w:t>
                  </w:r>
                  <w:r>
                    <w:rPr>
                      <w:rFonts w:hint="default"/>
                      <w:color w:val="auto"/>
                      <w:kern w:val="0"/>
                      <w:szCs w:val="21"/>
                    </w:rPr>
                    <w:t>有效减轻对生态的破坏和环境污染。</w:t>
                  </w:r>
                </w:p>
              </w:tc>
            </w:tr>
            <w:tr w14:paraId="12426B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36" w:hRule="atLeast"/>
                <w:jc w:val="center"/>
              </w:trPr>
              <w:tc>
                <w:tcPr>
                  <w:tcW w:w="321" w:type="pct"/>
                  <w:noWrap w:val="0"/>
                  <w:vAlign w:val="center"/>
                </w:tcPr>
                <w:p w14:paraId="50EF5C7E">
                  <w:pPr>
                    <w:keepNext w:val="0"/>
                    <w:keepLines w:val="0"/>
                    <w:widowControl/>
                    <w:suppressLineNumbers w:val="0"/>
                    <w:snapToGrid w:val="0"/>
                    <w:spacing w:before="0" w:beforeAutospacing="0" w:after="0" w:afterAutospacing="0" w:line="240" w:lineRule="exact"/>
                    <w:ind w:left="0" w:right="0"/>
                    <w:rPr>
                      <w:rFonts w:hint="default" w:hAnsi="宋体"/>
                      <w:color w:val="auto"/>
                      <w:kern w:val="0"/>
                      <w:szCs w:val="21"/>
                    </w:rPr>
                  </w:pPr>
                  <w:r>
                    <w:rPr>
                      <w:rFonts w:hint="eastAsia" w:hAnsi="宋体"/>
                      <w:color w:val="auto"/>
                      <w:kern w:val="0"/>
                      <w:szCs w:val="21"/>
                    </w:rPr>
                    <w:t>4.3</w:t>
                  </w:r>
                </w:p>
              </w:tc>
              <w:tc>
                <w:tcPr>
                  <w:tcW w:w="2324" w:type="pct"/>
                  <w:noWrap w:val="0"/>
                  <w:vAlign w:val="center"/>
                </w:tcPr>
                <w:p w14:paraId="2A0A92AA">
                  <w:pPr>
                    <w:keepNext w:val="0"/>
                    <w:keepLines w:val="0"/>
                    <w:widowControl/>
                    <w:suppressLineNumbers w:val="0"/>
                    <w:snapToGrid w:val="0"/>
                    <w:spacing w:before="0" w:beforeAutospacing="0" w:after="0" w:afterAutospacing="0"/>
                    <w:ind w:left="0" w:right="0"/>
                    <w:rPr>
                      <w:rFonts w:hint="default"/>
                      <w:color w:val="auto"/>
                      <w:kern w:val="0"/>
                      <w:szCs w:val="21"/>
                    </w:rPr>
                  </w:pPr>
                  <w:r>
                    <w:rPr>
                      <w:rFonts w:hint="eastAsia"/>
                      <w:color w:val="auto"/>
                      <w:kern w:val="0"/>
                      <w:szCs w:val="21"/>
                    </w:rPr>
                    <w:t>坚持“预防为主、防治结合、过程控制”的原则，将矿山生态环境保护与恢复治理贯穿矿产资源开发的全过程。根据矿山生态环境保护与恢复治理的重点任务，合理确定矿山生态保护与恢复治理分区，优化矿山生产与生活空间格局。采用新技术、新方法、新工艺提高矿山生态环境保护和恢复治理水平。</w:t>
                  </w:r>
                </w:p>
              </w:tc>
              <w:tc>
                <w:tcPr>
                  <w:tcW w:w="2354" w:type="pct"/>
                  <w:noWrap w:val="0"/>
                  <w:vAlign w:val="center"/>
                </w:tcPr>
                <w:p w14:paraId="13C941B9">
                  <w:pPr>
                    <w:keepNext w:val="0"/>
                    <w:keepLines w:val="0"/>
                    <w:widowControl/>
                    <w:suppressLineNumbers w:val="0"/>
                    <w:snapToGrid w:val="0"/>
                    <w:spacing w:before="0" w:beforeAutospacing="0" w:after="0" w:afterAutospacing="0"/>
                    <w:ind w:left="0" w:right="0" w:firstLine="420" w:firstLineChars="200"/>
                    <w:rPr>
                      <w:rFonts w:hint="default"/>
                      <w:color w:val="auto"/>
                      <w:kern w:val="0"/>
                      <w:szCs w:val="21"/>
                    </w:rPr>
                  </w:pPr>
                  <w:r>
                    <w:rPr>
                      <w:rFonts w:hint="eastAsia"/>
                      <w:color w:val="auto"/>
                      <w:kern w:val="0"/>
                      <w:szCs w:val="21"/>
                      <w:lang w:eastAsia="zh-CN"/>
                    </w:rPr>
                    <w:t>本工程</w:t>
                  </w:r>
                  <w:r>
                    <w:rPr>
                      <w:rFonts w:hint="default"/>
                      <w:color w:val="auto"/>
                      <w:kern w:val="0"/>
                      <w:szCs w:val="21"/>
                    </w:rPr>
                    <w:t>在实施过程中坚持</w:t>
                  </w:r>
                  <w:r>
                    <w:rPr>
                      <w:rFonts w:hint="eastAsia"/>
                      <w:color w:val="auto"/>
                      <w:kern w:val="0"/>
                      <w:szCs w:val="21"/>
                    </w:rPr>
                    <w:t>“</w:t>
                  </w:r>
                  <w:r>
                    <w:rPr>
                      <w:rFonts w:hint="default"/>
                      <w:color w:val="auto"/>
                      <w:kern w:val="0"/>
                      <w:szCs w:val="21"/>
                    </w:rPr>
                    <w:t>预防为主、防治结合、过程控制</w:t>
                  </w:r>
                  <w:r>
                    <w:rPr>
                      <w:rFonts w:hint="eastAsia"/>
                      <w:color w:val="auto"/>
                      <w:kern w:val="0"/>
                      <w:szCs w:val="21"/>
                    </w:rPr>
                    <w:t>”</w:t>
                  </w:r>
                  <w:r>
                    <w:rPr>
                      <w:rFonts w:hint="default"/>
                      <w:color w:val="auto"/>
                      <w:kern w:val="0"/>
                      <w:szCs w:val="21"/>
                    </w:rPr>
                    <w:t>的原则，将生态环境保护与恢复治理贯穿油气资源开发的全过程。</w:t>
                  </w:r>
                </w:p>
              </w:tc>
            </w:tr>
            <w:tr w14:paraId="0B32B7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637" w:hRule="atLeast"/>
                <w:jc w:val="center"/>
              </w:trPr>
              <w:tc>
                <w:tcPr>
                  <w:tcW w:w="321" w:type="pct"/>
                  <w:noWrap w:val="0"/>
                  <w:vAlign w:val="center"/>
                </w:tcPr>
                <w:p w14:paraId="3D86EAAD">
                  <w:pPr>
                    <w:keepNext w:val="0"/>
                    <w:keepLines w:val="0"/>
                    <w:widowControl/>
                    <w:suppressLineNumbers w:val="0"/>
                    <w:snapToGrid w:val="0"/>
                    <w:spacing w:before="0" w:beforeAutospacing="0" w:after="0" w:afterAutospacing="0"/>
                    <w:ind w:left="0" w:right="0"/>
                    <w:rPr>
                      <w:rFonts w:hint="default"/>
                      <w:color w:val="auto"/>
                      <w:kern w:val="0"/>
                      <w:szCs w:val="21"/>
                    </w:rPr>
                  </w:pPr>
                  <w:r>
                    <w:rPr>
                      <w:rFonts w:hint="default"/>
                      <w:color w:val="auto"/>
                      <w:kern w:val="0"/>
                      <w:szCs w:val="21"/>
                    </w:rPr>
                    <w:t>5.7</w:t>
                  </w:r>
                </w:p>
              </w:tc>
              <w:tc>
                <w:tcPr>
                  <w:tcW w:w="2324" w:type="pct"/>
                  <w:noWrap w:val="0"/>
                  <w:vAlign w:val="center"/>
                </w:tcPr>
                <w:p w14:paraId="12D24724">
                  <w:pPr>
                    <w:keepNext w:val="0"/>
                    <w:keepLines w:val="0"/>
                    <w:widowControl/>
                    <w:suppressLineNumbers w:val="0"/>
                    <w:snapToGrid w:val="0"/>
                    <w:spacing w:before="0" w:beforeAutospacing="0" w:after="0" w:afterAutospacing="0"/>
                    <w:ind w:left="0" w:right="0"/>
                    <w:rPr>
                      <w:rFonts w:hint="default"/>
                      <w:color w:val="auto"/>
                      <w:kern w:val="0"/>
                      <w:szCs w:val="21"/>
                    </w:rPr>
                  </w:pPr>
                  <w:r>
                    <w:rPr>
                      <w:rFonts w:hint="default"/>
                      <w:color w:val="auto"/>
                      <w:kern w:val="0"/>
                      <w:szCs w:val="21"/>
                    </w:rPr>
                    <w:t>采矿产生的固体废物，应在专用场所堆放，并采取措施防止二次污染；禁止向河流、湖泊、水库等水体及行洪渠道排放岩土、含油垃圾、泥浆、煤渣、煤</w:t>
                  </w:r>
                  <w:r>
                    <w:rPr>
                      <w:rFonts w:hint="eastAsia"/>
                      <w:color w:val="auto"/>
                      <w:kern w:val="0"/>
                      <w:szCs w:val="21"/>
                    </w:rPr>
                    <w:t>矸</w:t>
                  </w:r>
                  <w:r>
                    <w:rPr>
                      <w:rFonts w:hint="default"/>
                      <w:color w:val="auto"/>
                      <w:kern w:val="0"/>
                      <w:szCs w:val="21"/>
                    </w:rPr>
                    <w:t>石和其他固体废物。</w:t>
                  </w:r>
                </w:p>
              </w:tc>
              <w:tc>
                <w:tcPr>
                  <w:tcW w:w="2354" w:type="pct"/>
                  <w:noWrap w:val="0"/>
                  <w:vAlign w:val="center"/>
                </w:tcPr>
                <w:p w14:paraId="433C4236">
                  <w:pPr>
                    <w:keepNext w:val="0"/>
                    <w:keepLines w:val="0"/>
                    <w:widowControl/>
                    <w:suppressLineNumbers w:val="0"/>
                    <w:snapToGrid w:val="0"/>
                    <w:spacing w:before="0" w:beforeAutospacing="0" w:after="0" w:afterAutospacing="0"/>
                    <w:ind w:left="0" w:right="0" w:firstLine="420" w:firstLineChars="200"/>
                    <w:rPr>
                      <w:rFonts w:hint="default"/>
                      <w:color w:val="auto"/>
                      <w:kern w:val="0"/>
                      <w:szCs w:val="21"/>
                    </w:rPr>
                  </w:pPr>
                  <w:r>
                    <w:rPr>
                      <w:rFonts w:hint="eastAsia"/>
                      <w:color w:val="auto"/>
                      <w:kern w:val="0"/>
                      <w:szCs w:val="21"/>
                      <w:lang w:eastAsia="zh-CN"/>
                    </w:rPr>
                    <w:t>本项目采用泥浆不落地工艺，分离产生的固相废弃泥浆、岩屑（泥饼）拉运至内蒙古联源热电有限公司固废处置场填埋。</w:t>
                  </w:r>
                </w:p>
              </w:tc>
            </w:tr>
            <w:tr w14:paraId="4B4E91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884" w:hRule="atLeast"/>
                <w:jc w:val="center"/>
              </w:trPr>
              <w:tc>
                <w:tcPr>
                  <w:tcW w:w="321" w:type="pct"/>
                  <w:noWrap w:val="0"/>
                  <w:vAlign w:val="center"/>
                </w:tcPr>
                <w:p w14:paraId="508176B0">
                  <w:pPr>
                    <w:keepNext w:val="0"/>
                    <w:keepLines w:val="0"/>
                    <w:widowControl/>
                    <w:suppressLineNumbers w:val="0"/>
                    <w:snapToGrid w:val="0"/>
                    <w:spacing w:before="0" w:beforeAutospacing="0" w:after="0" w:afterAutospacing="0"/>
                    <w:ind w:left="0" w:right="0"/>
                    <w:rPr>
                      <w:rFonts w:hint="default"/>
                      <w:color w:val="auto"/>
                      <w:kern w:val="0"/>
                      <w:szCs w:val="21"/>
                    </w:rPr>
                  </w:pPr>
                  <w:r>
                    <w:rPr>
                      <w:rFonts w:hint="default"/>
                      <w:color w:val="auto"/>
                      <w:kern w:val="0"/>
                      <w:szCs w:val="21"/>
                    </w:rPr>
                    <w:t>5.8</w:t>
                  </w:r>
                </w:p>
              </w:tc>
              <w:tc>
                <w:tcPr>
                  <w:tcW w:w="2324" w:type="pct"/>
                  <w:noWrap w:val="0"/>
                  <w:vAlign w:val="center"/>
                </w:tcPr>
                <w:p w14:paraId="3CA7B657">
                  <w:pPr>
                    <w:keepNext w:val="0"/>
                    <w:keepLines w:val="0"/>
                    <w:widowControl/>
                    <w:suppressLineNumbers w:val="0"/>
                    <w:snapToGrid w:val="0"/>
                    <w:spacing w:before="0" w:beforeAutospacing="0" w:after="0" w:afterAutospacing="0"/>
                    <w:ind w:left="0" w:right="0"/>
                    <w:rPr>
                      <w:rFonts w:hint="default"/>
                      <w:color w:val="auto"/>
                      <w:kern w:val="0"/>
                      <w:szCs w:val="21"/>
                    </w:rPr>
                  </w:pPr>
                  <w:r>
                    <w:rPr>
                      <w:rFonts w:hint="default"/>
                      <w:color w:val="auto"/>
                      <w:kern w:val="0"/>
                      <w:szCs w:val="21"/>
                    </w:rPr>
                    <w:t>评估采矿活动对地表</w:t>
                  </w:r>
                  <w:r>
                    <w:rPr>
                      <w:rFonts w:hint="eastAsia"/>
                      <w:color w:val="auto"/>
                      <w:kern w:val="0"/>
                      <w:szCs w:val="21"/>
                    </w:rPr>
                    <w:t>水</w:t>
                  </w:r>
                  <w:r>
                    <w:rPr>
                      <w:rFonts w:hint="default"/>
                      <w:color w:val="auto"/>
                      <w:kern w:val="0"/>
                      <w:szCs w:val="21"/>
                    </w:rPr>
                    <w:t>和地下水的影响，避免破坏流域水平衡</w:t>
                  </w:r>
                  <w:r>
                    <w:rPr>
                      <w:rFonts w:hint="eastAsia"/>
                      <w:color w:val="auto"/>
                      <w:kern w:val="0"/>
                      <w:szCs w:val="21"/>
                    </w:rPr>
                    <w:t>和</w:t>
                  </w:r>
                  <w:r>
                    <w:rPr>
                      <w:rFonts w:hint="default"/>
                      <w:color w:val="auto"/>
                      <w:kern w:val="0"/>
                      <w:szCs w:val="21"/>
                    </w:rPr>
                    <w:t>污染水环境；采矿区与河道之间应保留环境安全距离，防止采矿对河流生物、河岸植被、河流水环境功能和防洪安全造成破坏性影响。</w:t>
                  </w:r>
                </w:p>
              </w:tc>
              <w:tc>
                <w:tcPr>
                  <w:tcW w:w="2354" w:type="pct"/>
                  <w:noWrap w:val="0"/>
                  <w:vAlign w:val="center"/>
                </w:tcPr>
                <w:p w14:paraId="3325ACEA">
                  <w:pPr>
                    <w:keepNext w:val="0"/>
                    <w:keepLines w:val="0"/>
                    <w:suppressLineNumbers w:val="0"/>
                    <w:snapToGrid w:val="0"/>
                    <w:spacing w:before="0" w:beforeAutospacing="0" w:after="0" w:afterAutospacing="0"/>
                    <w:ind w:left="0" w:right="0" w:firstLine="420" w:firstLineChars="200"/>
                    <w:rPr>
                      <w:rFonts w:hint="eastAsia"/>
                      <w:color w:val="auto"/>
                      <w:kern w:val="0"/>
                      <w:szCs w:val="21"/>
                      <w:lang w:eastAsia="zh-CN"/>
                    </w:rPr>
                  </w:pPr>
                  <w:r>
                    <w:rPr>
                      <w:rFonts w:hint="eastAsia"/>
                      <w:color w:val="auto"/>
                      <w:kern w:val="0"/>
                      <w:szCs w:val="21"/>
                      <w:lang w:eastAsia="zh-CN"/>
                    </w:rPr>
                    <w:t>本工程</w:t>
                  </w:r>
                  <w:r>
                    <w:rPr>
                      <w:rFonts w:hint="default"/>
                      <w:color w:val="auto"/>
                      <w:kern w:val="0"/>
                      <w:szCs w:val="21"/>
                    </w:rPr>
                    <w:t>废水不外排</w:t>
                  </w:r>
                  <w:r>
                    <w:rPr>
                      <w:rFonts w:hint="eastAsia"/>
                      <w:color w:val="auto"/>
                      <w:kern w:val="0"/>
                      <w:szCs w:val="21"/>
                      <w:lang w:eastAsia="zh-CN"/>
                    </w:rPr>
                    <w:t>，采用“泥浆不落地工艺技术”，泥浆不落地工艺系统将过程处理和终端处理合为一体，不需修建泥浆池，既有效减小了钻井废物的环境污染隐患，也减少了钻前施工及占地成本，做到了井场清洁化生产，真正实现了陆上钻井“零排放”的目标。</w:t>
                  </w:r>
                </w:p>
                <w:p w14:paraId="4CEFB7CF">
                  <w:pPr>
                    <w:keepNext w:val="0"/>
                    <w:keepLines w:val="0"/>
                    <w:suppressLineNumbers w:val="0"/>
                    <w:snapToGrid w:val="0"/>
                    <w:spacing w:before="0" w:beforeAutospacing="0" w:after="0" w:afterAutospacing="0"/>
                    <w:ind w:left="0" w:right="0" w:firstLine="420" w:firstLineChars="200"/>
                    <w:rPr>
                      <w:rFonts w:hint="eastAsia"/>
                      <w:color w:val="auto"/>
                      <w:kern w:val="0"/>
                      <w:szCs w:val="21"/>
                      <w:lang w:eastAsia="zh-CN"/>
                    </w:rPr>
                  </w:pPr>
                  <w:r>
                    <w:rPr>
                      <w:rFonts w:hint="eastAsia"/>
                      <w:color w:val="auto"/>
                      <w:kern w:val="0"/>
                      <w:szCs w:val="21"/>
                      <w:lang w:eastAsia="zh-CN"/>
                    </w:rPr>
                    <w:t>本工程钻进过程中保持平衡操作，并对钻井液进行实时监控。采用无毒的钻井液，配备足够量、高效的堵漏剂等，防止钻井液泄漏。每次钻井结束后的固井作业可有效封隔地层与套管之间的环空，防止污染地下水。同时将井场进行分区防渗，主要分为重点防渗区、一般防渗区和简单防渗区，防止对地表水和地下水的影响。</w:t>
                  </w:r>
                </w:p>
                <w:p w14:paraId="4107F7A2">
                  <w:pPr>
                    <w:keepNext w:val="0"/>
                    <w:keepLines w:val="0"/>
                    <w:suppressLineNumbers w:val="0"/>
                    <w:snapToGrid w:val="0"/>
                    <w:spacing w:before="0" w:beforeAutospacing="0" w:after="0" w:afterAutospacing="0"/>
                    <w:ind w:left="0" w:right="0"/>
                    <w:rPr>
                      <w:rFonts w:hint="default"/>
                      <w:color w:val="auto"/>
                      <w:kern w:val="0"/>
                      <w:szCs w:val="21"/>
                    </w:rPr>
                  </w:pPr>
                </w:p>
              </w:tc>
            </w:tr>
            <w:tr w14:paraId="519104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42" w:hRule="atLeast"/>
                <w:jc w:val="center"/>
              </w:trPr>
              <w:tc>
                <w:tcPr>
                  <w:tcW w:w="321" w:type="pct"/>
                  <w:noWrap w:val="0"/>
                  <w:vAlign w:val="center"/>
                </w:tcPr>
                <w:p w14:paraId="1E32A2CE">
                  <w:pPr>
                    <w:keepNext w:val="0"/>
                    <w:keepLines w:val="0"/>
                    <w:widowControl/>
                    <w:suppressLineNumbers w:val="0"/>
                    <w:snapToGrid w:val="0"/>
                    <w:spacing w:before="0" w:beforeAutospacing="0" w:after="0" w:afterAutospacing="0"/>
                    <w:ind w:left="0" w:right="0"/>
                    <w:rPr>
                      <w:rFonts w:hint="default"/>
                      <w:color w:val="auto"/>
                      <w:kern w:val="0"/>
                      <w:szCs w:val="21"/>
                    </w:rPr>
                  </w:pPr>
                  <w:r>
                    <w:rPr>
                      <w:rFonts w:hint="default"/>
                      <w:color w:val="auto"/>
                      <w:kern w:val="0"/>
                      <w:szCs w:val="21"/>
                    </w:rPr>
                    <w:t>5.9</w:t>
                  </w:r>
                </w:p>
              </w:tc>
              <w:tc>
                <w:tcPr>
                  <w:tcW w:w="2324" w:type="pct"/>
                  <w:noWrap w:val="0"/>
                  <w:vAlign w:val="center"/>
                </w:tcPr>
                <w:p w14:paraId="02C913FA">
                  <w:pPr>
                    <w:keepNext w:val="0"/>
                    <w:keepLines w:val="0"/>
                    <w:widowControl/>
                    <w:suppressLineNumbers w:val="0"/>
                    <w:snapToGrid w:val="0"/>
                    <w:spacing w:before="0" w:beforeAutospacing="0" w:after="0" w:afterAutospacing="0"/>
                    <w:ind w:left="0" w:right="0"/>
                    <w:rPr>
                      <w:rFonts w:hint="default"/>
                      <w:color w:val="auto"/>
                      <w:kern w:val="0"/>
                      <w:szCs w:val="21"/>
                    </w:rPr>
                  </w:pPr>
                  <w:r>
                    <w:rPr>
                      <w:rFonts w:hint="default"/>
                      <w:color w:val="auto"/>
                      <w:kern w:val="0"/>
                      <w:szCs w:val="21"/>
                    </w:rPr>
                    <w:t>矿区专用道路选线应绕避环境敏感区和环境敏</w:t>
                  </w:r>
                  <w:r>
                    <w:rPr>
                      <w:rFonts w:hint="eastAsia"/>
                      <w:color w:val="auto"/>
                      <w:kern w:val="0"/>
                      <w:szCs w:val="21"/>
                    </w:rPr>
                    <w:t>感</w:t>
                  </w:r>
                  <w:r>
                    <w:rPr>
                      <w:rFonts w:hint="default"/>
                      <w:color w:val="auto"/>
                      <w:kern w:val="0"/>
                      <w:szCs w:val="21"/>
                    </w:rPr>
                    <w:t>点，防止对环境保护目标造成不利影响。</w:t>
                  </w:r>
                </w:p>
              </w:tc>
              <w:tc>
                <w:tcPr>
                  <w:tcW w:w="2354" w:type="pct"/>
                  <w:noWrap w:val="0"/>
                  <w:vAlign w:val="center"/>
                </w:tcPr>
                <w:p w14:paraId="1E18218A">
                  <w:pPr>
                    <w:keepNext w:val="0"/>
                    <w:keepLines w:val="0"/>
                    <w:widowControl/>
                    <w:suppressLineNumbers w:val="0"/>
                    <w:snapToGrid w:val="0"/>
                    <w:spacing w:before="0" w:beforeAutospacing="0" w:after="0" w:afterAutospacing="0"/>
                    <w:ind w:left="0" w:right="0" w:firstLine="420" w:firstLineChars="200"/>
                    <w:rPr>
                      <w:rFonts w:hint="default"/>
                      <w:color w:val="auto"/>
                      <w:kern w:val="0"/>
                      <w:szCs w:val="21"/>
                    </w:rPr>
                  </w:pPr>
                  <w:r>
                    <w:rPr>
                      <w:rFonts w:hint="eastAsia"/>
                      <w:color w:val="auto"/>
                      <w:kern w:val="0"/>
                      <w:szCs w:val="21"/>
                      <w:lang w:eastAsia="zh-CN"/>
                    </w:rPr>
                    <w:t>本工程</w:t>
                  </w:r>
                  <w:r>
                    <w:rPr>
                      <w:rFonts w:hint="default"/>
                      <w:color w:val="auto"/>
                      <w:kern w:val="0"/>
                      <w:szCs w:val="21"/>
                    </w:rPr>
                    <w:t>充分利用现有乡村道路，新建少量进场道路</w:t>
                  </w:r>
                  <w:r>
                    <w:rPr>
                      <w:rFonts w:hint="eastAsia"/>
                      <w:color w:val="auto"/>
                      <w:kern w:val="0"/>
                      <w:szCs w:val="21"/>
                    </w:rPr>
                    <w:t>；运输车辆通过时减速慢行，合理调配车辆来往行车密度，尽量避开附近村民休息时间。</w:t>
                  </w:r>
                </w:p>
              </w:tc>
            </w:tr>
            <w:tr w14:paraId="51CCCA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96" w:hRule="atLeast"/>
                <w:jc w:val="center"/>
              </w:trPr>
              <w:tc>
                <w:tcPr>
                  <w:tcW w:w="321" w:type="pct"/>
                  <w:noWrap w:val="0"/>
                  <w:vAlign w:val="center"/>
                </w:tcPr>
                <w:p w14:paraId="3FE576EC">
                  <w:pPr>
                    <w:keepNext w:val="0"/>
                    <w:keepLines w:val="0"/>
                    <w:widowControl/>
                    <w:suppressLineNumbers w:val="0"/>
                    <w:snapToGrid w:val="0"/>
                    <w:spacing w:before="0" w:beforeAutospacing="0" w:after="0" w:afterAutospacing="0"/>
                    <w:ind w:left="0" w:right="0"/>
                    <w:rPr>
                      <w:rFonts w:hint="default"/>
                      <w:color w:val="auto"/>
                      <w:kern w:val="0"/>
                      <w:szCs w:val="21"/>
                    </w:rPr>
                  </w:pPr>
                  <w:r>
                    <w:rPr>
                      <w:rFonts w:hint="default"/>
                      <w:color w:val="auto"/>
                      <w:kern w:val="0"/>
                      <w:szCs w:val="21"/>
                    </w:rPr>
                    <w:t>5.10</w:t>
                  </w:r>
                </w:p>
              </w:tc>
              <w:tc>
                <w:tcPr>
                  <w:tcW w:w="2324" w:type="pct"/>
                  <w:noWrap w:val="0"/>
                  <w:vAlign w:val="center"/>
                </w:tcPr>
                <w:p w14:paraId="70A1CB8F">
                  <w:pPr>
                    <w:keepNext w:val="0"/>
                    <w:keepLines w:val="0"/>
                    <w:widowControl/>
                    <w:suppressLineNumbers w:val="0"/>
                    <w:snapToGrid w:val="0"/>
                    <w:spacing w:before="0" w:beforeAutospacing="0" w:after="0" w:afterAutospacing="0"/>
                    <w:ind w:left="0" w:right="0"/>
                    <w:rPr>
                      <w:rFonts w:hint="default"/>
                      <w:color w:val="auto"/>
                      <w:kern w:val="0"/>
                      <w:szCs w:val="21"/>
                    </w:rPr>
                  </w:pPr>
                  <w:r>
                    <w:rPr>
                      <w:rFonts w:hint="default"/>
                      <w:color w:val="auto"/>
                      <w:kern w:val="0"/>
                      <w:szCs w:val="21"/>
                    </w:rPr>
                    <w:t>对矿区耕作土壤的剥离，应对耕作层和心土层单独剥离与回填，表土剥离厚度一般情况下不少于30cm；对矿区非耕作土壤的采集，应对表土层进行单独剥离，如果表</w:t>
                  </w:r>
                  <w:r>
                    <w:rPr>
                      <w:rFonts w:hint="eastAsia"/>
                      <w:color w:val="auto"/>
                      <w:kern w:val="0"/>
                      <w:szCs w:val="21"/>
                    </w:rPr>
                    <w:t>土</w:t>
                  </w:r>
                  <w:r>
                    <w:rPr>
                      <w:rFonts w:hint="default"/>
                      <w:color w:val="auto"/>
                      <w:kern w:val="0"/>
                      <w:szCs w:val="21"/>
                    </w:rPr>
                    <w:t>层厚度小于20cm，则将表土层及其下面贴近的心土层一起构成的至少20cm厚的土层进行单独剥离；高寒区表土剥离应保留好草皮层，剥离厚度不少于20cm。剥离的表层土壤不能及时铺覆到已整</w:t>
                  </w:r>
                  <w:r>
                    <w:rPr>
                      <w:rFonts w:hint="eastAsia"/>
                      <w:color w:val="auto"/>
                      <w:kern w:val="0"/>
                      <w:szCs w:val="21"/>
                    </w:rPr>
                    <w:t>治</w:t>
                  </w:r>
                  <w:r>
                    <w:rPr>
                      <w:rFonts w:hint="default"/>
                      <w:color w:val="auto"/>
                      <w:kern w:val="0"/>
                      <w:szCs w:val="21"/>
                    </w:rPr>
                    <w:t>场地的，应选择适宜的场地进行堆存，并采取围挡等措施防止水土流失。</w:t>
                  </w:r>
                </w:p>
              </w:tc>
              <w:tc>
                <w:tcPr>
                  <w:tcW w:w="2354" w:type="pct"/>
                  <w:noWrap w:val="0"/>
                  <w:vAlign w:val="center"/>
                </w:tcPr>
                <w:p w14:paraId="46783CD8">
                  <w:pPr>
                    <w:keepNext w:val="0"/>
                    <w:keepLines w:val="0"/>
                    <w:widowControl/>
                    <w:suppressLineNumbers w:val="0"/>
                    <w:snapToGrid w:val="0"/>
                    <w:spacing w:before="0" w:beforeAutospacing="0" w:after="0" w:afterAutospacing="0"/>
                    <w:ind w:left="0" w:right="0" w:firstLine="420" w:firstLineChars="200"/>
                    <w:rPr>
                      <w:rFonts w:hint="eastAsia"/>
                      <w:color w:val="auto"/>
                      <w:kern w:val="0"/>
                      <w:szCs w:val="21"/>
                      <w:highlight w:val="none"/>
                    </w:rPr>
                  </w:pPr>
                  <w:r>
                    <w:rPr>
                      <w:rFonts w:hint="eastAsia"/>
                      <w:color w:val="auto"/>
                      <w:kern w:val="0"/>
                      <w:szCs w:val="21"/>
                      <w:highlight w:val="none"/>
                    </w:rPr>
                    <w:t>①</w:t>
                  </w:r>
                  <w:r>
                    <w:rPr>
                      <w:rFonts w:hint="eastAsia"/>
                      <w:color w:val="auto"/>
                      <w:kern w:val="0"/>
                      <w:szCs w:val="21"/>
                      <w:highlight w:val="none"/>
                      <w:lang w:eastAsia="zh-CN"/>
                    </w:rPr>
                    <w:t>本工程</w:t>
                  </w:r>
                  <w:r>
                    <w:rPr>
                      <w:rFonts w:hint="eastAsia"/>
                      <w:color w:val="auto"/>
                      <w:kern w:val="0"/>
                      <w:szCs w:val="21"/>
                      <w:highlight w:val="none"/>
                    </w:rPr>
                    <w:t>占地为农用地。施工前对表土进行剥离和堆存，剥离厚度为30cm，将表土集中堆放在不影响临时用地使用的边界处。堆土区四周采用土袋挡土墙设置在临时堆土层四周形成挡土墙，堆土上铺</w:t>
                  </w:r>
                  <w:r>
                    <w:rPr>
                      <w:rFonts w:hint="eastAsia"/>
                      <w:color w:val="auto"/>
                      <w:kern w:val="0"/>
                      <w:szCs w:val="21"/>
                      <w:highlight w:val="none"/>
                      <w:lang w:eastAsia="zh-CN"/>
                    </w:rPr>
                    <w:t>盖土网</w:t>
                  </w:r>
                  <w:r>
                    <w:rPr>
                      <w:rFonts w:hint="eastAsia"/>
                      <w:color w:val="auto"/>
                      <w:kern w:val="0"/>
                      <w:szCs w:val="21"/>
                      <w:highlight w:val="none"/>
                    </w:rPr>
                    <w:t>，以加强表土土堆的稳定性，防止水土流失。</w:t>
                  </w:r>
                </w:p>
                <w:p w14:paraId="69715565">
                  <w:pPr>
                    <w:keepNext w:val="0"/>
                    <w:keepLines w:val="0"/>
                    <w:widowControl/>
                    <w:suppressLineNumbers w:val="0"/>
                    <w:snapToGrid w:val="0"/>
                    <w:spacing w:before="0" w:beforeAutospacing="0" w:after="0" w:afterAutospacing="0"/>
                    <w:ind w:left="0" w:right="0" w:firstLine="420" w:firstLineChars="200"/>
                    <w:rPr>
                      <w:rFonts w:hint="default"/>
                      <w:color w:val="auto"/>
                      <w:kern w:val="0"/>
                      <w:szCs w:val="21"/>
                      <w:highlight w:val="none"/>
                    </w:rPr>
                  </w:pPr>
                  <w:r>
                    <w:rPr>
                      <w:rFonts w:hint="eastAsia"/>
                      <w:color w:val="auto"/>
                      <w:kern w:val="0"/>
                      <w:szCs w:val="21"/>
                      <w:highlight w:val="none"/>
                    </w:rPr>
                    <w:t>②勘探期结束后进行恢复。表土堆积选择适宜的场地进行堆存，并采取围挡等措施防止水土流失。</w:t>
                  </w:r>
                </w:p>
              </w:tc>
            </w:tr>
            <w:tr w14:paraId="405F42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7" w:hRule="atLeast"/>
                <w:jc w:val="center"/>
              </w:trPr>
              <w:tc>
                <w:tcPr>
                  <w:tcW w:w="321" w:type="pct"/>
                  <w:noWrap w:val="0"/>
                  <w:vAlign w:val="center"/>
                </w:tcPr>
                <w:p w14:paraId="50B337C9">
                  <w:pPr>
                    <w:keepNext w:val="0"/>
                    <w:keepLines w:val="0"/>
                    <w:widowControl/>
                    <w:suppressLineNumbers w:val="0"/>
                    <w:snapToGrid w:val="0"/>
                    <w:spacing w:before="0" w:beforeAutospacing="0" w:after="0" w:afterAutospacing="0"/>
                    <w:ind w:left="0" w:right="0"/>
                    <w:rPr>
                      <w:rFonts w:hint="default"/>
                      <w:color w:val="auto"/>
                      <w:kern w:val="0"/>
                      <w:szCs w:val="21"/>
                    </w:rPr>
                  </w:pPr>
                  <w:r>
                    <w:rPr>
                      <w:rFonts w:hint="default"/>
                      <w:color w:val="auto"/>
                      <w:kern w:val="0"/>
                      <w:szCs w:val="21"/>
                    </w:rPr>
                    <w:t>6.1</w:t>
                  </w:r>
                </w:p>
              </w:tc>
              <w:tc>
                <w:tcPr>
                  <w:tcW w:w="2324" w:type="pct"/>
                  <w:noWrap w:val="0"/>
                  <w:vAlign w:val="center"/>
                </w:tcPr>
                <w:p w14:paraId="5F796776">
                  <w:pPr>
                    <w:keepNext w:val="0"/>
                    <w:keepLines w:val="0"/>
                    <w:widowControl/>
                    <w:suppressLineNumbers w:val="0"/>
                    <w:snapToGrid w:val="0"/>
                    <w:spacing w:before="0" w:beforeAutospacing="0" w:after="0" w:afterAutospacing="0"/>
                    <w:ind w:left="0" w:right="0"/>
                    <w:rPr>
                      <w:rFonts w:hint="default"/>
                      <w:color w:val="auto"/>
                      <w:kern w:val="0"/>
                      <w:szCs w:val="21"/>
                    </w:rPr>
                  </w:pPr>
                  <w:r>
                    <w:rPr>
                      <w:rFonts w:hint="default"/>
                      <w:color w:val="auto"/>
                      <w:kern w:val="0"/>
                      <w:szCs w:val="21"/>
                    </w:rPr>
                    <w:t>探矿活动结束后，应根据</w:t>
                  </w:r>
                  <w:r>
                    <w:rPr>
                      <w:rFonts w:hint="eastAsia"/>
                      <w:color w:val="auto"/>
                      <w:kern w:val="0"/>
                      <w:szCs w:val="21"/>
                    </w:rPr>
                    <w:t>景</w:t>
                  </w:r>
                  <w:r>
                    <w:rPr>
                      <w:rFonts w:hint="default"/>
                      <w:color w:val="auto"/>
                      <w:kern w:val="0"/>
                      <w:szCs w:val="21"/>
                    </w:rPr>
                    <w:t>观相似原则，对探矿活动造成的土壤、植被和地表景观破坏进行恢复。</w:t>
                  </w:r>
                </w:p>
              </w:tc>
              <w:tc>
                <w:tcPr>
                  <w:tcW w:w="2354" w:type="pct"/>
                  <w:noWrap w:val="0"/>
                  <w:vAlign w:val="center"/>
                </w:tcPr>
                <w:p w14:paraId="5A89EBEB">
                  <w:pPr>
                    <w:keepNext w:val="0"/>
                    <w:keepLines w:val="0"/>
                    <w:widowControl/>
                    <w:suppressLineNumbers w:val="0"/>
                    <w:snapToGrid w:val="0"/>
                    <w:spacing w:before="0" w:beforeAutospacing="0" w:after="0" w:afterAutospacing="0"/>
                    <w:ind w:left="0" w:right="0" w:firstLine="420" w:firstLineChars="200"/>
                    <w:rPr>
                      <w:rFonts w:hint="default"/>
                      <w:color w:val="auto"/>
                      <w:kern w:val="0"/>
                      <w:szCs w:val="21"/>
                      <w:highlight w:val="none"/>
                    </w:rPr>
                  </w:pPr>
                  <w:r>
                    <w:rPr>
                      <w:rFonts w:hint="eastAsia"/>
                      <w:color w:val="auto"/>
                      <w:kern w:val="0"/>
                      <w:szCs w:val="21"/>
                      <w:highlight w:val="none"/>
                      <w:lang w:eastAsia="zh-CN"/>
                    </w:rPr>
                    <w:t>本工程</w:t>
                  </w:r>
                  <w:r>
                    <w:rPr>
                      <w:rFonts w:hint="default"/>
                      <w:color w:val="auto"/>
                      <w:kern w:val="0"/>
                      <w:szCs w:val="21"/>
                      <w:highlight w:val="none"/>
                    </w:rPr>
                    <w:t>占地为</w:t>
                  </w:r>
                  <w:r>
                    <w:rPr>
                      <w:rFonts w:hint="eastAsia"/>
                      <w:color w:val="auto"/>
                      <w:kern w:val="0"/>
                      <w:szCs w:val="21"/>
                      <w:highlight w:val="none"/>
                      <w:lang w:eastAsia="zh-CN"/>
                    </w:rPr>
                    <w:t>农用地</w:t>
                  </w:r>
                  <w:r>
                    <w:rPr>
                      <w:rFonts w:hint="eastAsia"/>
                      <w:color w:val="auto"/>
                      <w:kern w:val="0"/>
                      <w:szCs w:val="21"/>
                      <w:highlight w:val="none"/>
                    </w:rPr>
                    <w:t>，</w:t>
                  </w:r>
                  <w:r>
                    <w:rPr>
                      <w:rFonts w:hint="default"/>
                      <w:color w:val="auto"/>
                      <w:kern w:val="0"/>
                      <w:szCs w:val="21"/>
                      <w:highlight w:val="none"/>
                    </w:rPr>
                    <w:t>施工前对表土进行剥离和堆存。表土在井场临时占地范围内进行堆存，并采取围挡等措施防止水土流失。</w:t>
                  </w:r>
                </w:p>
                <w:p w14:paraId="0FEA5E5E">
                  <w:pPr>
                    <w:keepNext w:val="0"/>
                    <w:keepLines w:val="0"/>
                    <w:widowControl/>
                    <w:suppressLineNumbers w:val="0"/>
                    <w:snapToGrid w:val="0"/>
                    <w:spacing w:before="0" w:beforeAutospacing="0" w:after="0" w:afterAutospacing="0"/>
                    <w:ind w:left="0" w:right="0" w:firstLine="420" w:firstLineChars="200"/>
                    <w:rPr>
                      <w:rFonts w:hint="eastAsia"/>
                      <w:color w:val="auto"/>
                      <w:kern w:val="0"/>
                      <w:szCs w:val="21"/>
                      <w:highlight w:val="none"/>
                    </w:rPr>
                  </w:pPr>
                  <w:r>
                    <w:rPr>
                      <w:rFonts w:hint="default"/>
                      <w:color w:val="auto"/>
                      <w:kern w:val="0"/>
                      <w:szCs w:val="21"/>
                      <w:highlight w:val="none"/>
                    </w:rPr>
                    <w:t>根据勘探结果，不具备开采价值的井口进行永久封井，勘探期结束后进行平整恢复，恢复成</w:t>
                  </w:r>
                  <w:r>
                    <w:rPr>
                      <w:rFonts w:hint="eastAsia"/>
                      <w:color w:val="auto"/>
                      <w:kern w:val="0"/>
                      <w:szCs w:val="21"/>
                      <w:highlight w:val="none"/>
                      <w:lang w:eastAsia="zh-CN"/>
                    </w:rPr>
                    <w:t>耕地</w:t>
                  </w:r>
                  <w:r>
                    <w:rPr>
                      <w:rFonts w:hint="default"/>
                      <w:color w:val="auto"/>
                      <w:kern w:val="0"/>
                      <w:szCs w:val="21"/>
                      <w:highlight w:val="none"/>
                    </w:rPr>
                    <w:t>。</w:t>
                  </w:r>
                </w:p>
                <w:p w14:paraId="2A8BB56E">
                  <w:pPr>
                    <w:keepNext w:val="0"/>
                    <w:keepLines w:val="0"/>
                    <w:widowControl/>
                    <w:suppressLineNumbers w:val="0"/>
                    <w:snapToGrid w:val="0"/>
                    <w:spacing w:before="0" w:beforeAutospacing="0" w:after="0" w:afterAutospacing="0"/>
                    <w:ind w:left="0" w:right="0" w:firstLine="420" w:firstLineChars="200"/>
                    <w:rPr>
                      <w:rFonts w:hint="default"/>
                      <w:color w:val="auto"/>
                      <w:kern w:val="0"/>
                      <w:szCs w:val="21"/>
                      <w:highlight w:val="none"/>
                    </w:rPr>
                  </w:pPr>
                  <w:r>
                    <w:rPr>
                      <w:rFonts w:hint="default"/>
                      <w:color w:val="auto"/>
                      <w:kern w:val="0"/>
                      <w:szCs w:val="21"/>
                      <w:highlight w:val="none"/>
                    </w:rPr>
                    <w:t>具有开采价值，则保留试采井场和进场道路，移交相关部门转作开发井处理，后期若利用勘探井从事生产等活动，需另行履行</w:t>
                  </w:r>
                  <w:r>
                    <w:rPr>
                      <w:rFonts w:hint="eastAsia"/>
                      <w:color w:val="auto"/>
                      <w:kern w:val="0"/>
                      <w:szCs w:val="21"/>
                      <w:highlight w:val="none"/>
                      <w:lang w:eastAsia="zh-CN"/>
                    </w:rPr>
                    <w:t>环评</w:t>
                  </w:r>
                  <w:r>
                    <w:rPr>
                      <w:rFonts w:hint="default"/>
                      <w:color w:val="auto"/>
                      <w:kern w:val="0"/>
                      <w:szCs w:val="21"/>
                      <w:highlight w:val="none"/>
                    </w:rPr>
                    <w:t>手续。</w:t>
                  </w:r>
                </w:p>
              </w:tc>
            </w:tr>
            <w:tr w14:paraId="55731C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22" w:hRule="atLeast"/>
                <w:jc w:val="center"/>
              </w:trPr>
              <w:tc>
                <w:tcPr>
                  <w:tcW w:w="321" w:type="pct"/>
                  <w:noWrap w:val="0"/>
                  <w:vAlign w:val="center"/>
                </w:tcPr>
                <w:p w14:paraId="4509DAFA">
                  <w:pPr>
                    <w:keepNext w:val="0"/>
                    <w:keepLines w:val="0"/>
                    <w:widowControl/>
                    <w:suppressLineNumbers w:val="0"/>
                    <w:snapToGrid w:val="0"/>
                    <w:spacing w:before="0" w:beforeAutospacing="0" w:after="0" w:afterAutospacing="0"/>
                    <w:ind w:left="0" w:right="0"/>
                    <w:rPr>
                      <w:rFonts w:hint="default"/>
                      <w:color w:val="auto"/>
                      <w:kern w:val="0"/>
                      <w:szCs w:val="21"/>
                    </w:rPr>
                  </w:pPr>
                  <w:r>
                    <w:rPr>
                      <w:rFonts w:hint="default"/>
                      <w:color w:val="auto"/>
                      <w:kern w:val="0"/>
                      <w:szCs w:val="21"/>
                    </w:rPr>
                    <w:t>6.2</w:t>
                  </w:r>
                </w:p>
              </w:tc>
              <w:tc>
                <w:tcPr>
                  <w:tcW w:w="2324" w:type="pct"/>
                  <w:noWrap w:val="0"/>
                  <w:vAlign w:val="center"/>
                </w:tcPr>
                <w:p w14:paraId="70DD42F8">
                  <w:pPr>
                    <w:keepNext w:val="0"/>
                    <w:keepLines w:val="0"/>
                    <w:widowControl/>
                    <w:suppressLineNumbers w:val="0"/>
                    <w:snapToGrid w:val="0"/>
                    <w:spacing w:before="0" w:beforeAutospacing="0" w:after="0" w:afterAutospacing="0"/>
                    <w:ind w:left="0" w:right="0"/>
                    <w:rPr>
                      <w:rFonts w:hint="default"/>
                      <w:color w:val="auto"/>
                      <w:kern w:val="0"/>
                      <w:szCs w:val="21"/>
                    </w:rPr>
                  </w:pPr>
                  <w:r>
                    <w:rPr>
                      <w:rFonts w:hint="default"/>
                      <w:color w:val="auto"/>
                      <w:kern w:val="0"/>
                      <w:szCs w:val="21"/>
                    </w:rPr>
                    <w:t>对水文地质条件</w:t>
                  </w:r>
                  <w:r>
                    <w:rPr>
                      <w:rFonts w:hint="eastAsia"/>
                      <w:color w:val="auto"/>
                      <w:kern w:val="0"/>
                      <w:szCs w:val="21"/>
                    </w:rPr>
                    <w:t>、</w:t>
                  </w:r>
                  <w:r>
                    <w:rPr>
                      <w:rFonts w:hint="default"/>
                      <w:color w:val="auto"/>
                      <w:kern w:val="0"/>
                      <w:szCs w:val="21"/>
                    </w:rPr>
                    <w:t>土地耕作及道路安全有影响或位于江、河、湖、海防护堤或重要建筑物附近</w:t>
                  </w:r>
                  <w:r>
                    <w:rPr>
                      <w:rFonts w:hint="eastAsia"/>
                      <w:color w:val="auto"/>
                      <w:kern w:val="0"/>
                      <w:szCs w:val="21"/>
                    </w:rPr>
                    <w:t>的</w:t>
                  </w:r>
                  <w:r>
                    <w:rPr>
                      <w:rFonts w:hint="default"/>
                      <w:color w:val="auto"/>
                      <w:kern w:val="0"/>
                      <w:szCs w:val="21"/>
                    </w:rPr>
                    <w:t>钻孔或坑井应予回填封闭，并恢复其原有生态功能。</w:t>
                  </w:r>
                </w:p>
              </w:tc>
              <w:tc>
                <w:tcPr>
                  <w:tcW w:w="2354" w:type="pct"/>
                  <w:noWrap w:val="0"/>
                  <w:vAlign w:val="center"/>
                </w:tcPr>
                <w:p w14:paraId="00845819">
                  <w:pPr>
                    <w:keepNext w:val="0"/>
                    <w:keepLines w:val="0"/>
                    <w:widowControl/>
                    <w:suppressLineNumbers w:val="0"/>
                    <w:snapToGrid w:val="0"/>
                    <w:spacing w:before="0" w:beforeAutospacing="0" w:after="0" w:afterAutospacing="0"/>
                    <w:ind w:left="0" w:right="0" w:firstLine="420" w:firstLineChars="200"/>
                    <w:rPr>
                      <w:rFonts w:hint="eastAsia"/>
                      <w:color w:val="auto"/>
                      <w:kern w:val="0"/>
                      <w:szCs w:val="21"/>
                    </w:rPr>
                  </w:pPr>
                  <w:r>
                    <w:rPr>
                      <w:rFonts w:hint="eastAsia"/>
                      <w:color w:val="auto"/>
                      <w:kern w:val="0"/>
                      <w:szCs w:val="21"/>
                    </w:rPr>
                    <w:t>①</w:t>
                  </w:r>
                  <w:r>
                    <w:rPr>
                      <w:rFonts w:hint="eastAsia"/>
                      <w:color w:val="auto"/>
                      <w:kern w:val="0"/>
                      <w:szCs w:val="21"/>
                      <w:lang w:eastAsia="zh-CN"/>
                    </w:rPr>
                    <w:t>本工程</w:t>
                  </w:r>
                  <w:r>
                    <w:rPr>
                      <w:rFonts w:hint="eastAsia"/>
                      <w:color w:val="auto"/>
                      <w:kern w:val="0"/>
                      <w:szCs w:val="21"/>
                    </w:rPr>
                    <w:t>整个井身均采用了水泥固井和套管固封，在进行水泥和套管固封后含水层的地下水不会经井身发生漏失，不会改变区域地下水流场，不会影响该区域的居民生活用水。</w:t>
                  </w:r>
                </w:p>
                <w:p w14:paraId="72003158">
                  <w:pPr>
                    <w:keepNext w:val="0"/>
                    <w:keepLines w:val="0"/>
                    <w:widowControl/>
                    <w:suppressLineNumbers w:val="0"/>
                    <w:snapToGrid w:val="0"/>
                    <w:spacing w:before="0" w:beforeAutospacing="0" w:after="0" w:afterAutospacing="0"/>
                    <w:ind w:left="0" w:right="0" w:firstLine="420" w:firstLineChars="200"/>
                    <w:rPr>
                      <w:rFonts w:hint="default"/>
                      <w:color w:val="auto"/>
                      <w:kern w:val="0"/>
                      <w:szCs w:val="21"/>
                    </w:rPr>
                  </w:pPr>
                  <w:r>
                    <w:rPr>
                      <w:rFonts w:hint="eastAsia"/>
                      <w:color w:val="auto"/>
                      <w:kern w:val="0"/>
                      <w:szCs w:val="21"/>
                    </w:rPr>
                    <w:t>②勘探结束后，若具有开采价值，则转为产能井；若不具备开采价值，则进行封井封场处理，对用地范围内进行地表清理、表土回覆、施肥、翻耕等有效措施对占用的耕地及时复垦。</w:t>
                  </w:r>
                </w:p>
                <w:p w14:paraId="0F296A4E">
                  <w:pPr>
                    <w:keepNext w:val="0"/>
                    <w:keepLines w:val="0"/>
                    <w:widowControl/>
                    <w:suppressLineNumbers w:val="0"/>
                    <w:snapToGrid w:val="0"/>
                    <w:spacing w:before="0" w:beforeAutospacing="0" w:after="0" w:afterAutospacing="0"/>
                    <w:ind w:left="0" w:right="0" w:firstLine="420" w:firstLineChars="200"/>
                    <w:rPr>
                      <w:rFonts w:hint="default"/>
                      <w:color w:val="auto"/>
                      <w:kern w:val="0"/>
                      <w:szCs w:val="21"/>
                    </w:rPr>
                  </w:pPr>
                  <w:r>
                    <w:rPr>
                      <w:rFonts w:hint="default"/>
                      <w:color w:val="auto"/>
                      <w:kern w:val="0"/>
                      <w:szCs w:val="21"/>
                    </w:rPr>
                    <w:t>因此</w:t>
                  </w:r>
                  <w:r>
                    <w:rPr>
                      <w:rFonts w:hint="eastAsia"/>
                      <w:color w:val="auto"/>
                      <w:kern w:val="0"/>
                      <w:szCs w:val="21"/>
                    </w:rPr>
                    <w:t>，</w:t>
                  </w:r>
                  <w:r>
                    <w:rPr>
                      <w:rFonts w:hint="default"/>
                      <w:color w:val="auto"/>
                      <w:kern w:val="0"/>
                      <w:szCs w:val="21"/>
                    </w:rPr>
                    <w:t>不会对水文地质条件</w:t>
                  </w:r>
                  <w:r>
                    <w:rPr>
                      <w:rFonts w:hint="eastAsia"/>
                      <w:color w:val="auto"/>
                      <w:kern w:val="0"/>
                      <w:szCs w:val="21"/>
                    </w:rPr>
                    <w:t>、</w:t>
                  </w:r>
                  <w:r>
                    <w:rPr>
                      <w:rFonts w:hint="default"/>
                      <w:color w:val="auto"/>
                      <w:kern w:val="0"/>
                      <w:szCs w:val="21"/>
                    </w:rPr>
                    <w:t>土地耕作及道路安全产生不利影响，附近无江、湖、海防护堤或重要建筑物。</w:t>
                  </w:r>
                </w:p>
              </w:tc>
            </w:tr>
          </w:tbl>
          <w:p w14:paraId="22186103">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color w:val="auto"/>
                <w:sz w:val="24"/>
              </w:rPr>
              <w:t>6、</w:t>
            </w:r>
            <w:r>
              <w:rPr>
                <w:rFonts w:hint="default"/>
                <w:color w:val="auto"/>
                <w:sz w:val="24"/>
              </w:rPr>
              <w:t>与《基本农田保护条例》符合性分析</w:t>
            </w:r>
          </w:p>
          <w:p w14:paraId="017FC769">
            <w:pPr>
              <w:keepNext w:val="0"/>
              <w:keepLines w:val="0"/>
              <w:suppressLineNumbers w:val="0"/>
              <w:spacing w:before="0" w:beforeAutospacing="0" w:after="0" w:afterAutospacing="0"/>
              <w:ind w:left="0" w:right="0"/>
              <w:jc w:val="center"/>
              <w:rPr>
                <w:rFonts w:hint="default"/>
                <w:b/>
                <w:bCs/>
                <w:color w:val="auto"/>
                <w:sz w:val="24"/>
              </w:rPr>
            </w:pPr>
            <w:r>
              <w:rPr>
                <w:rFonts w:hint="default"/>
                <w:b/>
                <w:bCs/>
                <w:color w:val="auto"/>
                <w:sz w:val="24"/>
              </w:rPr>
              <w:t>表1-5 与《基本农田保护条例》符合性分析</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796"/>
              <w:gridCol w:w="2165"/>
              <w:gridCol w:w="4070"/>
              <w:gridCol w:w="657"/>
            </w:tblGrid>
            <w:tr w14:paraId="3C52E7E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518" w:type="pct"/>
                  <w:noWrap w:val="0"/>
                  <w:vAlign w:val="center"/>
                </w:tcPr>
                <w:p w14:paraId="303638E2">
                  <w:pPr>
                    <w:keepNext w:val="0"/>
                    <w:keepLines w:val="0"/>
                    <w:widowControl/>
                    <w:suppressLineNumbers w:val="0"/>
                    <w:snapToGrid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内容</w:t>
                  </w:r>
                </w:p>
              </w:tc>
              <w:tc>
                <w:tcPr>
                  <w:tcW w:w="1408" w:type="pct"/>
                  <w:noWrap w:val="0"/>
                  <w:vAlign w:val="center"/>
                </w:tcPr>
                <w:p w14:paraId="1FE425B2">
                  <w:pPr>
                    <w:keepNext w:val="0"/>
                    <w:keepLines w:val="0"/>
                    <w:widowControl/>
                    <w:suppressLineNumbers w:val="0"/>
                    <w:snapToGrid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政策要求</w:t>
                  </w:r>
                </w:p>
              </w:tc>
              <w:tc>
                <w:tcPr>
                  <w:tcW w:w="2647" w:type="pct"/>
                  <w:noWrap w:val="0"/>
                  <w:vAlign w:val="center"/>
                </w:tcPr>
                <w:p w14:paraId="61FB9697">
                  <w:pPr>
                    <w:keepNext w:val="0"/>
                    <w:keepLines w:val="0"/>
                    <w:suppressLineNumbers w:val="0"/>
                    <w:spacing w:before="0" w:beforeAutospacing="0" w:after="0" w:afterAutospacing="0"/>
                    <w:ind w:left="0" w:right="0"/>
                    <w:jc w:val="center"/>
                    <w:rPr>
                      <w:rFonts w:hint="eastAsia" w:eastAsia="宋体"/>
                      <w:color w:val="auto"/>
                      <w:kern w:val="0"/>
                      <w:szCs w:val="21"/>
                      <w:lang w:eastAsia="zh-CN"/>
                    </w:rPr>
                  </w:pPr>
                  <w:r>
                    <w:rPr>
                      <w:rFonts w:hint="eastAsia"/>
                      <w:color w:val="auto"/>
                      <w:kern w:val="0"/>
                      <w:szCs w:val="21"/>
                      <w:lang w:eastAsia="zh-CN"/>
                    </w:rPr>
                    <w:t>本工程</w:t>
                  </w:r>
                </w:p>
              </w:tc>
              <w:tc>
                <w:tcPr>
                  <w:tcW w:w="427" w:type="pct"/>
                  <w:noWrap w:val="0"/>
                  <w:vAlign w:val="center"/>
                </w:tcPr>
                <w:p w14:paraId="1A8A6FA7">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符合性</w:t>
                  </w:r>
                </w:p>
              </w:tc>
            </w:tr>
            <w:tr w14:paraId="67FB2D9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4" w:hRule="atLeast"/>
                <w:jc w:val="center"/>
              </w:trPr>
              <w:tc>
                <w:tcPr>
                  <w:tcW w:w="518" w:type="pct"/>
                  <w:noWrap w:val="0"/>
                  <w:vAlign w:val="center"/>
                </w:tcPr>
                <w:p w14:paraId="3786634C">
                  <w:pPr>
                    <w:keepNext w:val="0"/>
                    <w:keepLines w:val="0"/>
                    <w:widowControl/>
                    <w:suppressLineNumbers w:val="0"/>
                    <w:snapToGrid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第三章保护</w:t>
                  </w:r>
                </w:p>
              </w:tc>
              <w:tc>
                <w:tcPr>
                  <w:tcW w:w="1408" w:type="pct"/>
                  <w:noWrap w:val="0"/>
                  <w:vAlign w:val="center"/>
                </w:tcPr>
                <w:p w14:paraId="42700062">
                  <w:pPr>
                    <w:keepNext w:val="0"/>
                    <w:keepLines w:val="0"/>
                    <w:widowControl/>
                    <w:suppressLineNumbers w:val="0"/>
                    <w:snapToGrid w:val="0"/>
                    <w:spacing w:before="0" w:beforeAutospacing="0" w:after="0" w:afterAutospacing="0" w:line="240" w:lineRule="exact"/>
                    <w:ind w:left="0" w:right="0"/>
                    <w:jc w:val="center"/>
                    <w:rPr>
                      <w:rFonts w:hint="default"/>
                      <w:color w:val="auto"/>
                      <w:kern w:val="0"/>
                      <w:szCs w:val="21"/>
                    </w:rPr>
                  </w:pPr>
                  <w:r>
                    <w:rPr>
                      <w:rFonts w:hint="default"/>
                      <w:color w:val="auto"/>
                      <w:szCs w:val="21"/>
                    </w:rPr>
                    <w:t>第十五条</w:t>
                  </w:r>
                  <w:r>
                    <w:rPr>
                      <w:rFonts w:hint="eastAsia"/>
                      <w:color w:val="auto"/>
                      <w:szCs w:val="21"/>
                    </w:rPr>
                    <w:t xml:space="preserve"> 基本农田保护区经依法划定后，任何单位和个人不得改变或者占用。国家能源、交通、水利、军事设施等重点建设项目选址确实无法避开基本农田保护区，需要占用基本农田，涉及农用地转用或者征收土地的，必须经国务院批准</w:t>
                  </w:r>
                  <w:r>
                    <w:rPr>
                      <w:rFonts w:hint="default"/>
                      <w:color w:val="auto"/>
                      <w:szCs w:val="21"/>
                    </w:rPr>
                    <w:t>。</w:t>
                  </w:r>
                </w:p>
              </w:tc>
              <w:tc>
                <w:tcPr>
                  <w:tcW w:w="2647" w:type="pct"/>
                  <w:noWrap w:val="0"/>
                  <w:vAlign w:val="center"/>
                </w:tcPr>
                <w:p w14:paraId="513E4D46">
                  <w:pPr>
                    <w:keepNext w:val="0"/>
                    <w:keepLines w:val="0"/>
                    <w:widowControl/>
                    <w:suppressLineNumbers w:val="0"/>
                    <w:snapToGrid w:val="0"/>
                    <w:spacing w:before="0" w:beforeAutospacing="0" w:after="0" w:afterAutospacing="0" w:line="240" w:lineRule="exact"/>
                    <w:ind w:left="0" w:right="0" w:firstLine="420" w:firstLineChars="200"/>
                    <w:jc w:val="left"/>
                    <w:rPr>
                      <w:rFonts w:hint="default"/>
                      <w:color w:val="auto"/>
                      <w:kern w:val="0"/>
                      <w:szCs w:val="21"/>
                      <w:highlight w:val="none"/>
                    </w:rPr>
                  </w:pPr>
                  <w:r>
                    <w:rPr>
                      <w:rFonts w:hint="eastAsia"/>
                      <w:color w:val="auto"/>
                      <w:kern w:val="0"/>
                      <w:szCs w:val="21"/>
                      <w:lang w:eastAsia="zh-CN"/>
                    </w:rPr>
                    <w:t>本工程</w:t>
                  </w:r>
                  <w:r>
                    <w:rPr>
                      <w:rFonts w:hint="eastAsia"/>
                      <w:color w:val="auto"/>
                      <w:kern w:val="0"/>
                      <w:szCs w:val="21"/>
                    </w:rPr>
                    <w:t>临时占用</w:t>
                  </w:r>
                  <w:r>
                    <w:rPr>
                      <w:rFonts w:hint="eastAsia"/>
                      <w:color w:val="auto"/>
                      <w:kern w:val="0"/>
                      <w:szCs w:val="21"/>
                      <w:highlight w:val="none"/>
                    </w:rPr>
                    <w:t>基本农田</w:t>
                  </w:r>
                  <w:r>
                    <w:rPr>
                      <w:rFonts w:hint="eastAsia"/>
                      <w:color w:val="auto"/>
                      <w:kern w:val="0"/>
                      <w:szCs w:val="21"/>
                      <w:highlight w:val="none"/>
                      <w:lang w:val="en-US" w:eastAsia="zh-CN"/>
                    </w:rPr>
                    <w:t>16709</w:t>
                  </w:r>
                  <w:r>
                    <w:rPr>
                      <w:rFonts w:hint="eastAsia"/>
                      <w:color w:val="auto"/>
                      <w:kern w:val="0"/>
                      <w:szCs w:val="21"/>
                      <w:highlight w:val="none"/>
                    </w:rPr>
                    <w:t>m</w:t>
                  </w:r>
                  <w:r>
                    <w:rPr>
                      <w:rFonts w:hint="eastAsia"/>
                      <w:color w:val="auto"/>
                      <w:kern w:val="0"/>
                      <w:szCs w:val="21"/>
                      <w:highlight w:val="none"/>
                      <w:vertAlign w:val="superscript"/>
                    </w:rPr>
                    <w:t>2</w:t>
                  </w:r>
                  <w:r>
                    <w:rPr>
                      <w:rFonts w:hint="default"/>
                      <w:color w:val="auto"/>
                      <w:kern w:val="0"/>
                      <w:szCs w:val="21"/>
                      <w:highlight w:val="none"/>
                    </w:rPr>
                    <w:t>，已编制土地复垦方案并取得</w:t>
                  </w:r>
                  <w:r>
                    <w:rPr>
                      <w:rFonts w:hint="eastAsia"/>
                      <w:color w:val="auto"/>
                      <w:kern w:val="0"/>
                      <w:szCs w:val="21"/>
                      <w:highlight w:val="none"/>
                    </w:rPr>
                    <w:t>巴彦淖尔市自然资源局下发的</w:t>
                  </w:r>
                  <w:r>
                    <w:rPr>
                      <w:rFonts w:hint="default"/>
                      <w:color w:val="auto"/>
                      <w:kern w:val="0"/>
                      <w:szCs w:val="21"/>
                      <w:highlight w:val="none"/>
                    </w:rPr>
                    <w:t>临时用地</w:t>
                  </w:r>
                  <w:r>
                    <w:rPr>
                      <w:rFonts w:hint="eastAsia"/>
                      <w:color w:val="auto"/>
                      <w:kern w:val="0"/>
                      <w:szCs w:val="21"/>
                      <w:highlight w:val="none"/>
                    </w:rPr>
                    <w:t>批复</w:t>
                  </w:r>
                  <w:r>
                    <w:rPr>
                      <w:rFonts w:hint="default"/>
                      <w:color w:val="auto"/>
                      <w:kern w:val="0"/>
                      <w:szCs w:val="21"/>
                      <w:highlight w:val="none"/>
                    </w:rPr>
                    <w:t>（见附件）。</w:t>
                  </w:r>
                </w:p>
                <w:p w14:paraId="7E68D865">
                  <w:pPr>
                    <w:keepNext w:val="0"/>
                    <w:keepLines w:val="0"/>
                    <w:widowControl/>
                    <w:suppressLineNumbers w:val="0"/>
                    <w:snapToGrid w:val="0"/>
                    <w:spacing w:before="0" w:beforeAutospacing="0" w:after="0" w:afterAutospacing="0" w:line="240" w:lineRule="exact"/>
                    <w:ind w:left="0" w:right="0" w:firstLine="420" w:firstLineChars="200"/>
                    <w:jc w:val="left"/>
                    <w:rPr>
                      <w:rFonts w:hint="default"/>
                      <w:color w:val="auto"/>
                      <w:kern w:val="0"/>
                      <w:szCs w:val="21"/>
                    </w:rPr>
                  </w:pPr>
                  <w:r>
                    <w:rPr>
                      <w:rFonts w:hint="eastAsia"/>
                      <w:color w:val="auto"/>
                      <w:kern w:val="0"/>
                      <w:szCs w:val="21"/>
                      <w:lang w:eastAsia="zh-CN"/>
                    </w:rPr>
                    <w:t>本工程</w:t>
                  </w:r>
                  <w:r>
                    <w:rPr>
                      <w:rFonts w:hint="default"/>
                      <w:color w:val="auto"/>
                      <w:kern w:val="0"/>
                      <w:szCs w:val="21"/>
                    </w:rPr>
                    <w:t>不涉及永久占地，无需农用地转换或征收土地，</w:t>
                  </w:r>
                  <w:r>
                    <w:rPr>
                      <w:rFonts w:hint="default"/>
                      <w:color w:val="auto"/>
                      <w:szCs w:val="21"/>
                    </w:rPr>
                    <w:t>后期若利用勘探井从事生产等活动，</w:t>
                  </w:r>
                  <w:r>
                    <w:rPr>
                      <w:rFonts w:hint="eastAsia"/>
                      <w:color w:val="auto"/>
                      <w:szCs w:val="21"/>
                    </w:rPr>
                    <w:t>建设单位</w:t>
                  </w:r>
                  <w:r>
                    <w:rPr>
                      <w:rFonts w:hint="default"/>
                      <w:color w:val="auto"/>
                      <w:szCs w:val="21"/>
                    </w:rPr>
                    <w:t>需按照保护条例的要求经国务院批准，转换用地性质</w:t>
                  </w:r>
                  <w:r>
                    <w:rPr>
                      <w:rFonts w:hint="eastAsia"/>
                      <w:color w:val="auto"/>
                      <w:szCs w:val="21"/>
                    </w:rPr>
                    <w:t>。</w:t>
                  </w:r>
                </w:p>
              </w:tc>
              <w:tc>
                <w:tcPr>
                  <w:tcW w:w="427" w:type="pct"/>
                  <w:noWrap w:val="0"/>
                  <w:vAlign w:val="center"/>
                </w:tcPr>
                <w:p w14:paraId="073DD63C">
                  <w:pPr>
                    <w:keepNext w:val="0"/>
                    <w:keepLines w:val="0"/>
                    <w:widowControl/>
                    <w:suppressLineNumbers w:val="0"/>
                    <w:snapToGrid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符合</w:t>
                  </w:r>
                </w:p>
              </w:tc>
            </w:tr>
          </w:tbl>
          <w:p w14:paraId="206A03FD">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eastAsia="宋体"/>
                <w:color w:val="auto"/>
                <w:sz w:val="24"/>
                <w:lang w:val="en-US" w:eastAsia="zh-CN"/>
              </w:rPr>
            </w:pPr>
            <w:r>
              <w:rPr>
                <w:rFonts w:hint="eastAsia"/>
                <w:color w:val="auto"/>
                <w:sz w:val="24"/>
                <w:lang w:val="en-US" w:eastAsia="zh-CN"/>
              </w:rPr>
              <w:t>7、占用农田不可避让性的可行性分析</w:t>
            </w:r>
          </w:p>
          <w:p w14:paraId="6DBA50A3">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color w:val="auto"/>
                <w:sz w:val="24"/>
              </w:rPr>
              <w:t>根据《自然资源部办公厅关于石油天然气用地政策的复函》（自然资办〔2018〕1668号）中关于油气钻井及配套设施用地手续办理问题的规定：石油、天然气、煤层气、页岩气、致密油、页岩油、致密气等油气资源开发涉及的钻井及配套设施建设用地，可先由用地所在县级以上人民政府自然资源主管部门按照有关法律法规的规定以临时用地批准使用，办理有关手续。勘探结束转入生产的，办理建设用地审批手续；不转入生产的，油气企业进行土地复垦后按期归还。每年末，油气企业汇总本年度用地有关情况后，依照有关规定向用地所在县级人民政府自然资源主管部门提出用地申请，办理建设用地审批手续。</w:t>
            </w:r>
          </w:p>
          <w:p w14:paraId="06B6CDBB">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default"/>
                <w:color w:val="auto"/>
                <w:kern w:val="0"/>
                <w:sz w:val="24"/>
                <w:szCs w:val="20"/>
              </w:rPr>
              <w:t>根据《自然资源部、农业农村部关于加强和改进永久基本农田保护工作的通知》（自然资规</w:t>
            </w:r>
            <w:r>
              <w:rPr>
                <w:rFonts w:hint="eastAsia"/>
                <w:color w:val="auto"/>
                <w:kern w:val="0"/>
                <w:sz w:val="24"/>
                <w:szCs w:val="20"/>
                <w:lang w:eastAsia="zh-CN"/>
              </w:rPr>
              <w:t>〔2019〕1号</w:t>
            </w:r>
            <w:r>
              <w:rPr>
                <w:rFonts w:hint="default"/>
                <w:color w:val="auto"/>
                <w:kern w:val="0"/>
                <w:sz w:val="24"/>
                <w:szCs w:val="20"/>
              </w:rPr>
              <w:t>）要求，</w:t>
            </w:r>
            <w:r>
              <w:rPr>
                <w:rFonts w:hint="eastAsia"/>
                <w:color w:val="auto"/>
                <w:kern w:val="0"/>
                <w:sz w:val="24"/>
                <w:szCs w:val="20"/>
              </w:rPr>
              <w:t>“石油、天然气、页岩气、煤层气等油气战略性矿产的地质勘查，经批准可临时占用永久基本农田布置探井。在试采和取得采矿权后转为开采井的，可直接依法办理农用地转用和土地征收审批手续，按规定补划永久基本农田”</w:t>
            </w:r>
            <w:r>
              <w:rPr>
                <w:rFonts w:hint="default"/>
                <w:color w:val="auto"/>
                <w:kern w:val="0"/>
                <w:sz w:val="24"/>
                <w:szCs w:val="20"/>
              </w:rPr>
              <w:t>。</w:t>
            </w:r>
          </w:p>
          <w:p w14:paraId="64C3A8F9">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a临时用地占用农田的不可避免性</w:t>
            </w:r>
          </w:p>
          <w:p w14:paraId="2CE45D98">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勘探钻井井场占地需满足“地上服从地下”的原则，只有地下有油，地上</w:t>
            </w:r>
            <w:r>
              <w:rPr>
                <w:rFonts w:hint="eastAsia"/>
                <w:color w:val="auto"/>
                <w:kern w:val="0"/>
                <w:sz w:val="24"/>
                <w:highlight w:val="none"/>
              </w:rPr>
              <w:t>才</w:t>
            </w:r>
            <w:r>
              <w:rPr>
                <w:rFonts w:hint="eastAsia"/>
                <w:color w:val="auto"/>
                <w:kern w:val="0"/>
                <w:sz w:val="24"/>
              </w:rPr>
              <w:t>占地钻探，河套盆地通过前期预探明确了是石油地质条件最好的凹陷。</w:t>
            </w:r>
          </w:p>
          <w:p w14:paraId="06BA899A">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lang w:eastAsia="zh-CN"/>
              </w:rPr>
              <w:t>磴口县</w:t>
            </w:r>
            <w:r>
              <w:rPr>
                <w:rFonts w:hint="eastAsia"/>
                <w:color w:val="auto"/>
                <w:kern w:val="0"/>
                <w:sz w:val="24"/>
              </w:rPr>
              <w:t>地处河套盆地中西部，土地利用现状主要以耕地和建设用地为主，基本农田保护率较高，村庄外围基本全部为农田。</w:t>
            </w:r>
          </w:p>
          <w:p w14:paraId="6A481813">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石油勘探工作为24小时作业，为了降低对周边居民生产、生活的影响，选址尽量远离村庄居住区。根据实地踏勘，遵循“地上服从地下”的原则，该项目储油凹陷区上方均为基本农田。</w:t>
            </w:r>
          </w:p>
          <w:p w14:paraId="070414C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b临时用地占用农田的合理性</w:t>
            </w:r>
          </w:p>
          <w:p w14:paraId="149F8C67">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该项目的探井属于石油勘探工程，选址受储油区位置及地质条件影响，在充分考虑地形地貌条件、地质条件、探测要求，最终确定该方案。</w:t>
            </w:r>
          </w:p>
          <w:p w14:paraId="23505370">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lang w:eastAsia="zh-CN"/>
              </w:rPr>
              <w:t>本工程</w:t>
            </w:r>
            <w:r>
              <w:rPr>
                <w:rFonts w:hint="eastAsia"/>
                <w:color w:val="auto"/>
                <w:kern w:val="0"/>
                <w:sz w:val="24"/>
              </w:rPr>
              <w:t>属于国家战略性（石油）矿产资源勘探，为石油勘探过程的钻探、试采阶段，不涉及项目运营期。项目临时占地主要呈点状分布，影响范围较小。建设过程中，合理安排施工时序缩短施工时间，施工前进行表土剥离，不涉及地面硬化。勘探结束后，若具有开采价值，则转为产能井（转为产能井的相关工作内容等需另行设计和开展环境</w:t>
            </w:r>
            <w:r>
              <w:rPr>
                <w:rFonts w:hint="eastAsia"/>
                <w:color w:val="auto"/>
                <w:kern w:val="0"/>
                <w:sz w:val="24"/>
                <w:lang w:eastAsia="zh-CN"/>
              </w:rPr>
              <w:t>影响</w:t>
            </w:r>
            <w:r>
              <w:rPr>
                <w:rFonts w:hint="eastAsia"/>
                <w:color w:val="auto"/>
                <w:kern w:val="0"/>
                <w:sz w:val="24"/>
              </w:rPr>
              <w:t>评价，并完善井场永久占地征地手续）；若不具备开采价值，则进行封井封场处理，采取减缓生态环境影响措施，对用地范围内进行地表清理、表土回覆、平整、翻耕等有效措施对占用的基本农田及时复垦。在严格落实防治措施的前提下，项目施工</w:t>
            </w:r>
            <w:r>
              <w:rPr>
                <w:rFonts w:hint="eastAsia"/>
                <w:color w:val="auto"/>
                <w:kern w:val="0"/>
                <w:sz w:val="24"/>
                <w:lang w:eastAsia="zh-CN"/>
              </w:rPr>
              <w:t>期和试采期</w:t>
            </w:r>
            <w:r>
              <w:rPr>
                <w:rFonts w:hint="eastAsia"/>
                <w:color w:val="auto"/>
                <w:kern w:val="0"/>
                <w:sz w:val="24"/>
                <w:lang w:val="en-US" w:eastAsia="zh-CN"/>
              </w:rPr>
              <w:t>对生态环境影响可控制在一定范围、一定程度内。</w:t>
            </w:r>
          </w:p>
          <w:p w14:paraId="68EBB60F">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c临时用地恢复为农田的可行性</w:t>
            </w:r>
          </w:p>
          <w:p w14:paraId="3A6755AE">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kern w:val="0"/>
                <w:sz w:val="24"/>
                <w:highlight w:val="none"/>
              </w:rPr>
            </w:pPr>
            <w:r>
              <w:rPr>
                <w:rFonts w:hint="eastAsia"/>
                <w:color w:val="auto"/>
                <w:kern w:val="0"/>
                <w:sz w:val="24"/>
              </w:rPr>
              <w:t>项目临时用地过程中，不涉及永久性建筑物、不涉及地面硬化，只涉及钻机设备压占。损毁类型为挖损、压占，损毁程度为中度和轻度，土地复垦可行。施工前首先确保钻台、材料堆放区、施工生产区表土剥离，施工完成后采取地表清理、表土回覆、平整、翻耕等有效措施对占用的基本农田及时复垦，</w:t>
            </w:r>
            <w:r>
              <w:rPr>
                <w:rFonts w:hint="eastAsia"/>
                <w:color w:val="auto"/>
                <w:kern w:val="0"/>
                <w:sz w:val="24"/>
                <w:lang w:val="en-US" w:eastAsia="zh-CN"/>
              </w:rPr>
              <w:t>临时占地对生态环境影响得到控制</w:t>
            </w:r>
            <w:r>
              <w:rPr>
                <w:rFonts w:hint="eastAsia"/>
                <w:color w:val="auto"/>
                <w:kern w:val="0"/>
                <w:sz w:val="24"/>
              </w:rPr>
              <w:t>。复垦过程中从组织保障、费用保障、监管保障、技术保障等方面严格落实各项土地复垦措施。完善土地复垦资金管理办法，确保复垦资金足额到位、安全有效。中国石油天然气股份有</w:t>
            </w:r>
            <w:r>
              <w:rPr>
                <w:rFonts w:hint="eastAsia"/>
                <w:color w:val="auto"/>
                <w:kern w:val="0"/>
                <w:sz w:val="24"/>
                <w:highlight w:val="none"/>
              </w:rPr>
              <w:t>限公司华北油田巴彦勘探开发分公司已与相关部门建立共管账户，按时缴纳复垦费用，专款专用，保障土地复垦工作顺利进行。</w:t>
            </w:r>
          </w:p>
          <w:p w14:paraId="11907AA8">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highlight w:val="none"/>
              </w:rPr>
              <w:t>202</w:t>
            </w:r>
            <w:r>
              <w:rPr>
                <w:rFonts w:hint="eastAsia"/>
                <w:color w:val="auto"/>
                <w:kern w:val="0"/>
                <w:sz w:val="24"/>
                <w:highlight w:val="none"/>
                <w:lang w:val="en-US" w:eastAsia="zh-CN"/>
              </w:rPr>
              <w:t>4</w:t>
            </w:r>
            <w:r>
              <w:rPr>
                <w:rFonts w:hint="eastAsia"/>
                <w:color w:val="auto"/>
                <w:kern w:val="0"/>
                <w:sz w:val="24"/>
                <w:highlight w:val="none"/>
              </w:rPr>
              <w:t>年</w:t>
            </w:r>
            <w:r>
              <w:rPr>
                <w:rFonts w:hint="eastAsia"/>
                <w:color w:val="auto"/>
                <w:kern w:val="0"/>
                <w:sz w:val="24"/>
                <w:highlight w:val="none"/>
                <w:lang w:val="en-US" w:eastAsia="zh-CN"/>
              </w:rPr>
              <w:t>11</w:t>
            </w:r>
            <w:r>
              <w:rPr>
                <w:rFonts w:hint="eastAsia"/>
                <w:color w:val="auto"/>
                <w:kern w:val="0"/>
                <w:sz w:val="24"/>
                <w:highlight w:val="none"/>
              </w:rPr>
              <w:t>月</w:t>
            </w:r>
            <w:r>
              <w:rPr>
                <w:rFonts w:hint="eastAsia"/>
                <w:color w:val="auto"/>
                <w:kern w:val="0"/>
                <w:sz w:val="24"/>
                <w:highlight w:val="none"/>
                <w:lang w:val="en-US" w:eastAsia="zh-CN"/>
              </w:rPr>
              <w:t>19</w:t>
            </w:r>
            <w:r>
              <w:rPr>
                <w:rFonts w:hint="eastAsia"/>
                <w:color w:val="auto"/>
                <w:kern w:val="0"/>
                <w:sz w:val="24"/>
                <w:highlight w:val="none"/>
              </w:rPr>
              <w:t>日</w:t>
            </w:r>
            <w:r>
              <w:rPr>
                <w:rFonts w:hint="eastAsia"/>
                <w:color w:val="auto"/>
                <w:kern w:val="0"/>
                <w:sz w:val="24"/>
                <w:highlight w:val="none"/>
                <w:lang w:eastAsia="zh-CN"/>
              </w:rPr>
              <w:t>扎格</w:t>
            </w:r>
            <w:r>
              <w:rPr>
                <w:rFonts w:hint="eastAsia"/>
                <w:color w:val="auto"/>
                <w:kern w:val="0"/>
                <w:sz w:val="24"/>
                <w:highlight w:val="none"/>
                <w:lang w:val="en-US" w:eastAsia="zh-CN"/>
              </w:rPr>
              <w:t>6井</w:t>
            </w:r>
            <w:r>
              <w:rPr>
                <w:rFonts w:hint="eastAsia"/>
                <w:color w:val="auto"/>
                <w:kern w:val="0"/>
                <w:sz w:val="24"/>
                <w:highlight w:val="none"/>
              </w:rPr>
              <w:t>项目取得临时用地的批复（</w:t>
            </w:r>
            <w:r>
              <w:rPr>
                <w:rFonts w:hint="eastAsia"/>
                <w:color w:val="auto"/>
                <w:kern w:val="0"/>
                <w:sz w:val="24"/>
                <w:highlight w:val="none"/>
                <w:lang w:eastAsia="zh-CN"/>
              </w:rPr>
              <w:t>巴自然资字〔2024〕85号</w:t>
            </w:r>
            <w:r>
              <w:rPr>
                <w:rFonts w:hint="eastAsia"/>
                <w:color w:val="auto"/>
                <w:kern w:val="0"/>
                <w:sz w:val="24"/>
                <w:highlight w:val="none"/>
              </w:rPr>
              <w:t>）。项目完成后，若</w:t>
            </w:r>
            <w:r>
              <w:rPr>
                <w:rFonts w:hint="eastAsia"/>
                <w:color w:val="auto"/>
                <w:kern w:val="0"/>
                <w:sz w:val="24"/>
              </w:rPr>
              <w:t>无工业油流则永久封井并恢复原地貌；若发现工业油流，则按程序办理农用地转用和土地征收审批手续后，依法实施后续开采。</w:t>
            </w:r>
            <w:r>
              <w:rPr>
                <w:rFonts w:hint="eastAsia"/>
                <w:color w:val="auto"/>
                <w:kern w:val="0"/>
                <w:sz w:val="24"/>
                <w:lang w:eastAsia="zh-CN"/>
              </w:rPr>
              <w:t>本工程</w:t>
            </w:r>
            <w:r>
              <w:rPr>
                <w:rFonts w:hint="eastAsia"/>
                <w:color w:val="auto"/>
                <w:kern w:val="0"/>
                <w:sz w:val="24"/>
              </w:rPr>
              <w:t>不涉及后续开发</w:t>
            </w:r>
          </w:p>
          <w:p w14:paraId="42DE9B7A">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lang w:val="en-US" w:eastAsia="zh-CN"/>
              </w:rPr>
              <w:t>8</w:t>
            </w:r>
            <w:r>
              <w:rPr>
                <w:rFonts w:hint="eastAsia"/>
                <w:color w:val="auto"/>
                <w:kern w:val="0"/>
                <w:sz w:val="24"/>
              </w:rPr>
              <w:t>、“三线一单”符合性分析</w:t>
            </w:r>
          </w:p>
          <w:p w14:paraId="1331A627">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eastAsia"/>
                <w:color w:val="auto"/>
                <w:kern w:val="0"/>
                <w:sz w:val="24"/>
              </w:rPr>
              <w:t>根据《巴彦淖尔市人民政府办公室关于巴彦淖尔市2023年生态环境分区管控成果动态更新的通知》（巴政办字〔2023〕106号），巴彦淖尔市全市共划定环境管控单元256个，包括优先保护单元、重点管控单元、一般管控单元三类，实施分类管控。</w:t>
            </w:r>
          </w:p>
          <w:p w14:paraId="763A6ED9">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lang w:eastAsia="zh-CN"/>
              </w:rPr>
              <w:t>本工程</w:t>
            </w:r>
            <w:r>
              <w:rPr>
                <w:rFonts w:hint="default"/>
                <w:color w:val="auto"/>
                <w:kern w:val="0"/>
                <w:sz w:val="24"/>
              </w:rPr>
              <w:t>位于重点管控单元，该区域应不断提升资源利用效率，有针对性地加强污染物排放控制和环境风险防控，解决生态环境质量不达标、生态环境风险高等问题。</w:t>
            </w:r>
          </w:p>
          <w:p w14:paraId="58071BB1">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eastAsia"/>
                <w:color w:val="auto"/>
                <w:kern w:val="0"/>
                <w:sz w:val="24"/>
                <w:lang w:eastAsia="zh-CN"/>
              </w:rPr>
              <w:t>本工程</w:t>
            </w:r>
            <w:r>
              <w:rPr>
                <w:rFonts w:hint="eastAsia"/>
                <w:color w:val="auto"/>
                <w:kern w:val="0"/>
                <w:sz w:val="24"/>
              </w:rPr>
              <w:t>属于国家战略油气资源勘探，不属于大规模、高强度的工业开发，施工期产生的废气、废水、固废等均能合理处置及利用</w:t>
            </w:r>
            <w:r>
              <w:rPr>
                <w:rFonts w:hint="default"/>
                <w:color w:val="auto"/>
                <w:kern w:val="0"/>
                <w:sz w:val="24"/>
              </w:rPr>
              <w:t>，不会对区域生态环境产生影响，符合重点管控单元的相关要求。</w:t>
            </w:r>
          </w:p>
          <w:p w14:paraId="4F3CBF57">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auto"/>
                <w:sz w:val="24"/>
              </w:rPr>
            </w:pPr>
            <w:r>
              <w:rPr>
                <w:rFonts w:hint="default"/>
                <w:color w:val="auto"/>
              </w:rPr>
              <mc:AlternateContent>
                <mc:Choice Requires="wps">
                  <w:drawing>
                    <wp:anchor distT="0" distB="0" distL="114300" distR="114300" simplePos="0" relativeHeight="251668480" behindDoc="0" locked="0" layoutInCell="1" allowOverlap="1">
                      <wp:simplePos x="0" y="0"/>
                      <wp:positionH relativeFrom="column">
                        <wp:posOffset>1670685</wp:posOffset>
                      </wp:positionH>
                      <wp:positionV relativeFrom="paragraph">
                        <wp:posOffset>2181225</wp:posOffset>
                      </wp:positionV>
                      <wp:extent cx="90805" cy="90805"/>
                      <wp:effectExtent l="0" t="0" r="23495" b="42545"/>
                      <wp:wrapNone/>
                      <wp:docPr id="103" name="自选图形 2074"/>
                      <wp:cNvGraphicFramePr/>
                      <a:graphic xmlns:a="http://schemas.openxmlformats.org/drawingml/2006/main">
                        <a:graphicData uri="http://schemas.microsoft.com/office/word/2010/wordprocessingShape">
                          <wps:wsp>
                            <wps:cNvSpPr/>
                            <wps:spPr>
                              <a:xfrm>
                                <a:off x="0" y="0"/>
                                <a:ext cx="90805" cy="90805"/>
                              </a:xfrm>
                              <a:prstGeom prst="triangle">
                                <a:avLst>
                                  <a:gd name="adj" fmla="val 50000"/>
                                </a:avLst>
                              </a:prstGeom>
                              <a:solidFill>
                                <a:srgbClr val="000000"/>
                              </a:solidFill>
                              <a:ln w="38100">
                                <a:noFill/>
                              </a:ln>
                              <a:effectLst>
                                <a:outerShdw dist="28398" dir="3806096" algn="ctr" rotWithShape="0">
                                  <a:srgbClr val="7F7F7F">
                                    <a:alpha val="50000"/>
                                  </a:srgbClr>
                                </a:outerShdw>
                              </a:effectLst>
                            </wps:spPr>
                            <wps:bodyPr wrap="square" upright="1"/>
                          </wps:wsp>
                        </a:graphicData>
                      </a:graphic>
                    </wp:anchor>
                  </w:drawing>
                </mc:Choice>
                <mc:Fallback>
                  <w:pict>
                    <v:shape id="自选图形 2074" o:spid="_x0000_s1026" o:spt="5" type="#_x0000_t5" style="position:absolute;left:0pt;margin-left:131.55pt;margin-top:171.75pt;height:7.15pt;width:7.15pt;z-index:251668480;mso-width-relative:page;mso-height-relative:page;" fillcolor="#000000" filled="t" stroked="f" coordsize="21600,21600" o:gfxdata="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4MJDiNsAAAALAQAADwAAAAAAAAABACAAAAAiAAAAZHJzL2Rvd25yZXYu&#10;eG1sUEsBAhQAFAAAAAgAh07iQN5Bmd4xAgAAVgQAAA4AAAAAAAAAAQAgAAAAKgEAAGRycy9lMm9E&#10;b2MueG1sUEsFBgAAAAAGAAYAWQEAAM0FAAAAAA==&#10;" adj="10800">
                      <v:fill on="t" focussize="0,0"/>
                      <v:stroke on="f" weight="3pt"/>
                      <v:imagedata o:title=""/>
                      <o:lock v:ext="edit" aspectratio="f"/>
                      <v:shadow on="t" color="#7F7F7F" opacity="32768f" offset="1pt,2pt" origin="0f,0f" matrix="65536f,0f,0f,65536f"/>
                    </v:shape>
                  </w:pict>
                </mc:Fallback>
              </mc:AlternateContent>
            </w:r>
            <w:r>
              <w:rPr>
                <w:rFonts w:hint="default"/>
                <w:color w:val="auto"/>
              </w:rPr>
              <mc:AlternateContent>
                <mc:Choice Requires="wps">
                  <w:drawing>
                    <wp:anchor distT="0" distB="0" distL="114300" distR="114300" simplePos="0" relativeHeight="251667456" behindDoc="0" locked="0" layoutInCell="1" allowOverlap="1">
                      <wp:simplePos x="0" y="0"/>
                      <wp:positionH relativeFrom="column">
                        <wp:posOffset>260985</wp:posOffset>
                      </wp:positionH>
                      <wp:positionV relativeFrom="paragraph">
                        <wp:posOffset>633730</wp:posOffset>
                      </wp:positionV>
                      <wp:extent cx="864235" cy="323850"/>
                      <wp:effectExtent l="5080" t="4445" r="578485" b="1271905"/>
                      <wp:wrapNone/>
                      <wp:docPr id="102" name="自选图形 2073"/>
                      <wp:cNvGraphicFramePr/>
                      <a:graphic xmlns:a="http://schemas.openxmlformats.org/drawingml/2006/main">
                        <a:graphicData uri="http://schemas.microsoft.com/office/word/2010/wordprocessingShape">
                          <wps:wsp>
                            <wps:cNvSpPr/>
                            <wps:spPr>
                              <a:xfrm>
                                <a:off x="0" y="0"/>
                                <a:ext cx="864235" cy="323850"/>
                              </a:xfrm>
                              <a:prstGeom prst="wedgeRoundRectCallout">
                                <a:avLst>
                                  <a:gd name="adj1" fmla="val 114069"/>
                                  <a:gd name="adj2" fmla="val 431370"/>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45D9F686">
                                  <w:pPr>
                                    <w:jc w:val="center"/>
                                    <w:rPr>
                                      <w:sz w:val="24"/>
                                    </w:rPr>
                                  </w:pPr>
                                  <w:r>
                                    <w:rPr>
                                      <w:sz w:val="24"/>
                                    </w:rPr>
                                    <w:t>项目位置</w:t>
                                  </w:r>
                                </w:p>
                              </w:txbxContent>
                            </wps:txbx>
                            <wps:bodyPr vert="horz" wrap="square" anchor="t" anchorCtr="0" upright="1"/>
                          </wps:wsp>
                        </a:graphicData>
                      </a:graphic>
                    </wp:anchor>
                  </w:drawing>
                </mc:Choice>
                <mc:Fallback>
                  <w:pict>
                    <v:shape id="自选图形 2073" o:spid="_x0000_s1026" o:spt="62" type="#_x0000_t62" style="position:absolute;left:0pt;margin-left:20.55pt;margin-top:49.9pt;height:25.5pt;width:68.05pt;z-index:251667456;mso-width-relative:page;mso-height-relative:page;" fillcolor="#FFFFFF" filled="t" stroked="t" coordsize="21600,21600" o:gfxdata="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Qvlp29gAAAAJAQAADwAAAAAAAAABACAAAAAiAAAAZHJzL2Rvd25yZXYu&#10;eG1sUEsBAhQAFAAAAAgAh07iQF2HMcxtAgAA7gQAAA4AAAAAAAAAAQAgAAAAJwEAAGRycy9lMm9E&#10;b2MueG1sUEsFBgAAAAAGAAYAWQEAAAYGAAAAAA==&#10;" adj="35439,103976,14400">
                      <v:fill on="t" focussize="0,0"/>
                      <v:stroke color="#000000" joinstyle="miter"/>
                      <v:imagedata o:title=""/>
                      <o:lock v:ext="edit" aspectratio="f"/>
                      <v:textbox>
                        <w:txbxContent>
                          <w:p w14:paraId="45D9F686">
                            <w:pPr>
                              <w:jc w:val="center"/>
                              <w:rPr>
                                <w:sz w:val="24"/>
                              </w:rPr>
                            </w:pPr>
                            <w:r>
                              <w:rPr>
                                <w:sz w:val="24"/>
                              </w:rPr>
                              <w:t>项目位置</w:t>
                            </w:r>
                          </w:p>
                        </w:txbxContent>
                      </v:textbox>
                    </v:shape>
                  </w:pict>
                </mc:Fallback>
              </mc:AlternateContent>
            </w:r>
            <w:r>
              <w:rPr>
                <w:rFonts w:hint="default"/>
                <w:color w:val="auto"/>
              </w:rPr>
              <w:drawing>
                <wp:inline distT="0" distB="0" distL="114300" distR="114300">
                  <wp:extent cx="4255135" cy="2630170"/>
                  <wp:effectExtent l="0" t="0" r="12065" b="17780"/>
                  <wp:docPr id="10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6"/>
                          <pic:cNvPicPr>
                            <a:picLocks noChangeAspect="1"/>
                          </pic:cNvPicPr>
                        </pic:nvPicPr>
                        <pic:blipFill>
                          <a:blip r:embed="rId7"/>
                          <a:srcRect l="1764" t="8302" r="1508" b="3008"/>
                          <a:stretch>
                            <a:fillRect/>
                          </a:stretch>
                        </pic:blipFill>
                        <pic:spPr>
                          <a:xfrm>
                            <a:off x="0" y="0"/>
                            <a:ext cx="4255135" cy="2630170"/>
                          </a:xfrm>
                          <a:prstGeom prst="rect">
                            <a:avLst/>
                          </a:prstGeom>
                          <a:noFill/>
                          <a:ln>
                            <a:noFill/>
                          </a:ln>
                        </pic:spPr>
                      </pic:pic>
                    </a:graphicData>
                  </a:graphic>
                </wp:inline>
              </w:drawing>
            </w:r>
          </w:p>
          <w:p w14:paraId="2E4E3341">
            <w:pPr>
              <w:keepNext w:val="0"/>
              <w:keepLines w:val="0"/>
              <w:suppressLineNumbers w:val="0"/>
              <w:adjustRightInd w:val="0"/>
              <w:snapToGrid w:val="0"/>
              <w:spacing w:before="0" w:beforeAutospacing="0" w:after="0" w:afterAutospacing="0" w:line="360" w:lineRule="auto"/>
              <w:ind w:left="0" w:right="0"/>
              <w:jc w:val="center"/>
              <w:rPr>
                <w:rFonts w:hint="default"/>
                <w:color w:val="auto"/>
                <w:sz w:val="24"/>
              </w:rPr>
            </w:pPr>
            <w:r>
              <w:rPr>
                <w:rFonts w:hint="default"/>
                <w:b/>
                <w:color w:val="auto"/>
                <w:sz w:val="24"/>
              </w:rPr>
              <w:t>图1-1 巴彦淖尔市生态环境管控单元图</w:t>
            </w:r>
          </w:p>
          <w:p w14:paraId="1D170B16">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（1）生态保护红线</w:t>
            </w:r>
          </w:p>
          <w:p w14:paraId="4220BAC4">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eastAsia"/>
                <w:color w:val="auto"/>
                <w:kern w:val="0"/>
                <w:sz w:val="24"/>
                <w:lang w:eastAsia="zh-CN"/>
              </w:rPr>
              <w:t>本工程</w:t>
            </w:r>
            <w:r>
              <w:rPr>
                <w:rFonts w:hint="eastAsia"/>
                <w:color w:val="auto"/>
                <w:kern w:val="0"/>
                <w:sz w:val="24"/>
                <w:highlight w:val="none"/>
              </w:rPr>
              <w:t>位于重点管控单元</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sz w:val="24"/>
                <w:szCs w:val="24"/>
                <w:lang w:eastAsia="zh-CN"/>
              </w:rPr>
              <w:t>哈腾套海农场油田</w:t>
            </w:r>
            <w:r>
              <w:rPr>
                <w:rFonts w:hint="eastAsia" w:ascii="宋体" w:hAnsi="宋体" w:eastAsia="宋体" w:cs="宋体"/>
                <w:color w:val="auto"/>
                <w:sz w:val="24"/>
                <w:szCs w:val="24"/>
              </w:rPr>
              <w:t>勘查用地</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r>
              <w:rPr>
                <w:rFonts w:hint="eastAsia"/>
                <w:color w:val="auto"/>
                <w:kern w:val="0"/>
                <w:sz w:val="24"/>
              </w:rPr>
              <w:t>不在生态保护红线范围内，</w:t>
            </w:r>
            <w:r>
              <w:rPr>
                <w:rFonts w:hint="default"/>
                <w:color w:val="auto"/>
                <w:kern w:val="0"/>
                <w:sz w:val="24"/>
              </w:rPr>
              <w:t>周边区域无自然保护区、风景名胜区、文化遗产保护区、水源保护地等环境敏感保护对象，符合生态保护红线的要求。</w:t>
            </w:r>
          </w:p>
          <w:p w14:paraId="4BC2E00B">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eastAsia"/>
                <w:color w:val="auto"/>
                <w:kern w:val="0"/>
                <w:sz w:val="24"/>
              </w:rPr>
            </w:pPr>
            <w:r>
              <w:rPr>
                <w:rFonts w:hint="default"/>
                <w:color w:val="auto"/>
                <w:kern w:val="0"/>
                <w:sz w:val="24"/>
              </w:rPr>
              <mc:AlternateContent>
                <mc:Choice Requires="wps">
                  <w:drawing>
                    <wp:anchor distT="0" distB="0" distL="114300" distR="114300" simplePos="0" relativeHeight="251665408" behindDoc="0" locked="0" layoutInCell="1" allowOverlap="1">
                      <wp:simplePos x="0" y="0"/>
                      <wp:positionH relativeFrom="column">
                        <wp:posOffset>1757680</wp:posOffset>
                      </wp:positionH>
                      <wp:positionV relativeFrom="paragraph">
                        <wp:posOffset>1722120</wp:posOffset>
                      </wp:positionV>
                      <wp:extent cx="90805" cy="90805"/>
                      <wp:effectExtent l="0" t="0" r="23495" b="42545"/>
                      <wp:wrapNone/>
                      <wp:docPr id="100" name="自选图形 449"/>
                      <wp:cNvGraphicFramePr/>
                      <a:graphic xmlns:a="http://schemas.openxmlformats.org/drawingml/2006/main">
                        <a:graphicData uri="http://schemas.microsoft.com/office/word/2010/wordprocessingShape">
                          <wps:wsp>
                            <wps:cNvSpPr/>
                            <wps:spPr>
                              <a:xfrm>
                                <a:off x="0" y="0"/>
                                <a:ext cx="90805" cy="90805"/>
                              </a:xfrm>
                              <a:prstGeom prst="triangle">
                                <a:avLst>
                                  <a:gd name="adj" fmla="val 50000"/>
                                </a:avLst>
                              </a:prstGeom>
                              <a:solidFill>
                                <a:srgbClr val="000000"/>
                              </a:solidFill>
                              <a:ln w="38100">
                                <a:noFill/>
                              </a:ln>
                              <a:effectLst>
                                <a:outerShdw dist="28398" dir="3806096" algn="ctr" rotWithShape="0">
                                  <a:srgbClr val="7F7F7F">
                                    <a:alpha val="50000"/>
                                  </a:srgbClr>
                                </a:outerShdw>
                              </a:effectLst>
                            </wps:spPr>
                            <wps:bodyPr wrap="square" upright="1"/>
                          </wps:wsp>
                        </a:graphicData>
                      </a:graphic>
                    </wp:anchor>
                  </w:drawing>
                </mc:Choice>
                <mc:Fallback>
                  <w:pict>
                    <v:shape id="自选图形 449" o:spid="_x0000_s1026" o:spt="5" type="#_x0000_t5" style="position:absolute;left:0pt;margin-left:138.4pt;margin-top:135.6pt;height:7.15pt;width:7.15pt;z-index:251665408;mso-width-relative:page;mso-height-relative:page;" fillcolor="#000000" filled="t" stroked="f" coordsize="21600,21600" o:gfxdata="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C3t942QAAAAsBAAAPAAAAAAAAAAEAIAAAACIAAABkcnMvZG93bnJldi54bWxQ&#10;SwECFAAUAAAACACHTuJAotvzvS8CAABVBAAADgAAAAAAAAABACAAAAAoAQAAZHJzL2Uyb0RvYy54&#10;bWxQSwUGAAAAAAYABgBZAQAAyQUAAAAA&#10;" adj="10800">
                      <v:fill on="t" focussize="0,0"/>
                      <v:stroke on="f" weight="3pt"/>
                      <v:imagedata o:title=""/>
                      <o:lock v:ext="edit" aspectratio="f"/>
                      <v:shadow on="t" color="#7F7F7F" opacity="32768f" offset="1pt,2pt" origin="0f,0f" matrix="65536f,0f,0f,65536f"/>
                    </v:shape>
                  </w:pict>
                </mc:Fallback>
              </mc:AlternateContent>
            </w:r>
            <w:r>
              <w:rPr>
                <w:rFonts w:hint="default"/>
                <w:color w:val="auto"/>
                <w:kern w:val="0"/>
                <w:sz w:val="24"/>
              </w:rPr>
              <mc:AlternateContent>
                <mc:Choice Requires="wps">
                  <w:drawing>
                    <wp:anchor distT="0" distB="0" distL="114300" distR="114300" simplePos="0" relativeHeight="251666432" behindDoc="0" locked="0" layoutInCell="1" allowOverlap="1">
                      <wp:simplePos x="0" y="0"/>
                      <wp:positionH relativeFrom="column">
                        <wp:posOffset>1842135</wp:posOffset>
                      </wp:positionH>
                      <wp:positionV relativeFrom="paragraph">
                        <wp:posOffset>2244090</wp:posOffset>
                      </wp:positionV>
                      <wp:extent cx="864235" cy="323850"/>
                      <wp:effectExtent l="36830" t="458470" r="13335" b="17780"/>
                      <wp:wrapNone/>
                      <wp:docPr id="101" name="自选图形 406"/>
                      <wp:cNvGraphicFramePr/>
                      <a:graphic xmlns:a="http://schemas.openxmlformats.org/drawingml/2006/main">
                        <a:graphicData uri="http://schemas.microsoft.com/office/word/2010/wordprocessingShape">
                          <wps:wsp>
                            <wps:cNvSpPr/>
                            <wps:spPr>
                              <a:xfrm>
                                <a:off x="0" y="0"/>
                                <a:ext cx="864235" cy="323850"/>
                              </a:xfrm>
                              <a:prstGeom prst="wedgeRoundRectCallout">
                                <a:avLst>
                                  <a:gd name="adj1" fmla="val -52639"/>
                                  <a:gd name="adj2" fmla="val -184505"/>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424F1C2C">
                                  <w:pPr>
                                    <w:jc w:val="center"/>
                                    <w:rPr>
                                      <w:sz w:val="24"/>
                                    </w:rPr>
                                  </w:pPr>
                                  <w:r>
                                    <w:rPr>
                                      <w:sz w:val="24"/>
                                    </w:rPr>
                                    <w:t>项目位置</w:t>
                                  </w:r>
                                </w:p>
                              </w:txbxContent>
                            </wps:txbx>
                            <wps:bodyPr vert="horz" wrap="square" anchor="t" anchorCtr="0" upright="1"/>
                          </wps:wsp>
                        </a:graphicData>
                      </a:graphic>
                    </wp:anchor>
                  </w:drawing>
                </mc:Choice>
                <mc:Fallback>
                  <w:pict>
                    <v:shape id="自选图形 406" o:spid="_x0000_s1026" o:spt="62" type="#_x0000_t62" style="position:absolute;left:0pt;margin-left:145.05pt;margin-top:176.7pt;height:25.5pt;width:68.05pt;z-index:251666432;mso-width-relative:page;mso-height-relative:page;" fillcolor="#FFFFFF" filled="t" stroked="t" coordsize="21600,21600" o:gfxdata="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2ZW8R2gAAAAsBAAAPAAAAAAAAAAEAIAAAACIAAABkcnMvZG93bnJldi54&#10;bWxQSwECFAAUAAAACACHTuJAehgKEGoCAADuBAAADgAAAAAAAAABACAAAAApAQAAZHJzL2Uyb0Rv&#10;Yy54bWxQSwUGAAAAAAYABgBZAQAABQYAAAAA&#10;" adj="-570,-29053,14400">
                      <v:fill on="t" focussize="0,0"/>
                      <v:stroke color="#000000" joinstyle="miter"/>
                      <v:imagedata o:title=""/>
                      <o:lock v:ext="edit" aspectratio="f"/>
                      <v:textbox>
                        <w:txbxContent>
                          <w:p w14:paraId="424F1C2C">
                            <w:pPr>
                              <w:jc w:val="center"/>
                              <w:rPr>
                                <w:sz w:val="24"/>
                              </w:rPr>
                            </w:pPr>
                            <w:r>
                              <w:rPr>
                                <w:sz w:val="24"/>
                              </w:rPr>
                              <w:t>项目位置</w:t>
                            </w:r>
                          </w:p>
                        </w:txbxContent>
                      </v:textbox>
                    </v:shape>
                  </w:pict>
                </mc:Fallback>
              </mc:AlternateContent>
            </w:r>
            <w:r>
              <w:rPr>
                <w:rFonts w:hint="default"/>
                <w:color w:val="auto"/>
              </w:rPr>
              <w:drawing>
                <wp:inline distT="0" distB="0" distL="114300" distR="114300">
                  <wp:extent cx="4132580" cy="2491105"/>
                  <wp:effectExtent l="0" t="0" r="1270" b="4445"/>
                  <wp:docPr id="10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7"/>
                          <pic:cNvPicPr>
                            <a:picLocks noChangeAspect="1"/>
                          </pic:cNvPicPr>
                        </pic:nvPicPr>
                        <pic:blipFill>
                          <a:blip r:embed="rId8"/>
                          <a:stretch>
                            <a:fillRect/>
                          </a:stretch>
                        </pic:blipFill>
                        <pic:spPr>
                          <a:xfrm>
                            <a:off x="0" y="0"/>
                            <a:ext cx="4132580" cy="2491105"/>
                          </a:xfrm>
                          <a:prstGeom prst="rect">
                            <a:avLst/>
                          </a:prstGeom>
                          <a:noFill/>
                          <a:ln>
                            <a:noFill/>
                          </a:ln>
                        </pic:spPr>
                      </pic:pic>
                    </a:graphicData>
                  </a:graphic>
                </wp:inline>
              </w:drawing>
            </w:r>
          </w:p>
          <w:p w14:paraId="73D50E5A">
            <w:pPr>
              <w:keepNext w:val="0"/>
              <w:keepLines w:val="0"/>
              <w:suppressLineNumbers w:val="0"/>
              <w:adjustRightInd w:val="0"/>
              <w:snapToGrid w:val="0"/>
              <w:spacing w:before="0" w:beforeAutospacing="0" w:after="0" w:afterAutospacing="0" w:line="360" w:lineRule="auto"/>
              <w:ind w:left="0" w:right="0"/>
              <w:jc w:val="center"/>
              <w:rPr>
                <w:rFonts w:hint="eastAsia"/>
                <w:b/>
                <w:color w:val="auto"/>
                <w:sz w:val="24"/>
              </w:rPr>
            </w:pPr>
            <w:r>
              <w:rPr>
                <w:rFonts w:hint="default"/>
                <w:b/>
                <w:color w:val="auto"/>
                <w:sz w:val="24"/>
              </w:rPr>
              <w:t>图1-</w:t>
            </w:r>
            <w:r>
              <w:rPr>
                <w:rFonts w:hint="eastAsia"/>
                <w:b/>
                <w:color w:val="auto"/>
                <w:sz w:val="24"/>
              </w:rPr>
              <w:t>2</w:t>
            </w:r>
            <w:r>
              <w:rPr>
                <w:rFonts w:hint="default"/>
                <w:b/>
                <w:color w:val="auto"/>
                <w:sz w:val="24"/>
              </w:rPr>
              <w:t xml:space="preserve"> 巴彦淖尔市</w:t>
            </w:r>
            <w:r>
              <w:rPr>
                <w:rFonts w:hint="eastAsia"/>
                <w:b/>
                <w:color w:val="auto"/>
                <w:sz w:val="24"/>
              </w:rPr>
              <w:t>生态保护红线</w:t>
            </w:r>
            <w:r>
              <w:rPr>
                <w:rFonts w:hint="default"/>
                <w:b/>
                <w:color w:val="auto"/>
                <w:sz w:val="24"/>
              </w:rPr>
              <w:t>分布图</w:t>
            </w:r>
          </w:p>
          <w:p w14:paraId="3D180F71">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（2）环境质量底线</w:t>
            </w:r>
          </w:p>
          <w:p w14:paraId="1A909CF0">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eastAsia"/>
                <w:color w:val="auto"/>
                <w:kern w:val="0"/>
                <w:sz w:val="24"/>
                <w:lang w:eastAsia="zh-CN"/>
              </w:rPr>
              <w:t>本工程</w:t>
            </w:r>
            <w:r>
              <w:rPr>
                <w:rFonts w:hint="default"/>
                <w:color w:val="auto"/>
                <w:kern w:val="0"/>
                <w:sz w:val="24"/>
              </w:rPr>
              <w:t>区域属于环境空气二类区，执行《环境空气质量标准》（GB3095-2012）及修改单中二级标准，</w:t>
            </w:r>
            <w:r>
              <w:rPr>
                <w:rFonts w:hint="eastAsia"/>
                <w:color w:val="auto"/>
                <w:kern w:val="0"/>
                <w:sz w:val="24"/>
              </w:rPr>
              <w:t>根据《巴彦淖尔市20</w:t>
            </w:r>
            <w:r>
              <w:rPr>
                <w:rFonts w:hint="eastAsia"/>
                <w:color w:val="auto"/>
                <w:kern w:val="0"/>
                <w:sz w:val="24"/>
                <w:lang w:val="en-US" w:eastAsia="zh-CN"/>
              </w:rPr>
              <w:t>23</w:t>
            </w:r>
            <w:r>
              <w:rPr>
                <w:rFonts w:hint="eastAsia"/>
                <w:color w:val="auto"/>
                <w:kern w:val="0"/>
                <w:sz w:val="24"/>
              </w:rPr>
              <w:t>年环境质量状况公报》中空气环境质量数据，</w:t>
            </w:r>
            <w:r>
              <w:rPr>
                <w:rFonts w:hint="eastAsia"/>
                <w:color w:val="auto"/>
                <w:kern w:val="0"/>
                <w:sz w:val="24"/>
                <w:lang w:eastAsia="zh-CN"/>
              </w:rPr>
              <w:t>本工程</w:t>
            </w:r>
            <w:r>
              <w:rPr>
                <w:rFonts w:hint="default"/>
                <w:color w:val="auto"/>
                <w:kern w:val="0"/>
                <w:sz w:val="24"/>
              </w:rPr>
              <w:t>位于达标区，施工周期较短，</w:t>
            </w:r>
            <w:r>
              <w:rPr>
                <w:rFonts w:hint="eastAsia"/>
                <w:color w:val="auto"/>
                <w:kern w:val="0"/>
                <w:sz w:val="24"/>
              </w:rPr>
              <w:t>在</w:t>
            </w:r>
            <w:r>
              <w:rPr>
                <w:rFonts w:hint="default"/>
                <w:color w:val="auto"/>
                <w:kern w:val="0"/>
                <w:sz w:val="24"/>
              </w:rPr>
              <w:t>采取相关废气治理措施后，不会改变区域大气环境功能。</w:t>
            </w:r>
          </w:p>
          <w:p w14:paraId="6F9E27B9">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eastAsia"/>
                <w:color w:val="auto"/>
                <w:kern w:val="0"/>
                <w:sz w:val="24"/>
                <w:lang w:eastAsia="zh-CN"/>
              </w:rPr>
              <w:t>本工程</w:t>
            </w:r>
            <w:r>
              <w:rPr>
                <w:rFonts w:hint="default"/>
                <w:color w:val="auto"/>
                <w:kern w:val="0"/>
                <w:sz w:val="24"/>
              </w:rPr>
              <w:t>钻井废水处理后</w:t>
            </w:r>
            <w:r>
              <w:rPr>
                <w:rFonts w:hint="eastAsia"/>
                <w:color w:val="auto"/>
                <w:kern w:val="0"/>
                <w:sz w:val="24"/>
                <w:lang w:eastAsia="zh-CN"/>
              </w:rPr>
              <w:t>回注</w:t>
            </w:r>
            <w:r>
              <w:rPr>
                <w:rFonts w:hint="default"/>
                <w:color w:val="auto"/>
                <w:kern w:val="0"/>
                <w:sz w:val="24"/>
              </w:rPr>
              <w:t>，不外排，故</w:t>
            </w:r>
            <w:r>
              <w:rPr>
                <w:rFonts w:hint="eastAsia"/>
                <w:color w:val="auto"/>
                <w:kern w:val="0"/>
                <w:sz w:val="24"/>
                <w:lang w:eastAsia="zh-CN"/>
              </w:rPr>
              <w:t>本工程</w:t>
            </w:r>
            <w:r>
              <w:rPr>
                <w:rFonts w:hint="default"/>
                <w:color w:val="auto"/>
                <w:kern w:val="0"/>
                <w:sz w:val="24"/>
              </w:rPr>
              <w:t>的实施不会对区域地表水体造成不利影响，不会改变区域地表水环境功能和水环境质量，且将对</w:t>
            </w:r>
            <w:r>
              <w:rPr>
                <w:rFonts w:hint="eastAsia"/>
                <w:color w:val="auto"/>
                <w:kern w:val="0"/>
                <w:sz w:val="24"/>
                <w:lang w:eastAsia="zh-CN"/>
              </w:rPr>
              <w:t>项目占地</w:t>
            </w:r>
            <w:r>
              <w:rPr>
                <w:rFonts w:hint="default"/>
                <w:color w:val="auto"/>
                <w:kern w:val="0"/>
                <w:sz w:val="24"/>
              </w:rPr>
              <w:t>进行分区防渗，不会对区域地下水造成影响，不会改变其水环境功能区划。</w:t>
            </w:r>
          </w:p>
          <w:p w14:paraId="63E94052">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项目所在区域声环境质量良好，执行《声环境质量标准》（GB3096-2008）中2类区标准，项目施工期排放施工噪声，对区域声环境将造成一定的不利影响，但施工期较短，施工结束后，其影响随即消失。</w:t>
            </w:r>
          </w:p>
          <w:p w14:paraId="08EE4320">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kern w:val="0"/>
                <w:sz w:val="24"/>
                <w:lang w:eastAsia="zh-CN"/>
              </w:rPr>
            </w:pPr>
            <w:r>
              <w:rPr>
                <w:rFonts w:hint="eastAsia"/>
                <w:color w:val="auto"/>
                <w:kern w:val="0"/>
                <w:sz w:val="24"/>
                <w:lang w:eastAsia="zh-CN"/>
              </w:rPr>
              <w:t>本项目采用泥浆不落地循环工艺，利用防渗泥浆循环罐代替泥浆池。钻井过程中采用无害化水基钻井泥浆，钻井泥浆循环使用，“泥浆不落地工艺”处理产生的固相废弃泥浆、岩屑（泥饼）拉运委托路桥公司至内蒙古联源热电有限公司固废处置场填埋。废机油、落地油等危废委托有资质的单位处置。</w:t>
            </w:r>
          </w:p>
          <w:p w14:paraId="01825FF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综上所述，项目采取相应的污染防治措施后不会对区域环境造成影响，未超出环境质量底线。</w:t>
            </w:r>
          </w:p>
          <w:p w14:paraId="224A1BB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（3）资源利用上</w:t>
            </w:r>
            <w:r>
              <w:rPr>
                <w:rFonts w:hint="default"/>
                <w:color w:val="auto"/>
                <w:kern w:val="0"/>
                <w:sz w:val="24"/>
                <w:highlight w:val="none"/>
              </w:rPr>
              <w:t>线</w:t>
            </w:r>
          </w:p>
          <w:p w14:paraId="3EF6E848">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eastAsia"/>
                <w:color w:val="auto"/>
                <w:kern w:val="0"/>
                <w:sz w:val="24"/>
                <w:lang w:eastAsia="zh-CN"/>
              </w:rPr>
              <w:t>本工程</w:t>
            </w:r>
            <w:r>
              <w:rPr>
                <w:rFonts w:hint="default"/>
                <w:color w:val="auto"/>
                <w:kern w:val="0"/>
                <w:sz w:val="24"/>
              </w:rPr>
              <w:t>为石油勘探项目，全部为临时用地，施工中消耗少量柴油，消耗少量水资源。项目资源消耗量相对区域资源利用总量较小，不会突破资源利用上</w:t>
            </w:r>
            <w:r>
              <w:rPr>
                <w:rFonts w:hint="default"/>
                <w:color w:val="auto"/>
                <w:kern w:val="0"/>
                <w:sz w:val="24"/>
                <w:highlight w:val="none"/>
              </w:rPr>
              <w:t>线</w:t>
            </w:r>
            <w:r>
              <w:rPr>
                <w:rFonts w:hint="default"/>
                <w:color w:val="auto"/>
                <w:kern w:val="0"/>
                <w:sz w:val="24"/>
              </w:rPr>
              <w:t>。</w:t>
            </w:r>
          </w:p>
          <w:p w14:paraId="4B20A7C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（4）生态环境准入清单</w:t>
            </w:r>
          </w:p>
          <w:p w14:paraId="4D6A1028">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lang w:eastAsia="zh-CN"/>
              </w:rPr>
              <w:t>本工程</w:t>
            </w:r>
            <w:r>
              <w:rPr>
                <w:rFonts w:hint="eastAsia"/>
                <w:color w:val="auto"/>
                <w:kern w:val="0"/>
                <w:sz w:val="24"/>
              </w:rPr>
              <w:t>与巴彦淖尔市总体准入要求中的总体要求符合性分析如下。</w:t>
            </w:r>
          </w:p>
          <w:p w14:paraId="4951C592">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根据《巴彦淖尔市生态环境准入清单》中巴彦淖尔市</w:t>
            </w:r>
            <w:r>
              <w:rPr>
                <w:rFonts w:hint="eastAsia"/>
                <w:color w:val="auto"/>
                <w:kern w:val="0"/>
                <w:sz w:val="24"/>
                <w:lang w:eastAsia="zh-CN"/>
              </w:rPr>
              <w:t>磴口县</w:t>
            </w:r>
            <w:r>
              <w:rPr>
                <w:rFonts w:hint="eastAsia"/>
                <w:color w:val="auto"/>
                <w:kern w:val="0"/>
                <w:sz w:val="24"/>
              </w:rPr>
              <w:t>生态环境准入清单，</w:t>
            </w:r>
            <w:r>
              <w:rPr>
                <w:rFonts w:hint="eastAsia"/>
                <w:color w:val="auto"/>
                <w:kern w:val="0"/>
                <w:sz w:val="24"/>
                <w:lang w:eastAsia="zh-CN"/>
              </w:rPr>
              <w:t>扎格6</w:t>
            </w:r>
            <w:r>
              <w:rPr>
                <w:rFonts w:hint="eastAsia"/>
                <w:color w:val="auto"/>
                <w:kern w:val="0"/>
                <w:sz w:val="24"/>
                <w:lang w:val="en-US" w:eastAsia="zh-CN"/>
              </w:rPr>
              <w:t>井位于</w:t>
            </w:r>
            <w:r>
              <w:rPr>
                <w:rFonts w:hint="eastAsia"/>
                <w:color w:val="auto"/>
                <w:kern w:val="0"/>
                <w:sz w:val="24"/>
                <w:lang w:eastAsia="zh-CN"/>
              </w:rPr>
              <w:t>哈腾套海农场油田勘查用地</w:t>
            </w:r>
            <w:r>
              <w:rPr>
                <w:rFonts w:hint="eastAsia"/>
                <w:color w:val="auto"/>
                <w:kern w:val="0"/>
                <w:sz w:val="24"/>
              </w:rPr>
              <w:t>，</w:t>
            </w:r>
            <w:r>
              <w:rPr>
                <w:rFonts w:hint="eastAsia"/>
                <w:color w:val="auto"/>
                <w:kern w:val="0"/>
                <w:sz w:val="24"/>
                <w:lang w:eastAsia="zh-CN"/>
              </w:rPr>
              <w:t>属于重点管控单元，</w:t>
            </w:r>
            <w:r>
              <w:rPr>
                <w:rFonts w:hint="eastAsia"/>
                <w:color w:val="auto"/>
                <w:kern w:val="0"/>
                <w:sz w:val="24"/>
                <w:lang w:val="en-US" w:eastAsia="zh-CN"/>
              </w:rPr>
              <w:t>管控编号ZH15082220011。</w:t>
            </w:r>
            <w:r>
              <w:rPr>
                <w:rFonts w:hint="eastAsia"/>
                <w:color w:val="auto"/>
                <w:kern w:val="0"/>
                <w:sz w:val="24"/>
              </w:rPr>
              <w:t>管控要求符合性分析如下。</w:t>
            </w:r>
          </w:p>
          <w:p w14:paraId="65750A25">
            <w:pPr>
              <w:keepNext w:val="0"/>
              <w:keepLines w:val="0"/>
              <w:suppressLineNumbers w:val="0"/>
              <w:spacing w:before="0" w:beforeAutospacing="0" w:after="0" w:afterAutospacing="0"/>
              <w:ind w:left="0" w:right="0"/>
              <w:jc w:val="center"/>
              <w:rPr>
                <w:rFonts w:hint="eastAsia"/>
                <w:b/>
                <w:color w:val="auto"/>
                <w:sz w:val="24"/>
                <w:szCs w:val="21"/>
              </w:rPr>
            </w:pPr>
            <w:r>
              <w:rPr>
                <w:rFonts w:hint="default"/>
                <w:b/>
                <w:color w:val="auto"/>
                <w:sz w:val="24"/>
                <w:szCs w:val="21"/>
              </w:rPr>
              <w:t>表1-</w:t>
            </w:r>
            <w:r>
              <w:rPr>
                <w:rFonts w:hint="eastAsia"/>
                <w:b/>
                <w:color w:val="auto"/>
                <w:sz w:val="24"/>
                <w:szCs w:val="21"/>
              </w:rPr>
              <w:t>6 与《巴彦淖尔市生态环境准入清单》符合性分析</w:t>
            </w:r>
          </w:p>
          <w:tbl>
            <w:tblPr>
              <w:tblStyle w:val="30"/>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620"/>
              <w:gridCol w:w="620"/>
              <w:gridCol w:w="2640"/>
              <w:gridCol w:w="2636"/>
              <w:gridCol w:w="520"/>
            </w:tblGrid>
            <w:tr w14:paraId="5E8FE8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4" w:type="pct"/>
                  <w:noWrap w:val="0"/>
                  <w:tcMar>
                    <w:left w:w="0" w:type="dxa"/>
                    <w:right w:w="0" w:type="dxa"/>
                  </w:tcMar>
                  <w:vAlign w:val="center"/>
                </w:tcPr>
                <w:p w14:paraId="52BC7844">
                  <w:pPr>
                    <w:keepNext w:val="0"/>
                    <w:keepLines w:val="0"/>
                    <w:suppressLineNumbers w:val="0"/>
                    <w:spacing w:before="0" w:beforeAutospacing="0" w:after="0" w:afterAutospacing="0"/>
                    <w:ind w:left="0" w:right="0"/>
                    <w:jc w:val="center"/>
                    <w:rPr>
                      <w:rFonts w:hint="default"/>
                      <w:color w:val="auto"/>
                    </w:rPr>
                  </w:pPr>
                  <w:r>
                    <w:rPr>
                      <w:rFonts w:hint="eastAsia"/>
                      <w:color w:val="auto"/>
                    </w:rPr>
                    <w:t>乡镇</w:t>
                  </w:r>
                </w:p>
              </w:tc>
              <w:tc>
                <w:tcPr>
                  <w:tcW w:w="403" w:type="pct"/>
                  <w:noWrap w:val="0"/>
                  <w:tcMar>
                    <w:left w:w="0" w:type="dxa"/>
                    <w:right w:w="0" w:type="dxa"/>
                  </w:tcMar>
                  <w:vAlign w:val="center"/>
                </w:tcPr>
                <w:p w14:paraId="75EB5888">
                  <w:pPr>
                    <w:keepNext w:val="0"/>
                    <w:keepLines w:val="0"/>
                    <w:suppressLineNumbers w:val="0"/>
                    <w:spacing w:before="0" w:beforeAutospacing="0" w:after="0" w:afterAutospacing="0"/>
                    <w:ind w:left="0" w:right="0"/>
                    <w:jc w:val="center"/>
                    <w:rPr>
                      <w:rFonts w:hint="eastAsia"/>
                      <w:color w:val="auto"/>
                    </w:rPr>
                  </w:pPr>
                  <w:r>
                    <w:rPr>
                      <w:rFonts w:hint="eastAsia"/>
                      <w:color w:val="auto"/>
                    </w:rPr>
                    <w:t>管控</w:t>
                  </w:r>
                </w:p>
                <w:p w14:paraId="5DDE36B8">
                  <w:pPr>
                    <w:keepNext w:val="0"/>
                    <w:keepLines w:val="0"/>
                    <w:suppressLineNumbers w:val="0"/>
                    <w:spacing w:before="0" w:beforeAutospacing="0" w:after="0" w:afterAutospacing="0"/>
                    <w:ind w:left="0" w:right="0"/>
                    <w:jc w:val="center"/>
                    <w:rPr>
                      <w:rFonts w:hint="default"/>
                      <w:color w:val="auto"/>
                    </w:rPr>
                  </w:pPr>
                  <w:r>
                    <w:rPr>
                      <w:rFonts w:hint="eastAsia"/>
                      <w:color w:val="auto"/>
                    </w:rPr>
                    <w:t>单元</w:t>
                  </w:r>
                </w:p>
              </w:tc>
              <w:tc>
                <w:tcPr>
                  <w:tcW w:w="403" w:type="pct"/>
                  <w:noWrap w:val="0"/>
                  <w:tcMar>
                    <w:left w:w="0" w:type="dxa"/>
                    <w:right w:w="0" w:type="dxa"/>
                  </w:tcMar>
                  <w:vAlign w:val="center"/>
                </w:tcPr>
                <w:p w14:paraId="03D6F8E6">
                  <w:pPr>
                    <w:keepNext w:val="0"/>
                    <w:keepLines w:val="0"/>
                    <w:suppressLineNumbers w:val="0"/>
                    <w:spacing w:before="0" w:beforeAutospacing="0" w:after="0" w:afterAutospacing="0"/>
                    <w:ind w:left="0" w:right="0"/>
                    <w:jc w:val="center"/>
                    <w:rPr>
                      <w:rFonts w:hint="default"/>
                      <w:color w:val="auto"/>
                    </w:rPr>
                  </w:pPr>
                  <w:r>
                    <w:rPr>
                      <w:rFonts w:hint="default"/>
                      <w:color w:val="auto"/>
                    </w:rPr>
                    <w:t>维度</w:t>
                  </w:r>
                </w:p>
              </w:tc>
              <w:tc>
                <w:tcPr>
                  <w:tcW w:w="1716" w:type="pct"/>
                  <w:noWrap w:val="0"/>
                  <w:tcMar>
                    <w:left w:w="0" w:type="dxa"/>
                    <w:right w:w="0" w:type="dxa"/>
                  </w:tcMar>
                  <w:vAlign w:val="center"/>
                </w:tcPr>
                <w:p w14:paraId="4E0EA0D2">
                  <w:pPr>
                    <w:keepNext w:val="0"/>
                    <w:keepLines w:val="0"/>
                    <w:suppressLineNumbers w:val="0"/>
                    <w:spacing w:before="0" w:beforeAutospacing="0" w:after="0" w:afterAutospacing="0"/>
                    <w:ind w:left="0" w:right="0"/>
                    <w:jc w:val="center"/>
                    <w:rPr>
                      <w:rFonts w:hint="default"/>
                      <w:color w:val="auto"/>
                    </w:rPr>
                  </w:pPr>
                  <w:r>
                    <w:rPr>
                      <w:rFonts w:hint="eastAsia"/>
                      <w:color w:val="auto"/>
                    </w:rPr>
                    <w:t>管控</w:t>
                  </w:r>
                  <w:r>
                    <w:rPr>
                      <w:rFonts w:hint="default"/>
                      <w:color w:val="auto"/>
                    </w:rPr>
                    <w:t>措施</w:t>
                  </w:r>
                </w:p>
              </w:tc>
              <w:tc>
                <w:tcPr>
                  <w:tcW w:w="1714" w:type="pct"/>
                  <w:noWrap w:val="0"/>
                  <w:tcMar>
                    <w:left w:w="0" w:type="dxa"/>
                    <w:right w:w="0" w:type="dxa"/>
                  </w:tcMar>
                  <w:vAlign w:val="center"/>
                </w:tcPr>
                <w:p w14:paraId="770625BF">
                  <w:pPr>
                    <w:keepNext w:val="0"/>
                    <w:keepLines w:val="0"/>
                    <w:suppressLineNumbers w:val="0"/>
                    <w:spacing w:before="0" w:beforeAutospacing="0" w:after="0" w:afterAutospacing="0"/>
                    <w:ind w:left="0" w:right="0"/>
                    <w:jc w:val="center"/>
                    <w:rPr>
                      <w:rFonts w:hint="eastAsia" w:eastAsia="宋体"/>
                      <w:color w:val="auto"/>
                      <w:lang w:eastAsia="zh-CN"/>
                    </w:rPr>
                  </w:pPr>
                  <w:r>
                    <w:rPr>
                      <w:rFonts w:hint="eastAsia"/>
                      <w:color w:val="auto"/>
                      <w:lang w:eastAsia="zh-CN"/>
                    </w:rPr>
                    <w:t>本工程</w:t>
                  </w:r>
                </w:p>
              </w:tc>
              <w:tc>
                <w:tcPr>
                  <w:tcW w:w="338" w:type="pct"/>
                  <w:noWrap w:val="0"/>
                  <w:tcMar>
                    <w:left w:w="0" w:type="dxa"/>
                    <w:right w:w="0" w:type="dxa"/>
                  </w:tcMar>
                  <w:vAlign w:val="center"/>
                </w:tcPr>
                <w:p w14:paraId="1E49A6B1">
                  <w:pPr>
                    <w:keepNext w:val="0"/>
                    <w:keepLines w:val="0"/>
                    <w:suppressLineNumbers w:val="0"/>
                    <w:spacing w:before="0" w:beforeAutospacing="0" w:after="0" w:afterAutospacing="0"/>
                    <w:ind w:left="0" w:right="0"/>
                    <w:jc w:val="center"/>
                    <w:rPr>
                      <w:rFonts w:hint="default"/>
                      <w:color w:val="auto"/>
                    </w:rPr>
                  </w:pPr>
                  <w:r>
                    <w:rPr>
                      <w:rFonts w:hint="default"/>
                      <w:color w:val="auto"/>
                    </w:rPr>
                    <w:t>是否符合</w:t>
                  </w:r>
                </w:p>
              </w:tc>
            </w:tr>
            <w:tr w14:paraId="364F36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424" w:type="pct"/>
                  <w:vMerge w:val="restart"/>
                  <w:noWrap w:val="0"/>
                  <w:tcMar>
                    <w:left w:w="0" w:type="dxa"/>
                    <w:right w:w="0" w:type="dxa"/>
                  </w:tcMar>
                  <w:vAlign w:val="center"/>
                </w:tcPr>
                <w:p w14:paraId="7E00A413">
                  <w:pPr>
                    <w:keepNext w:val="0"/>
                    <w:keepLines w:val="0"/>
                    <w:suppressLineNumbers w:val="0"/>
                    <w:spacing w:before="0" w:beforeAutospacing="0" w:after="0" w:afterAutospacing="0"/>
                    <w:ind w:left="0" w:right="0"/>
                    <w:jc w:val="center"/>
                    <w:rPr>
                      <w:rFonts w:hint="eastAsia"/>
                      <w:color w:val="auto"/>
                    </w:rPr>
                  </w:pPr>
                  <w:r>
                    <w:rPr>
                      <w:rFonts w:hint="eastAsia"/>
                      <w:color w:val="auto"/>
                      <w:lang w:eastAsia="zh-CN"/>
                    </w:rPr>
                    <w:t>哈腾套海农场油田</w:t>
                  </w:r>
                  <w:r>
                    <w:rPr>
                      <w:rFonts w:hint="eastAsia"/>
                      <w:color w:val="auto"/>
                    </w:rPr>
                    <w:t>勘查用地</w:t>
                  </w:r>
                </w:p>
              </w:tc>
              <w:tc>
                <w:tcPr>
                  <w:tcW w:w="403" w:type="pct"/>
                  <w:vMerge w:val="restart"/>
                  <w:noWrap w:val="0"/>
                  <w:tcMar>
                    <w:left w:w="0" w:type="dxa"/>
                    <w:right w:w="0" w:type="dxa"/>
                  </w:tcMar>
                  <w:vAlign w:val="center"/>
                </w:tcPr>
                <w:p w14:paraId="77C2088D">
                  <w:pPr>
                    <w:keepNext w:val="0"/>
                    <w:keepLines w:val="0"/>
                    <w:suppressLineNumbers w:val="0"/>
                    <w:spacing w:before="0" w:beforeAutospacing="0" w:after="0" w:afterAutospacing="0"/>
                    <w:ind w:left="0" w:right="0"/>
                    <w:jc w:val="center"/>
                    <w:rPr>
                      <w:rFonts w:hint="eastAsia"/>
                      <w:color w:val="auto"/>
                    </w:rPr>
                  </w:pPr>
                  <w:r>
                    <w:rPr>
                      <w:rFonts w:hint="eastAsia"/>
                      <w:color w:val="auto"/>
                    </w:rPr>
                    <w:t>重点管控单元</w:t>
                  </w:r>
                </w:p>
              </w:tc>
              <w:tc>
                <w:tcPr>
                  <w:tcW w:w="403" w:type="pct"/>
                  <w:noWrap w:val="0"/>
                  <w:tcMar>
                    <w:left w:w="0" w:type="dxa"/>
                    <w:right w:w="0" w:type="dxa"/>
                  </w:tcMar>
                  <w:vAlign w:val="center"/>
                </w:tcPr>
                <w:p w14:paraId="39A95BFB">
                  <w:pPr>
                    <w:keepNext w:val="0"/>
                    <w:keepLines w:val="0"/>
                    <w:suppressLineNumbers w:val="0"/>
                    <w:spacing w:before="0" w:beforeAutospacing="0" w:after="0" w:afterAutospacing="0"/>
                    <w:ind w:left="0" w:right="0"/>
                    <w:jc w:val="center"/>
                    <w:rPr>
                      <w:rFonts w:hint="default"/>
                      <w:color w:val="auto"/>
                    </w:rPr>
                  </w:pPr>
                  <w:r>
                    <w:rPr>
                      <w:rFonts w:hint="default"/>
                      <w:color w:val="auto"/>
                    </w:rPr>
                    <w:t>空间布局约束</w:t>
                  </w:r>
                </w:p>
              </w:tc>
              <w:tc>
                <w:tcPr>
                  <w:tcW w:w="1716" w:type="pct"/>
                  <w:noWrap w:val="0"/>
                  <w:tcMar>
                    <w:left w:w="0" w:type="dxa"/>
                    <w:right w:w="0" w:type="dxa"/>
                  </w:tcMar>
                  <w:vAlign w:val="center"/>
                </w:tcPr>
                <w:p w14:paraId="7A78EF1E">
                  <w:pPr>
                    <w:keepNext w:val="0"/>
                    <w:keepLines w:val="0"/>
                    <w:numPr>
                      <w:ilvl w:val="0"/>
                      <w:numId w:val="2"/>
                    </w:numPr>
                    <w:suppressLineNumbers w:val="0"/>
                    <w:spacing w:before="0" w:beforeAutospacing="0" w:after="0" w:afterAutospacing="0"/>
                    <w:ind w:left="0" w:right="0"/>
                    <w:jc w:val="left"/>
                    <w:rPr>
                      <w:rFonts w:hint="eastAsia"/>
                      <w:color w:val="auto"/>
                    </w:rPr>
                  </w:pPr>
                  <w:r>
                    <w:rPr>
                      <w:rFonts w:hint="eastAsia"/>
                      <w:color w:val="auto"/>
                    </w:rPr>
                    <w:t xml:space="preserve">新建、改建、扩建项目均采用清洁生产工艺和技术，工业废水回用率达到90%以上，工业固体废物资源化及无害化处理处置率达到100%。要遏制重大、杜绝特别重大环境污染和生态破坏事故的发生。要逐步实现对行业排放的石油类污染物进行总量控制。 </w:t>
                  </w:r>
                </w:p>
                <w:p w14:paraId="7BED6F19">
                  <w:pPr>
                    <w:keepNext w:val="0"/>
                    <w:keepLines w:val="0"/>
                    <w:numPr>
                      <w:ilvl w:val="0"/>
                      <w:numId w:val="2"/>
                    </w:numPr>
                    <w:suppressLineNumbers w:val="0"/>
                    <w:spacing w:before="0" w:beforeAutospacing="0" w:after="0" w:afterAutospacing="0"/>
                    <w:ind w:left="0" w:leftChars="0" w:right="0" w:firstLine="0" w:firstLineChars="0"/>
                    <w:jc w:val="left"/>
                    <w:rPr>
                      <w:rFonts w:hint="eastAsia"/>
                      <w:color w:val="auto"/>
                    </w:rPr>
                  </w:pPr>
                  <w:r>
                    <w:rPr>
                      <w:rFonts w:hint="eastAsia"/>
                      <w:color w:val="auto"/>
                    </w:rPr>
                    <w:t xml:space="preserve">大力推行清洁生产，发展循环经济，强化末端治理，注重环境风险防范，因地制宜进行生态恢复与建设，实现绿色发展。 </w:t>
                  </w:r>
                </w:p>
                <w:p w14:paraId="437A80C5">
                  <w:pPr>
                    <w:keepNext w:val="0"/>
                    <w:keepLines w:val="0"/>
                    <w:numPr>
                      <w:ilvl w:val="0"/>
                      <w:numId w:val="0"/>
                    </w:numPr>
                    <w:suppressLineNumbers w:val="0"/>
                    <w:spacing w:before="0" w:beforeAutospacing="0" w:after="0" w:afterAutospacing="0"/>
                    <w:ind w:left="0" w:leftChars="0" w:right="0"/>
                    <w:jc w:val="left"/>
                    <w:rPr>
                      <w:rFonts w:hint="default"/>
                      <w:color w:val="auto"/>
                    </w:rPr>
                  </w:pPr>
                  <w:r>
                    <w:rPr>
                      <w:rFonts w:hint="eastAsia"/>
                      <w:color w:val="auto"/>
                    </w:rPr>
                    <w:t>3、在环境敏感区进行石油勘探、开采的，要在开发前对生态、环境影响进行充分论证，并严格执行环境影响评价文件的要求，积极采取缓解生态、环境破坏的措施。</w:t>
                  </w:r>
                </w:p>
              </w:tc>
              <w:tc>
                <w:tcPr>
                  <w:tcW w:w="1714" w:type="pct"/>
                  <w:noWrap w:val="0"/>
                  <w:vAlign w:val="center"/>
                </w:tcPr>
                <w:p w14:paraId="10AABC75">
                  <w:pPr>
                    <w:keepNext w:val="0"/>
                    <w:keepLines w:val="0"/>
                    <w:suppressLineNumbers w:val="0"/>
                    <w:spacing w:before="0" w:beforeAutospacing="0" w:after="0" w:afterAutospacing="0"/>
                    <w:ind w:left="0" w:right="0"/>
                    <w:jc w:val="left"/>
                    <w:rPr>
                      <w:rFonts w:hint="eastAsia"/>
                      <w:color w:val="auto"/>
                    </w:rPr>
                  </w:pPr>
                  <w:r>
                    <w:rPr>
                      <w:rFonts w:hint="eastAsia"/>
                      <w:color w:val="auto"/>
                    </w:rPr>
                    <w:t>1.</w:t>
                  </w:r>
                  <w:r>
                    <w:rPr>
                      <w:rFonts w:hint="eastAsia"/>
                      <w:color w:val="auto"/>
                      <w:lang w:eastAsia="zh-CN"/>
                    </w:rPr>
                    <w:t>本工程使用清洁生产工艺及技术，</w:t>
                  </w:r>
                  <w:r>
                    <w:rPr>
                      <w:rFonts w:hint="eastAsia"/>
                      <w:color w:val="auto"/>
                    </w:rPr>
                    <w:t>项目采用泥浆不落地工艺技术。该技术利用防渗泥浆罐代替原有泥浆池，有效减少了工程开挖带来的环境风险。钻井过程中采用水基钻井泥浆，钻井泥浆循环使用，固体废物</w:t>
                  </w:r>
                  <w:r>
                    <w:rPr>
                      <w:rFonts w:hint="eastAsia"/>
                      <w:color w:val="auto"/>
                      <w:lang w:eastAsia="zh-CN"/>
                    </w:rPr>
                    <w:t>均能</w:t>
                  </w:r>
                  <w:r>
                    <w:rPr>
                      <w:rFonts w:hint="eastAsia"/>
                      <w:color w:val="auto"/>
                    </w:rPr>
                    <w:t>合理化处置</w:t>
                  </w:r>
                  <w:r>
                    <w:rPr>
                      <w:rFonts w:hint="eastAsia"/>
                      <w:color w:val="auto"/>
                      <w:lang w:val="en-US" w:eastAsia="zh-CN"/>
                    </w:rPr>
                    <w:t>100%，废水集中处理，集中调配回注，利用率大于90%。</w:t>
                  </w:r>
                </w:p>
                <w:p w14:paraId="66C0930C">
                  <w:pPr>
                    <w:keepNext w:val="0"/>
                    <w:keepLines w:val="0"/>
                    <w:suppressLineNumbers w:val="0"/>
                    <w:spacing w:before="0" w:beforeAutospacing="0" w:after="0" w:afterAutospacing="0"/>
                    <w:ind w:left="0" w:right="0"/>
                    <w:jc w:val="left"/>
                    <w:rPr>
                      <w:rFonts w:hint="eastAsia"/>
                      <w:color w:val="auto"/>
                    </w:rPr>
                  </w:pPr>
                  <w:r>
                    <w:rPr>
                      <w:rFonts w:hint="eastAsia"/>
                      <w:color w:val="auto"/>
                    </w:rPr>
                    <w:t>2.</w:t>
                  </w:r>
                  <w:r>
                    <w:rPr>
                      <w:rFonts w:hint="eastAsia"/>
                      <w:color w:val="auto"/>
                      <w:highlight w:val="none"/>
                      <w:lang w:eastAsia="zh-CN"/>
                    </w:rPr>
                    <w:t>本工程</w:t>
                  </w:r>
                  <w:r>
                    <w:rPr>
                      <w:rFonts w:hint="eastAsia"/>
                      <w:color w:val="auto"/>
                      <w:highlight w:val="none"/>
                    </w:rPr>
                    <w:t>涉及占用</w:t>
                  </w:r>
                  <w:r>
                    <w:rPr>
                      <w:rFonts w:hint="eastAsia"/>
                      <w:color w:val="auto"/>
                      <w:highlight w:val="none"/>
                      <w:lang w:eastAsia="zh-CN"/>
                    </w:rPr>
                    <w:t>农用地</w:t>
                  </w:r>
                  <w:r>
                    <w:rPr>
                      <w:rFonts w:hint="eastAsia"/>
                      <w:color w:val="auto"/>
                      <w:highlight w:val="none"/>
                    </w:rPr>
                    <w:t>，项目开工前对表层土进行收集暂存，勘探结束后按照复垦方案要求进行复垦，确保项目</w:t>
                  </w:r>
                  <w:r>
                    <w:rPr>
                      <w:rFonts w:hint="eastAsia"/>
                      <w:color w:val="auto"/>
                    </w:rPr>
                    <w:t>完成后恢复到原有状态。</w:t>
                  </w:r>
                </w:p>
                <w:p w14:paraId="71A2B75D">
                  <w:pPr>
                    <w:keepNext w:val="0"/>
                    <w:keepLines w:val="0"/>
                    <w:suppressLineNumbers w:val="0"/>
                    <w:spacing w:before="0" w:beforeAutospacing="0" w:after="0" w:afterAutospacing="0"/>
                    <w:ind w:left="0" w:right="0"/>
                    <w:jc w:val="left"/>
                    <w:rPr>
                      <w:rFonts w:hint="eastAsia"/>
                      <w:color w:val="auto"/>
                      <w:lang w:eastAsia="zh-CN"/>
                    </w:rPr>
                  </w:pPr>
                  <w:r>
                    <w:rPr>
                      <w:rFonts w:hint="eastAsia"/>
                      <w:color w:val="auto"/>
                    </w:rPr>
                    <w:t>3.</w:t>
                  </w:r>
                  <w:r>
                    <w:rPr>
                      <w:rFonts w:hint="eastAsia"/>
                      <w:color w:val="auto"/>
                      <w:lang w:eastAsia="zh-CN"/>
                    </w:rPr>
                    <w:t>本工程占地及评价范围不涉及环境敏感区，</w:t>
                  </w:r>
                  <w:r>
                    <w:rPr>
                      <w:rFonts w:hint="eastAsia"/>
                      <w:color w:val="auto"/>
                      <w:lang w:val="en-US" w:eastAsia="zh-CN"/>
                    </w:rPr>
                    <w:t>所以不需要</w:t>
                  </w:r>
                  <w:r>
                    <w:rPr>
                      <w:rFonts w:hint="eastAsia"/>
                      <w:color w:val="auto"/>
                      <w:lang w:eastAsia="zh-CN"/>
                    </w:rPr>
                    <w:t>在开发前对生态、环境影响进行充分论证。</w:t>
                  </w:r>
                </w:p>
                <w:p w14:paraId="59669EEB">
                  <w:pPr>
                    <w:keepNext w:val="0"/>
                    <w:keepLines w:val="0"/>
                    <w:suppressLineNumbers w:val="0"/>
                    <w:spacing w:before="0" w:beforeAutospacing="0" w:after="0" w:afterAutospacing="0"/>
                    <w:ind w:left="0" w:right="0"/>
                    <w:jc w:val="left"/>
                    <w:rPr>
                      <w:rFonts w:hint="eastAsia"/>
                      <w:color w:val="auto"/>
                      <w:lang w:eastAsia="zh-CN"/>
                    </w:rPr>
                  </w:pPr>
                  <w:r>
                    <w:rPr>
                      <w:rFonts w:hint="eastAsia"/>
                      <w:color w:val="auto"/>
                      <w:lang w:eastAsia="zh-CN"/>
                    </w:rPr>
                    <w:t>勘探过程中积极采取了</w:t>
                  </w:r>
                </w:p>
                <w:p w14:paraId="36B219EE">
                  <w:pPr>
                    <w:keepNext w:val="0"/>
                    <w:keepLines w:val="0"/>
                    <w:suppressLineNumbers w:val="0"/>
                    <w:spacing w:before="0" w:beforeAutospacing="0" w:after="0" w:afterAutospacing="0"/>
                    <w:ind w:left="0" w:right="0"/>
                    <w:jc w:val="left"/>
                    <w:rPr>
                      <w:rFonts w:hint="default"/>
                      <w:color w:val="auto"/>
                    </w:rPr>
                  </w:pPr>
                  <w:r>
                    <w:rPr>
                      <w:rFonts w:hint="eastAsia"/>
                      <w:color w:val="auto"/>
                      <w:lang w:eastAsia="zh-CN"/>
                    </w:rPr>
                    <w:t>本工程勘探结束后，若不具备开采价值，则进行封井封场处理，采取减缓生态环境影响措施，对用地范围内进行地表清理、表土回覆、平整、翻耕等有效措施对占用的基本农田及时复垦。在严格落实防治措施的前提下，可有效减轻对生态的破坏和环境污染。</w:t>
                  </w:r>
                </w:p>
              </w:tc>
              <w:tc>
                <w:tcPr>
                  <w:tcW w:w="338" w:type="pct"/>
                  <w:noWrap w:val="0"/>
                  <w:vAlign w:val="center"/>
                </w:tcPr>
                <w:p w14:paraId="30FD245C">
                  <w:pPr>
                    <w:keepNext w:val="0"/>
                    <w:keepLines w:val="0"/>
                    <w:widowControl/>
                    <w:suppressLineNumbers w:val="0"/>
                    <w:spacing w:before="0" w:beforeAutospacing="0" w:after="0" w:afterAutospacing="0" w:line="360" w:lineRule="auto"/>
                    <w:ind w:left="0" w:right="0"/>
                    <w:jc w:val="center"/>
                    <w:rPr>
                      <w:rFonts w:hint="default"/>
                      <w:color w:val="auto"/>
                    </w:rPr>
                  </w:pPr>
                  <w:r>
                    <w:rPr>
                      <w:rFonts w:hint="default"/>
                      <w:color w:val="auto"/>
                    </w:rPr>
                    <w:t>符合</w:t>
                  </w:r>
                </w:p>
              </w:tc>
            </w:tr>
            <w:tr w14:paraId="353F4A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424" w:type="pct"/>
                  <w:vMerge w:val="continue"/>
                  <w:noWrap w:val="0"/>
                  <w:tcMar>
                    <w:left w:w="0" w:type="dxa"/>
                    <w:right w:w="0" w:type="dxa"/>
                  </w:tcMar>
                  <w:vAlign w:val="center"/>
                </w:tcPr>
                <w:p w14:paraId="57C6211C">
                  <w:pPr>
                    <w:keepNext w:val="0"/>
                    <w:keepLines w:val="0"/>
                    <w:suppressLineNumbers w:val="0"/>
                    <w:spacing w:before="0" w:beforeAutospacing="0" w:after="0" w:afterAutospacing="0"/>
                    <w:ind w:left="0" w:right="0"/>
                    <w:jc w:val="center"/>
                    <w:rPr>
                      <w:rFonts w:hint="eastAsia"/>
                      <w:color w:val="auto"/>
                    </w:rPr>
                  </w:pPr>
                </w:p>
              </w:tc>
              <w:tc>
                <w:tcPr>
                  <w:tcW w:w="403" w:type="pct"/>
                  <w:vMerge w:val="continue"/>
                  <w:noWrap w:val="0"/>
                  <w:vAlign w:val="center"/>
                </w:tcPr>
                <w:p w14:paraId="2CE5EA2B">
                  <w:pPr>
                    <w:keepNext w:val="0"/>
                    <w:keepLines w:val="0"/>
                    <w:suppressLineNumbers w:val="0"/>
                    <w:spacing w:before="0" w:beforeAutospacing="0" w:after="0" w:afterAutospacing="0"/>
                    <w:ind w:left="0" w:right="0" w:firstLine="420" w:firstLineChars="200"/>
                    <w:jc w:val="left"/>
                    <w:rPr>
                      <w:rFonts w:hint="eastAsia"/>
                      <w:color w:val="auto"/>
                    </w:rPr>
                  </w:pPr>
                </w:p>
              </w:tc>
              <w:tc>
                <w:tcPr>
                  <w:tcW w:w="403" w:type="pct"/>
                  <w:noWrap w:val="0"/>
                  <w:tcMar>
                    <w:left w:w="0" w:type="dxa"/>
                    <w:right w:w="0" w:type="dxa"/>
                  </w:tcMar>
                  <w:vAlign w:val="center"/>
                </w:tcPr>
                <w:p w14:paraId="17B53403">
                  <w:pPr>
                    <w:keepNext w:val="0"/>
                    <w:keepLines w:val="0"/>
                    <w:suppressLineNumbers w:val="0"/>
                    <w:spacing w:before="0" w:beforeAutospacing="0" w:after="0" w:afterAutospacing="0"/>
                    <w:ind w:left="0" w:right="0"/>
                    <w:jc w:val="center"/>
                    <w:rPr>
                      <w:rFonts w:hint="default"/>
                      <w:color w:val="auto"/>
                    </w:rPr>
                  </w:pPr>
                  <w:r>
                    <w:rPr>
                      <w:rFonts w:hint="default"/>
                      <w:color w:val="auto"/>
                    </w:rPr>
                    <w:t>污染物排放管控</w:t>
                  </w:r>
                </w:p>
              </w:tc>
              <w:tc>
                <w:tcPr>
                  <w:tcW w:w="1716" w:type="pct"/>
                  <w:noWrap w:val="0"/>
                  <w:tcMar>
                    <w:left w:w="0" w:type="dxa"/>
                    <w:right w:w="0" w:type="dxa"/>
                  </w:tcMar>
                  <w:vAlign w:val="center"/>
                </w:tcPr>
                <w:p w14:paraId="2581A395">
                  <w:pPr>
                    <w:keepNext w:val="0"/>
                    <w:keepLines w:val="0"/>
                    <w:numPr>
                      <w:ilvl w:val="0"/>
                      <w:numId w:val="3"/>
                    </w:numPr>
                    <w:suppressLineNumbers w:val="0"/>
                    <w:spacing w:before="0" w:beforeAutospacing="0" w:after="0" w:afterAutospacing="0"/>
                    <w:ind w:left="0" w:right="0"/>
                    <w:jc w:val="left"/>
                    <w:rPr>
                      <w:rFonts w:hint="eastAsia"/>
                      <w:color w:val="auto"/>
                    </w:rPr>
                  </w:pPr>
                  <w:r>
                    <w:rPr>
                      <w:rFonts w:hint="eastAsia"/>
                      <w:color w:val="auto"/>
                    </w:rPr>
                    <w:t>油田建设宜布置丛式井组，采用多分支井、水平井、小孔钻井、空气钻井等钻井技术，以减少废物产生和占地。</w:t>
                  </w:r>
                </w:p>
                <w:p w14:paraId="3A7D078C">
                  <w:pPr>
                    <w:keepNext w:val="0"/>
                    <w:keepLines w:val="0"/>
                    <w:numPr>
                      <w:ilvl w:val="0"/>
                      <w:numId w:val="3"/>
                    </w:numPr>
                    <w:suppressLineNumbers w:val="0"/>
                    <w:spacing w:before="0" w:beforeAutospacing="0" w:after="0" w:afterAutospacing="0"/>
                    <w:ind w:left="0" w:leftChars="0" w:right="0" w:firstLine="0" w:firstLineChars="0"/>
                    <w:jc w:val="left"/>
                    <w:rPr>
                      <w:rFonts w:hint="eastAsia"/>
                      <w:color w:val="auto"/>
                    </w:rPr>
                  </w:pPr>
                  <w:r>
                    <w:rPr>
                      <w:rFonts w:hint="eastAsia"/>
                      <w:color w:val="auto"/>
                    </w:rPr>
                    <w:t>在油气勘探过程中，应根据工区测线布设，合理规划行车线路和爆炸点，避让环境敏感区和环境敏感时间。对爆点地表应立即进行恢复。</w:t>
                  </w:r>
                </w:p>
                <w:p w14:paraId="69F5C915">
                  <w:pPr>
                    <w:keepNext w:val="0"/>
                    <w:keepLines w:val="0"/>
                    <w:numPr>
                      <w:ilvl w:val="0"/>
                      <w:numId w:val="3"/>
                    </w:numPr>
                    <w:suppressLineNumbers w:val="0"/>
                    <w:spacing w:before="0" w:beforeAutospacing="0" w:after="0" w:afterAutospacing="0"/>
                    <w:ind w:left="0" w:leftChars="0" w:right="0" w:firstLine="0" w:firstLineChars="0"/>
                    <w:jc w:val="left"/>
                    <w:rPr>
                      <w:rFonts w:hint="eastAsia"/>
                      <w:color w:val="auto"/>
                    </w:rPr>
                  </w:pPr>
                  <w:r>
                    <w:rPr>
                      <w:rFonts w:hint="eastAsia"/>
                      <w:color w:val="auto"/>
                    </w:rPr>
                    <w:t xml:space="preserve">在测井过程中，鼓励应用核磁共振测井技术，减少生态破坏；运输测井放射源车辆应加装定位系统。 </w:t>
                  </w:r>
                </w:p>
                <w:p w14:paraId="7A953755">
                  <w:pPr>
                    <w:keepNext w:val="0"/>
                    <w:keepLines w:val="0"/>
                    <w:numPr>
                      <w:ilvl w:val="0"/>
                      <w:numId w:val="3"/>
                    </w:numPr>
                    <w:suppressLineNumbers w:val="0"/>
                    <w:spacing w:before="0" w:beforeAutospacing="0" w:after="0" w:afterAutospacing="0"/>
                    <w:ind w:left="0" w:leftChars="0" w:right="0" w:firstLine="0" w:firstLineChars="0"/>
                    <w:jc w:val="left"/>
                    <w:rPr>
                      <w:rFonts w:hint="eastAsia"/>
                      <w:color w:val="auto"/>
                    </w:rPr>
                  </w:pPr>
                  <w:r>
                    <w:rPr>
                      <w:rFonts w:hint="eastAsia"/>
                      <w:color w:val="auto"/>
                    </w:rPr>
                    <w:t xml:space="preserve">在开发过程中，伴生气应回收利用，减少温室气体排放，不具备回收利用条件的，应充分燃烧，伴生气回收利用率应达到80%以上；站场放空天然气应充分燃烧。燃烧放空设施应避开鸟类迁徙通道。 </w:t>
                  </w:r>
                </w:p>
                <w:p w14:paraId="1DAC214B">
                  <w:pPr>
                    <w:keepNext w:val="0"/>
                    <w:keepLines w:val="0"/>
                    <w:numPr>
                      <w:ilvl w:val="0"/>
                      <w:numId w:val="3"/>
                    </w:numPr>
                    <w:suppressLineNumbers w:val="0"/>
                    <w:spacing w:before="0" w:beforeAutospacing="0" w:after="0" w:afterAutospacing="0"/>
                    <w:ind w:left="0" w:leftChars="0" w:right="0" w:firstLine="0" w:firstLineChars="0"/>
                    <w:jc w:val="left"/>
                    <w:rPr>
                      <w:rFonts w:hint="eastAsia"/>
                      <w:color w:val="auto"/>
                    </w:rPr>
                  </w:pPr>
                  <w:r>
                    <w:rPr>
                      <w:rFonts w:hint="eastAsia"/>
                      <w:color w:val="auto"/>
                    </w:rPr>
                    <w:t xml:space="preserve">在油气开发过程中，应采取措施减轻生态影响并及时用适地植物进行植被恢复。井场周围应设置围堤或井界沟。应设立地下水水质监测井，加强对油气田地下水水质的监控，防止回注过程对地下水造成污染。 </w:t>
                  </w:r>
                </w:p>
                <w:p w14:paraId="6CE4235F">
                  <w:pPr>
                    <w:keepNext w:val="0"/>
                    <w:keepLines w:val="0"/>
                    <w:numPr>
                      <w:ilvl w:val="0"/>
                      <w:numId w:val="3"/>
                    </w:numPr>
                    <w:suppressLineNumbers w:val="0"/>
                    <w:spacing w:before="0" w:beforeAutospacing="0" w:after="0" w:afterAutospacing="0"/>
                    <w:ind w:left="0" w:leftChars="0" w:right="0" w:firstLine="0" w:firstLineChars="0"/>
                    <w:jc w:val="left"/>
                    <w:rPr>
                      <w:rFonts w:hint="eastAsia"/>
                      <w:color w:val="auto"/>
                    </w:rPr>
                  </w:pPr>
                  <w:r>
                    <w:rPr>
                      <w:rFonts w:hint="eastAsia"/>
                      <w:color w:val="auto"/>
                    </w:rPr>
                    <w:t xml:space="preserve">位于湿地自然保护区和鸟类迁徙通道上的油田、油井，若有较大的生态影响，应将电线、采油管线地下敷设。在油田作业区，应采取措施，保护零散自然湿地。 </w:t>
                  </w:r>
                </w:p>
                <w:p w14:paraId="5D1BB742">
                  <w:pPr>
                    <w:keepNext w:val="0"/>
                    <w:keepLines w:val="0"/>
                    <w:numPr>
                      <w:ilvl w:val="0"/>
                      <w:numId w:val="3"/>
                    </w:numPr>
                    <w:suppressLineNumbers w:val="0"/>
                    <w:spacing w:before="0" w:beforeAutospacing="0" w:after="0" w:afterAutospacing="0"/>
                    <w:ind w:left="0" w:leftChars="0" w:right="0" w:firstLine="0" w:firstLineChars="0"/>
                    <w:jc w:val="left"/>
                    <w:rPr>
                      <w:rFonts w:hint="eastAsia"/>
                      <w:color w:val="auto"/>
                    </w:rPr>
                  </w:pPr>
                  <w:r>
                    <w:rPr>
                      <w:rFonts w:hint="eastAsia"/>
                      <w:color w:val="auto"/>
                    </w:rPr>
                    <w:t xml:space="preserve">油气田退役前应进行环境影响后评价，油气田企业应按照后评价要求进行生态恢复。 </w:t>
                  </w:r>
                </w:p>
                <w:p w14:paraId="397835E3">
                  <w:pPr>
                    <w:keepNext w:val="0"/>
                    <w:keepLines w:val="0"/>
                    <w:numPr>
                      <w:ilvl w:val="0"/>
                      <w:numId w:val="3"/>
                    </w:numPr>
                    <w:suppressLineNumbers w:val="0"/>
                    <w:spacing w:before="0" w:beforeAutospacing="0" w:after="0" w:afterAutospacing="0"/>
                    <w:ind w:left="0" w:leftChars="0" w:right="0" w:firstLine="0" w:firstLineChars="0"/>
                    <w:jc w:val="left"/>
                    <w:rPr>
                      <w:rFonts w:hint="eastAsia"/>
                      <w:color w:val="auto"/>
                    </w:rPr>
                  </w:pPr>
                  <w:r>
                    <w:rPr>
                      <w:rFonts w:hint="eastAsia"/>
                      <w:color w:val="auto"/>
                    </w:rPr>
                    <w:t xml:space="preserve">在钻井和井下作业过程中，鼓励污油、污水进入生产流程循环利用，未进入生产流程的污油、污水应采用固液分离、废水处理一体化装置等处理后达标外排。 </w:t>
                  </w:r>
                </w:p>
                <w:p w14:paraId="6C3C63FB">
                  <w:pPr>
                    <w:keepNext w:val="0"/>
                    <w:keepLines w:val="0"/>
                    <w:numPr>
                      <w:ilvl w:val="0"/>
                      <w:numId w:val="3"/>
                    </w:numPr>
                    <w:suppressLineNumbers w:val="0"/>
                    <w:spacing w:before="0" w:beforeAutospacing="0" w:after="0" w:afterAutospacing="0"/>
                    <w:ind w:left="0" w:leftChars="0" w:right="0" w:firstLine="0" w:firstLineChars="0"/>
                    <w:jc w:val="left"/>
                    <w:rPr>
                      <w:rFonts w:hint="eastAsia"/>
                      <w:color w:val="auto"/>
                    </w:rPr>
                  </w:pPr>
                  <w:r>
                    <w:rPr>
                      <w:rFonts w:hint="eastAsia"/>
                      <w:color w:val="auto"/>
                    </w:rPr>
                    <w:t xml:space="preserve">固体废物收集、贮存、处理处置设施应按照标准要求采取防渗措施。试油后应立即封闭废弃钻井液贮池。 </w:t>
                  </w:r>
                </w:p>
                <w:p w14:paraId="1DA4C0AA">
                  <w:pPr>
                    <w:keepNext w:val="0"/>
                    <w:keepLines w:val="0"/>
                    <w:numPr>
                      <w:ilvl w:val="0"/>
                      <w:numId w:val="0"/>
                    </w:numPr>
                    <w:suppressLineNumbers w:val="0"/>
                    <w:spacing w:before="0" w:beforeAutospacing="0" w:after="0" w:afterAutospacing="0"/>
                    <w:ind w:left="0" w:leftChars="0" w:right="0"/>
                    <w:jc w:val="left"/>
                    <w:rPr>
                      <w:rFonts w:hint="eastAsia"/>
                      <w:color w:val="auto"/>
                    </w:rPr>
                  </w:pPr>
                  <w:r>
                    <w:rPr>
                      <w:rFonts w:hint="eastAsia"/>
                      <w:color w:val="auto"/>
                    </w:rPr>
                    <w:t xml:space="preserve">10、应回收落地原油，以及原油处理、废水处理产生的油泥（砂）等中的油类物质，含油污泥资源化利用率应达到90%以上，残余固体废物应按照《国家危险废物名录》和危险废物鉴别标准识别，根据识别结果资源化利用或无害化处置。 </w:t>
                  </w:r>
                </w:p>
                <w:p w14:paraId="5103835B">
                  <w:pPr>
                    <w:keepNext w:val="0"/>
                    <w:keepLines w:val="0"/>
                    <w:numPr>
                      <w:ilvl w:val="0"/>
                      <w:numId w:val="0"/>
                    </w:numPr>
                    <w:suppressLineNumbers w:val="0"/>
                    <w:spacing w:before="0" w:beforeAutospacing="0" w:after="0" w:afterAutospacing="0"/>
                    <w:ind w:left="0" w:right="0"/>
                    <w:jc w:val="left"/>
                    <w:rPr>
                      <w:rFonts w:hint="eastAsia"/>
                      <w:color w:val="auto"/>
                    </w:rPr>
                  </w:pPr>
                  <w:r>
                    <w:rPr>
                      <w:rFonts w:hint="eastAsia"/>
                      <w:color w:val="auto"/>
                    </w:rPr>
                    <w:t>11、对受到油污染的土壤宜采取生物或物化方法进行修复。</w:t>
                  </w:r>
                </w:p>
              </w:tc>
              <w:tc>
                <w:tcPr>
                  <w:tcW w:w="1714" w:type="pct"/>
                  <w:noWrap w:val="0"/>
                  <w:tcMar>
                    <w:left w:w="0" w:type="dxa"/>
                    <w:right w:w="0" w:type="dxa"/>
                  </w:tcMar>
                  <w:vAlign w:val="center"/>
                </w:tcPr>
                <w:p w14:paraId="3987C953">
                  <w:pPr>
                    <w:keepNext w:val="0"/>
                    <w:keepLines w:val="0"/>
                    <w:suppressLineNumbers w:val="0"/>
                    <w:spacing w:before="0" w:beforeAutospacing="0" w:after="0" w:afterAutospacing="0"/>
                    <w:ind w:left="0" w:right="0"/>
                    <w:jc w:val="left"/>
                    <w:rPr>
                      <w:rFonts w:hint="eastAsia"/>
                      <w:color w:val="auto"/>
                    </w:rPr>
                  </w:pPr>
                  <w:r>
                    <w:rPr>
                      <w:rFonts w:hint="eastAsia"/>
                      <w:color w:val="auto"/>
                    </w:rPr>
                    <w:t>1.</w:t>
                  </w:r>
                  <w:r>
                    <w:rPr>
                      <w:rFonts w:hint="eastAsia"/>
                      <w:color w:val="auto"/>
                      <w:lang w:eastAsia="zh-CN"/>
                    </w:rPr>
                    <w:t>本项目属于油气勘查阶段，未探明地下油气分布情况，不宜布置丛式井组。</w:t>
                  </w:r>
                </w:p>
                <w:p w14:paraId="7EEABE2B">
                  <w:pPr>
                    <w:keepNext w:val="0"/>
                    <w:keepLines w:val="0"/>
                    <w:suppressLineNumbers w:val="0"/>
                    <w:spacing w:before="0" w:beforeAutospacing="0" w:after="0" w:afterAutospacing="0"/>
                    <w:ind w:left="0" w:right="0"/>
                    <w:jc w:val="left"/>
                    <w:rPr>
                      <w:rFonts w:hint="eastAsia"/>
                      <w:color w:val="auto"/>
                    </w:rPr>
                  </w:pPr>
                  <w:r>
                    <w:rPr>
                      <w:rFonts w:hint="eastAsia"/>
                      <w:color w:val="auto"/>
                    </w:rPr>
                    <w:t>2.</w:t>
                  </w:r>
                  <w:r>
                    <w:rPr>
                      <w:rFonts w:hint="eastAsia"/>
                      <w:color w:val="auto"/>
                      <w:lang w:eastAsia="zh-CN"/>
                    </w:rPr>
                    <w:t>本工程</w:t>
                  </w:r>
                  <w:r>
                    <w:rPr>
                      <w:rFonts w:hint="eastAsia"/>
                      <w:color w:val="auto"/>
                    </w:rPr>
                    <w:t>充分利用现有道路</w:t>
                  </w:r>
                  <w:r>
                    <w:rPr>
                      <w:rFonts w:hint="eastAsia"/>
                      <w:color w:val="auto"/>
                      <w:lang w:eastAsia="zh-CN"/>
                    </w:rPr>
                    <w:t>，新建少量进场道路</w:t>
                  </w:r>
                  <w:r>
                    <w:rPr>
                      <w:rFonts w:hint="eastAsia"/>
                      <w:color w:val="auto"/>
                      <w:lang w:val="en-US" w:eastAsia="zh-CN"/>
                    </w:rPr>
                    <w:t>512m</w:t>
                  </w:r>
                  <w:r>
                    <w:rPr>
                      <w:rFonts w:hint="eastAsia"/>
                      <w:color w:val="auto"/>
                    </w:rPr>
                    <w:t>。</w:t>
                  </w:r>
                  <w:r>
                    <w:rPr>
                      <w:rFonts w:hint="eastAsia"/>
                      <w:color w:val="auto"/>
                      <w:lang w:val="en-US" w:eastAsia="zh-CN"/>
                    </w:rPr>
                    <w:t>本工程不使用火攻炸药，因而没有地表爆炸点</w:t>
                  </w:r>
                  <w:r>
                    <w:rPr>
                      <w:rFonts w:hint="eastAsia"/>
                      <w:color w:val="auto"/>
                    </w:rPr>
                    <w:t>。</w:t>
                  </w:r>
                </w:p>
                <w:p w14:paraId="29AE529C">
                  <w:pPr>
                    <w:keepNext w:val="0"/>
                    <w:keepLines w:val="0"/>
                    <w:suppressLineNumbers w:val="0"/>
                    <w:spacing w:before="0" w:beforeAutospacing="0" w:after="0" w:afterAutospacing="0"/>
                    <w:ind w:left="0" w:right="0"/>
                    <w:jc w:val="left"/>
                    <w:rPr>
                      <w:rFonts w:hint="eastAsia"/>
                      <w:color w:val="auto"/>
                    </w:rPr>
                  </w:pPr>
                  <w:r>
                    <w:rPr>
                      <w:rFonts w:hint="eastAsia"/>
                      <w:color w:val="auto"/>
                    </w:rPr>
                    <w:t>3.</w:t>
                  </w:r>
                  <w:r>
                    <w:rPr>
                      <w:rFonts w:hint="eastAsia"/>
                      <w:color w:val="auto"/>
                      <w:lang w:eastAsia="zh-CN"/>
                    </w:rPr>
                    <w:t>本工程</w:t>
                  </w:r>
                  <w:r>
                    <w:rPr>
                      <w:rFonts w:hint="eastAsia"/>
                      <w:color w:val="auto"/>
                    </w:rPr>
                    <w:t>测井采用常规测井加核磁共振测井技术，测井放源车按要求已安装定位系统。</w:t>
                  </w:r>
                </w:p>
                <w:p w14:paraId="0C3C70AB">
                  <w:pPr>
                    <w:keepNext w:val="0"/>
                    <w:keepLines w:val="0"/>
                    <w:suppressLineNumbers w:val="0"/>
                    <w:spacing w:before="0" w:beforeAutospacing="0" w:after="0" w:afterAutospacing="0"/>
                    <w:ind w:left="0" w:right="0"/>
                    <w:jc w:val="left"/>
                    <w:rPr>
                      <w:rFonts w:hint="eastAsia"/>
                      <w:color w:val="auto"/>
                    </w:rPr>
                  </w:pPr>
                  <w:r>
                    <w:rPr>
                      <w:rFonts w:hint="eastAsia"/>
                      <w:color w:val="auto"/>
                    </w:rPr>
                    <w:t>4.根据前期勘探及项目周围勘探井试油结果分析，本勘探区域地层主要生产原油，伴生气含量较小，不具备回收条件，伴生气进入放喷装置后充分燃烧，燃烧放空设施附近无鸟类迁徙通道。</w:t>
                  </w:r>
                </w:p>
                <w:p w14:paraId="338B47E3">
                  <w:pPr>
                    <w:keepNext w:val="0"/>
                    <w:keepLines w:val="0"/>
                    <w:suppressLineNumbers w:val="0"/>
                    <w:spacing w:before="0" w:beforeAutospacing="0" w:after="0" w:afterAutospacing="0"/>
                    <w:ind w:left="0" w:right="0"/>
                    <w:jc w:val="left"/>
                    <w:rPr>
                      <w:rFonts w:hint="eastAsia"/>
                      <w:color w:val="auto"/>
                    </w:rPr>
                  </w:pPr>
                  <w:r>
                    <w:rPr>
                      <w:rFonts w:hint="eastAsia"/>
                      <w:color w:val="auto"/>
                    </w:rPr>
                    <w:t>5.</w:t>
                  </w:r>
                  <w:r>
                    <w:rPr>
                      <w:rFonts w:hint="eastAsia"/>
                      <w:color w:val="auto"/>
                      <w:lang w:eastAsia="zh-CN"/>
                    </w:rPr>
                    <w:t>本工程</w:t>
                  </w:r>
                  <w:r>
                    <w:rPr>
                      <w:rFonts w:hint="eastAsia"/>
                      <w:color w:val="auto"/>
                    </w:rPr>
                    <w:t>属于石油勘探阶段，不涉及永久占地。根据勘探结果，不具备开采价值的井口进行永久封井，按土地复垦方案要求进行恢复，恢复成</w:t>
                  </w:r>
                  <w:r>
                    <w:rPr>
                      <w:rFonts w:hint="eastAsia"/>
                      <w:color w:val="auto"/>
                      <w:lang w:eastAsia="zh-CN"/>
                    </w:rPr>
                    <w:t>耕地</w:t>
                  </w:r>
                  <w:r>
                    <w:rPr>
                      <w:rFonts w:hint="eastAsia"/>
                      <w:color w:val="auto"/>
                    </w:rPr>
                    <w:t>。具有开采价值，则保留试采井场和进场道路，移交相关部门转作开发井处理，后期若利用勘探井从事生产等活动，需另行履行</w:t>
                  </w:r>
                  <w:r>
                    <w:rPr>
                      <w:rFonts w:hint="eastAsia"/>
                      <w:color w:val="auto"/>
                      <w:lang w:eastAsia="zh-CN"/>
                    </w:rPr>
                    <w:t>环评</w:t>
                  </w:r>
                  <w:r>
                    <w:rPr>
                      <w:rFonts w:hint="eastAsia"/>
                      <w:color w:val="auto"/>
                    </w:rPr>
                    <w:t>手续。</w:t>
                  </w:r>
                </w:p>
                <w:p w14:paraId="4AF5AB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eastAsia"/>
                      <w:color w:val="auto"/>
                    </w:rPr>
                  </w:pPr>
                  <w:r>
                    <w:rPr>
                      <w:rFonts w:hint="eastAsia"/>
                      <w:color w:val="auto"/>
                    </w:rPr>
                    <w:t>6.</w:t>
                  </w:r>
                  <w:r>
                    <w:rPr>
                      <w:rFonts w:hint="eastAsia"/>
                      <w:color w:val="auto"/>
                      <w:lang w:eastAsia="zh-CN"/>
                    </w:rPr>
                    <w:t>本工程</w:t>
                  </w:r>
                  <w:r>
                    <w:rPr>
                      <w:rFonts w:hint="eastAsia"/>
                      <w:color w:val="auto"/>
                    </w:rPr>
                    <w:t>所在地无自然保护区、风景名胜区、森林公园、饮用水水源保护区所在地、地质遗迹保护区等重要生态保护地。</w:t>
                  </w:r>
                </w:p>
                <w:p w14:paraId="07802A09">
                  <w:pPr>
                    <w:keepNext w:val="0"/>
                    <w:keepLines w:val="0"/>
                    <w:suppressLineNumbers w:val="0"/>
                    <w:spacing w:before="0" w:beforeAutospacing="0" w:after="0" w:afterAutospacing="0"/>
                    <w:ind w:left="0" w:right="0"/>
                    <w:jc w:val="left"/>
                    <w:rPr>
                      <w:rFonts w:hint="eastAsia"/>
                      <w:color w:val="auto"/>
                    </w:rPr>
                  </w:pPr>
                  <w:r>
                    <w:rPr>
                      <w:rFonts w:hint="eastAsia"/>
                      <w:color w:val="auto"/>
                    </w:rPr>
                    <w:t>7.</w:t>
                  </w:r>
                  <w:r>
                    <w:rPr>
                      <w:rFonts w:hint="eastAsia"/>
                      <w:color w:val="auto"/>
                      <w:lang w:eastAsia="zh-CN"/>
                    </w:rPr>
                    <w:t>本工程</w:t>
                  </w:r>
                  <w:r>
                    <w:rPr>
                      <w:rFonts w:hint="eastAsia"/>
                      <w:color w:val="auto"/>
                    </w:rPr>
                    <w:t>为勘探施工期</w:t>
                  </w:r>
                  <w:r>
                    <w:rPr>
                      <w:rFonts w:hint="eastAsia"/>
                      <w:color w:val="auto"/>
                      <w:lang w:eastAsia="zh-CN"/>
                    </w:rPr>
                    <w:t>，只有</w:t>
                  </w:r>
                  <w:r>
                    <w:rPr>
                      <w:rFonts w:hint="eastAsia"/>
                      <w:color w:val="auto"/>
                      <w:lang w:val="en-US" w:eastAsia="zh-CN"/>
                    </w:rPr>
                    <w:t>60天的生命周期，</w:t>
                  </w:r>
                  <w:r>
                    <w:rPr>
                      <w:rFonts w:hint="eastAsia"/>
                      <w:color w:val="auto"/>
                    </w:rPr>
                    <w:t>不涉及</w:t>
                  </w:r>
                  <w:r>
                    <w:rPr>
                      <w:rFonts w:hint="eastAsia"/>
                      <w:color w:val="auto"/>
                      <w:lang w:eastAsia="zh-CN"/>
                    </w:rPr>
                    <w:t>后评价</w:t>
                  </w:r>
                  <w:r>
                    <w:rPr>
                      <w:rFonts w:hint="eastAsia"/>
                      <w:color w:val="auto"/>
                    </w:rPr>
                    <w:t>。</w:t>
                  </w:r>
                </w:p>
                <w:p w14:paraId="04F9019F">
                  <w:pPr>
                    <w:keepNext w:val="0"/>
                    <w:keepLines w:val="0"/>
                    <w:suppressLineNumbers w:val="0"/>
                    <w:spacing w:before="0" w:beforeAutospacing="0" w:after="0" w:afterAutospacing="0"/>
                    <w:ind w:left="0" w:right="0"/>
                    <w:jc w:val="left"/>
                    <w:rPr>
                      <w:rFonts w:hint="eastAsia"/>
                      <w:color w:val="auto"/>
                    </w:rPr>
                  </w:pPr>
                  <w:r>
                    <w:rPr>
                      <w:rFonts w:hint="eastAsia"/>
                      <w:color w:val="auto"/>
                    </w:rPr>
                    <w:t xml:space="preserve">8. </w:t>
                  </w:r>
                  <w:r>
                    <w:rPr>
                      <w:rFonts w:hint="eastAsia"/>
                      <w:color w:val="auto"/>
                      <w:lang w:eastAsia="zh-CN"/>
                    </w:rPr>
                    <w:t>本工程</w:t>
                  </w:r>
                  <w:r>
                    <w:rPr>
                      <w:rFonts w:hint="eastAsia"/>
                      <w:color w:val="auto"/>
                    </w:rPr>
                    <w:t>钻井废水经泥浆不落地措施处理后依托</w:t>
                  </w:r>
                  <w:r>
                    <w:rPr>
                      <w:rFonts w:hint="eastAsia"/>
                      <w:color w:val="auto"/>
                      <w:lang w:eastAsia="zh-CN"/>
                    </w:rPr>
                    <w:t>吉兰泰</w:t>
                  </w:r>
                  <w:r>
                    <w:rPr>
                      <w:rFonts w:hint="eastAsia"/>
                      <w:color w:val="auto"/>
                    </w:rPr>
                    <w:t>联合站</w:t>
                  </w:r>
                  <w:r>
                    <w:rPr>
                      <w:rFonts w:hint="eastAsia"/>
                      <w:color w:val="auto"/>
                      <w:lang w:eastAsia="zh-CN"/>
                    </w:rPr>
                    <w:t>（与本项目同属华北油田统一布局）采出水</w:t>
                  </w:r>
                  <w:r>
                    <w:rPr>
                      <w:rFonts w:hint="eastAsia"/>
                      <w:color w:val="auto"/>
                    </w:rPr>
                    <w:t>处理系统处理后回注油层</w:t>
                  </w:r>
                  <w:r>
                    <w:rPr>
                      <w:rFonts w:hint="eastAsia"/>
                      <w:color w:val="auto"/>
                    </w:rPr>
                    <w:t>，不外排。</w:t>
                  </w:r>
                </w:p>
                <w:p w14:paraId="008D0282">
                  <w:pPr>
                    <w:keepNext w:val="0"/>
                    <w:keepLines w:val="0"/>
                    <w:suppressLineNumbers w:val="0"/>
                    <w:spacing w:before="0" w:beforeAutospacing="0" w:after="0" w:afterAutospacing="0"/>
                    <w:ind w:left="0" w:right="0"/>
                    <w:jc w:val="left"/>
                    <w:rPr>
                      <w:rFonts w:hint="eastAsia"/>
                      <w:color w:val="auto"/>
                    </w:rPr>
                  </w:pPr>
                  <w:r>
                    <w:rPr>
                      <w:rFonts w:hint="eastAsia"/>
                      <w:color w:val="auto"/>
                    </w:rPr>
                    <w:t>9.</w:t>
                  </w:r>
                  <w:r>
                    <w:rPr>
                      <w:rFonts w:hint="eastAsia"/>
                      <w:color w:val="auto"/>
                      <w:lang w:eastAsia="zh-CN"/>
                    </w:rPr>
                    <w:t>本工程</w:t>
                  </w:r>
                  <w:r>
                    <w:rPr>
                      <w:rFonts w:hint="eastAsia"/>
                      <w:color w:val="auto"/>
                    </w:rPr>
                    <w:t>按照要求对井场采取分区防渗措施。</w:t>
                  </w:r>
                  <w:r>
                    <w:rPr>
                      <w:rFonts w:hint="eastAsia"/>
                      <w:color w:val="auto"/>
                    </w:rPr>
                    <w:t>采用泥浆不落地系统，</w:t>
                  </w:r>
                  <w:r>
                    <w:rPr>
                      <w:rFonts w:hint="eastAsia"/>
                      <w:color w:val="auto"/>
                      <w:lang w:eastAsia="zh-CN"/>
                    </w:rPr>
                    <w:t>本项目</w:t>
                  </w:r>
                  <w:r>
                    <w:rPr>
                      <w:rFonts w:hint="eastAsia"/>
                      <w:color w:val="auto"/>
                    </w:rPr>
                    <w:t>不开挖钻井液池，</w:t>
                  </w:r>
                  <w:r>
                    <w:rPr>
                      <w:rFonts w:hint="eastAsia"/>
                      <w:color w:val="auto"/>
                      <w:lang w:eastAsia="zh-CN"/>
                    </w:rPr>
                    <w:t>不存在试油后立即封闭废弃钻井液贮池。</w:t>
                  </w:r>
                  <w:r>
                    <w:rPr>
                      <w:rFonts w:hint="eastAsia"/>
                      <w:color w:val="auto"/>
                    </w:rPr>
                    <w:t>试油期采出液通过密闭管线进入储液罐</w:t>
                  </w:r>
                  <w:r>
                    <w:rPr>
                      <w:rFonts w:hint="eastAsia"/>
                      <w:color w:val="auto"/>
                      <w:lang w:eastAsia="zh-CN"/>
                    </w:rPr>
                    <w:t>（40m</w:t>
                  </w:r>
                  <w:r>
                    <w:rPr>
                      <w:rFonts w:hint="eastAsia"/>
                      <w:color w:val="auto"/>
                      <w:vertAlign w:val="superscript"/>
                      <w:lang w:eastAsia="zh-CN"/>
                    </w:rPr>
                    <w:t>3</w:t>
                  </w:r>
                  <w:r>
                    <w:rPr>
                      <w:rFonts w:hint="eastAsia"/>
                      <w:color w:val="auto"/>
                      <w:lang w:eastAsia="zh-CN"/>
                    </w:rPr>
                    <w:t>/个），再通过罐车拉运至吉兰泰联合站</w:t>
                  </w:r>
                  <w:r>
                    <w:rPr>
                      <w:rFonts w:hint="eastAsia"/>
                      <w:color w:val="auto"/>
                    </w:rPr>
                    <w:t>。</w:t>
                  </w:r>
                </w:p>
                <w:p w14:paraId="2BA222AD">
                  <w:pPr>
                    <w:keepNext w:val="0"/>
                    <w:keepLines w:val="0"/>
                    <w:suppressLineNumbers w:val="0"/>
                    <w:spacing w:before="0" w:beforeAutospacing="0" w:after="0" w:afterAutospacing="0"/>
                    <w:ind w:left="0" w:right="0"/>
                    <w:jc w:val="left"/>
                    <w:rPr>
                      <w:rFonts w:hint="eastAsia"/>
                      <w:color w:val="auto"/>
                      <w:highlight w:val="none"/>
                    </w:rPr>
                  </w:pPr>
                  <w:r>
                    <w:rPr>
                      <w:rFonts w:hint="eastAsia"/>
                      <w:color w:val="auto"/>
                    </w:rPr>
                    <w:t>10.</w:t>
                  </w:r>
                  <w:r>
                    <w:rPr>
                      <w:rFonts w:hint="eastAsia"/>
                      <w:color w:val="auto"/>
                      <w:lang w:eastAsia="zh-CN"/>
                    </w:rPr>
                    <w:t>本工程</w:t>
                  </w:r>
                  <w:r>
                    <w:rPr>
                      <w:rFonts w:hint="eastAsia"/>
                      <w:color w:val="auto"/>
                      <w:highlight w:val="none"/>
                    </w:rPr>
                    <w:t>正常工况下不会产生落地油、含油污泥。事故</w:t>
                  </w:r>
                  <w:r>
                    <w:rPr>
                      <w:rFonts w:hint="eastAsia"/>
                      <w:color w:val="auto"/>
                      <w:highlight w:val="none"/>
                      <w:lang w:eastAsia="zh-CN"/>
                    </w:rPr>
                    <w:t>状态</w:t>
                  </w:r>
                  <w:r>
                    <w:rPr>
                      <w:rFonts w:hint="eastAsia"/>
                      <w:color w:val="auto"/>
                      <w:highlight w:val="none"/>
                    </w:rPr>
                    <w:t>下的落地油100%进行回收，</w:t>
                  </w:r>
                  <w:r>
                    <w:rPr>
                      <w:rFonts w:hint="eastAsia"/>
                      <w:color w:val="auto"/>
                      <w:highlight w:val="none"/>
                      <w:lang w:eastAsia="zh-CN"/>
                    </w:rPr>
                    <w:t>暂存井场危废贮存点内，定期由建设单位交由</w:t>
                  </w:r>
                  <w:r>
                    <w:rPr>
                      <w:rFonts w:hint="eastAsia"/>
                      <w:color w:val="auto"/>
                      <w:kern w:val="0"/>
                      <w:szCs w:val="21"/>
                      <w:highlight w:val="none"/>
                      <w:lang w:eastAsia="zh-CN"/>
                    </w:rPr>
                    <w:t>有资质单位处置</w:t>
                  </w:r>
                  <w:r>
                    <w:rPr>
                      <w:rFonts w:hint="eastAsia"/>
                      <w:color w:val="auto"/>
                      <w:highlight w:val="none"/>
                    </w:rPr>
                    <w:t>。</w:t>
                  </w:r>
                </w:p>
                <w:p w14:paraId="1EC8BC42">
                  <w:pPr>
                    <w:keepNext w:val="0"/>
                    <w:keepLines w:val="0"/>
                    <w:suppressLineNumbers w:val="0"/>
                    <w:spacing w:before="0" w:beforeAutospacing="0" w:after="0" w:afterAutospacing="0"/>
                    <w:ind w:left="0" w:right="0"/>
                    <w:jc w:val="left"/>
                    <w:rPr>
                      <w:rFonts w:hint="eastAsia" w:eastAsia="宋体"/>
                      <w:color w:val="auto"/>
                      <w:lang w:eastAsia="zh-CN"/>
                    </w:rPr>
                  </w:pPr>
                  <w:r>
                    <w:rPr>
                      <w:rFonts w:hint="eastAsia"/>
                      <w:color w:val="auto"/>
                      <w:highlight w:val="none"/>
                    </w:rPr>
                    <w:t>11.</w:t>
                  </w:r>
                  <w:r>
                    <w:rPr>
                      <w:rFonts w:hint="eastAsia"/>
                      <w:color w:val="auto"/>
                      <w:highlight w:val="none"/>
                    </w:rPr>
                    <w:t>若操作不当产生落地油，油类物质滴至地面后，</w:t>
                  </w:r>
                  <w:r>
                    <w:rPr>
                      <w:rFonts w:hint="eastAsia"/>
                      <w:color w:val="auto"/>
                      <w:highlight w:val="none"/>
                      <w:lang w:eastAsia="zh-CN"/>
                    </w:rPr>
                    <w:t>对</w:t>
                  </w:r>
                  <w:r>
                    <w:rPr>
                      <w:rFonts w:hint="eastAsia"/>
                      <w:color w:val="auto"/>
                      <w:lang w:eastAsia="zh-CN"/>
                    </w:rPr>
                    <w:t>受污染的</w:t>
                  </w:r>
                  <w:r>
                    <w:rPr>
                      <w:rFonts w:hint="eastAsia"/>
                      <w:color w:val="auto"/>
                      <w:highlight w:val="none"/>
                    </w:rPr>
                    <w:t>地表20cm厚土壤铲除，暂存于井场</w:t>
                  </w:r>
                  <w:r>
                    <w:rPr>
                      <w:rFonts w:hint="eastAsia"/>
                      <w:color w:val="auto"/>
                      <w:highlight w:val="none"/>
                      <w:lang w:eastAsia="zh-CN"/>
                    </w:rPr>
                    <w:t>危废贮存点</w:t>
                  </w:r>
                  <w:r>
                    <w:rPr>
                      <w:rFonts w:hint="eastAsia"/>
                      <w:color w:val="auto"/>
                      <w:highlight w:val="none"/>
                    </w:rPr>
                    <w:t>污油罐内，</w:t>
                  </w:r>
                  <w:r>
                    <w:rPr>
                      <w:rFonts w:hint="eastAsia"/>
                      <w:color w:val="auto"/>
                      <w:highlight w:val="none"/>
                      <w:lang w:eastAsia="zh-CN"/>
                    </w:rPr>
                    <w:t>交由</w:t>
                  </w:r>
                  <w:r>
                    <w:rPr>
                      <w:rFonts w:hint="eastAsia"/>
                      <w:color w:val="auto"/>
                      <w:kern w:val="0"/>
                      <w:szCs w:val="21"/>
                      <w:highlight w:val="none"/>
                      <w:lang w:eastAsia="zh-CN"/>
                    </w:rPr>
                    <w:t>有资质单位处置</w:t>
                  </w:r>
                  <w:r>
                    <w:rPr>
                      <w:rFonts w:hint="eastAsia"/>
                      <w:color w:val="auto"/>
                      <w:highlight w:val="none"/>
                      <w:lang w:eastAsia="zh-CN"/>
                    </w:rPr>
                    <w:t>，对原有位置进行平整，</w:t>
                  </w:r>
                  <w:r>
                    <w:rPr>
                      <w:rFonts w:hint="eastAsia"/>
                      <w:color w:val="auto"/>
                      <w:lang w:eastAsia="zh-CN"/>
                    </w:rPr>
                    <w:t>并对周围土壤通过种植植物进行修复</w:t>
                  </w:r>
                  <w:r>
                    <w:rPr>
                      <w:rFonts w:hint="eastAsia"/>
                      <w:color w:val="auto"/>
                      <w:lang w:eastAsia="zh-CN"/>
                    </w:rPr>
                    <w:t>。</w:t>
                  </w:r>
                </w:p>
              </w:tc>
              <w:tc>
                <w:tcPr>
                  <w:tcW w:w="338" w:type="pct"/>
                  <w:noWrap w:val="0"/>
                  <w:vAlign w:val="center"/>
                </w:tcPr>
                <w:p w14:paraId="13475BAE">
                  <w:pPr>
                    <w:keepNext w:val="0"/>
                    <w:keepLines w:val="0"/>
                    <w:widowControl/>
                    <w:suppressLineNumbers w:val="0"/>
                    <w:spacing w:before="0" w:beforeAutospacing="0" w:after="0" w:afterAutospacing="0" w:line="360" w:lineRule="auto"/>
                    <w:ind w:left="0" w:right="0"/>
                    <w:jc w:val="center"/>
                    <w:rPr>
                      <w:rFonts w:hint="default"/>
                      <w:color w:val="auto"/>
                    </w:rPr>
                  </w:pPr>
                  <w:r>
                    <w:rPr>
                      <w:rFonts w:hint="default"/>
                      <w:color w:val="auto"/>
                    </w:rPr>
                    <w:t>符合</w:t>
                  </w:r>
                </w:p>
              </w:tc>
            </w:tr>
            <w:tr w14:paraId="032074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424" w:type="pct"/>
                  <w:vMerge w:val="continue"/>
                  <w:noWrap w:val="0"/>
                  <w:tcMar>
                    <w:left w:w="0" w:type="dxa"/>
                    <w:right w:w="0" w:type="dxa"/>
                  </w:tcMar>
                  <w:vAlign w:val="center"/>
                </w:tcPr>
                <w:p w14:paraId="18483FA5">
                  <w:pPr>
                    <w:keepNext w:val="0"/>
                    <w:keepLines w:val="0"/>
                    <w:suppressLineNumbers w:val="0"/>
                    <w:spacing w:before="0" w:beforeAutospacing="0" w:after="0" w:afterAutospacing="0"/>
                    <w:ind w:left="0" w:right="0"/>
                    <w:jc w:val="center"/>
                    <w:rPr>
                      <w:rFonts w:hint="eastAsia"/>
                      <w:color w:val="auto"/>
                    </w:rPr>
                  </w:pPr>
                </w:p>
              </w:tc>
              <w:tc>
                <w:tcPr>
                  <w:tcW w:w="403" w:type="pct"/>
                  <w:vMerge w:val="continue"/>
                  <w:noWrap w:val="0"/>
                  <w:vAlign w:val="center"/>
                </w:tcPr>
                <w:p w14:paraId="6ADFD708">
                  <w:pPr>
                    <w:keepNext w:val="0"/>
                    <w:keepLines w:val="0"/>
                    <w:suppressLineNumbers w:val="0"/>
                    <w:spacing w:before="0" w:beforeAutospacing="0" w:after="0" w:afterAutospacing="0"/>
                    <w:ind w:left="0" w:right="0" w:firstLine="420" w:firstLineChars="200"/>
                    <w:jc w:val="left"/>
                    <w:rPr>
                      <w:rFonts w:hint="eastAsia"/>
                      <w:color w:val="auto"/>
                    </w:rPr>
                  </w:pPr>
                </w:p>
              </w:tc>
              <w:tc>
                <w:tcPr>
                  <w:tcW w:w="403" w:type="pct"/>
                  <w:noWrap w:val="0"/>
                  <w:tcMar>
                    <w:left w:w="0" w:type="dxa"/>
                    <w:right w:w="0" w:type="dxa"/>
                  </w:tcMar>
                  <w:vAlign w:val="center"/>
                </w:tcPr>
                <w:p w14:paraId="1C886A06">
                  <w:pPr>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t>环境风险管控</w:t>
                  </w:r>
                </w:p>
              </w:tc>
              <w:tc>
                <w:tcPr>
                  <w:tcW w:w="1716" w:type="pct"/>
                  <w:noWrap w:val="0"/>
                  <w:tcMar>
                    <w:left w:w="0" w:type="dxa"/>
                    <w:right w:w="0" w:type="dxa"/>
                  </w:tcMar>
                  <w:vAlign w:val="center"/>
                </w:tcPr>
                <w:p w14:paraId="78C8A25E">
                  <w:pPr>
                    <w:keepNext w:val="0"/>
                    <w:keepLines w:val="0"/>
                    <w:suppressLineNumbers w:val="0"/>
                    <w:spacing w:before="0" w:beforeAutospacing="0" w:after="0" w:afterAutospacing="0"/>
                    <w:ind w:left="0" w:right="0"/>
                    <w:jc w:val="left"/>
                    <w:rPr>
                      <w:rFonts w:hint="default"/>
                      <w:color w:val="auto"/>
                      <w:highlight w:val="none"/>
                    </w:rPr>
                  </w:pPr>
                  <w:r>
                    <w:rPr>
                      <w:rFonts w:hint="eastAsia"/>
                      <w:color w:val="auto"/>
                      <w:highlight w:val="none"/>
                    </w:rPr>
                    <w:t>制定环境风险应急预案，成立应急组织机构，配备必要的应急设施和应急物资，定期开展环境风险应急演练。</w:t>
                  </w:r>
                </w:p>
              </w:tc>
              <w:tc>
                <w:tcPr>
                  <w:tcW w:w="1714" w:type="pct"/>
                  <w:noWrap w:val="0"/>
                  <w:tcMar>
                    <w:left w:w="0" w:type="dxa"/>
                    <w:right w:w="0" w:type="dxa"/>
                  </w:tcMar>
                  <w:vAlign w:val="center"/>
                </w:tcPr>
                <w:p w14:paraId="24482447">
                  <w:pPr>
                    <w:keepNext w:val="0"/>
                    <w:keepLines w:val="0"/>
                    <w:suppressLineNumbers w:val="0"/>
                    <w:spacing w:before="0" w:beforeAutospacing="0" w:after="0" w:afterAutospacing="0"/>
                    <w:ind w:left="0" w:right="0"/>
                    <w:jc w:val="left"/>
                    <w:rPr>
                      <w:rFonts w:hint="eastAsia"/>
                      <w:color w:val="auto"/>
                      <w:highlight w:val="none"/>
                    </w:rPr>
                  </w:pPr>
                  <w:r>
                    <w:rPr>
                      <w:rFonts w:hint="eastAsia"/>
                      <w:color w:val="auto"/>
                    </w:rPr>
                    <w:t>1.对勘探过程进行了环境风险因素识别，成立了环境风险管控机构，安装防井喷装置，落实各项风险应急物资等防止</w:t>
                  </w:r>
                  <w:r>
                    <w:rPr>
                      <w:rFonts w:hint="eastAsia"/>
                      <w:color w:val="auto"/>
                      <w:highlight w:val="none"/>
                    </w:rPr>
                    <w:t>发生由突发性油气泄漏产生的环境事故。</w:t>
                  </w:r>
                </w:p>
                <w:p w14:paraId="57C95A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color w:val="auto"/>
                    </w:rPr>
                  </w:pPr>
                  <w:r>
                    <w:rPr>
                      <w:rFonts w:hint="eastAsia"/>
                      <w:color w:val="auto"/>
                      <w:highlight w:val="none"/>
                    </w:rPr>
                    <w:t>2.</w:t>
                  </w:r>
                  <w:r>
                    <w:rPr>
                      <w:rFonts w:hint="eastAsia"/>
                      <w:color w:val="auto"/>
                      <w:highlight w:val="none"/>
                      <w:lang w:eastAsia="zh-CN"/>
                    </w:rPr>
                    <w:t>本工程</w:t>
                  </w:r>
                  <w:r>
                    <w:rPr>
                      <w:rFonts w:hint="eastAsia"/>
                      <w:color w:val="auto"/>
                      <w:highlight w:val="none"/>
                    </w:rPr>
                    <w:t>不涉及新建3000m</w:t>
                  </w:r>
                  <w:r>
                    <w:rPr>
                      <w:rFonts w:hint="eastAsia"/>
                      <w:color w:val="auto"/>
                      <w:highlight w:val="none"/>
                      <w:vertAlign w:val="superscript"/>
                    </w:rPr>
                    <w:t>3</w:t>
                  </w:r>
                  <w:r>
                    <w:rPr>
                      <w:rFonts w:hint="eastAsia"/>
                      <w:color w:val="auto"/>
                      <w:highlight w:val="none"/>
                    </w:rPr>
                    <w:t>及以上原油储罐。</w:t>
                  </w:r>
                  <w:r>
                    <w:rPr>
                      <w:rFonts w:hint="eastAsia"/>
                      <w:color w:val="auto"/>
                      <w:highlight w:val="none"/>
                      <w:lang w:eastAsia="zh-CN"/>
                    </w:rPr>
                    <w:t>储液罐区设置2个（一用一备）40m</w:t>
                  </w:r>
                  <w:r>
                    <w:rPr>
                      <w:rFonts w:hint="eastAsia"/>
                      <w:color w:val="auto"/>
                      <w:highlight w:val="none"/>
                      <w:vertAlign w:val="superscript"/>
                      <w:lang w:eastAsia="zh-CN"/>
                    </w:rPr>
                    <w:t>3</w:t>
                  </w:r>
                  <w:r>
                    <w:rPr>
                      <w:rFonts w:hint="eastAsia"/>
                      <w:color w:val="auto"/>
                      <w:highlight w:val="none"/>
                      <w:lang w:eastAsia="zh-CN"/>
                    </w:rPr>
                    <w:t>的卧式固定罐</w:t>
                  </w:r>
                  <w:r>
                    <w:rPr>
                      <w:rFonts w:hint="eastAsia"/>
                      <w:color w:val="auto"/>
                      <w:highlight w:val="none"/>
                    </w:rPr>
                    <w:t>，采用环闭技术并安装泄漏报警系统，原油运输采用浸没式装车</w:t>
                  </w:r>
                  <w:r>
                    <w:rPr>
                      <w:rFonts w:hint="eastAsia"/>
                      <w:color w:val="auto"/>
                      <w:highlight w:val="none"/>
                      <w:lang w:eastAsia="zh-CN"/>
                    </w:rPr>
                    <w:t>，罐区</w:t>
                  </w:r>
                  <w:r>
                    <w:rPr>
                      <w:rFonts w:hint="eastAsia"/>
                      <w:color w:val="auto"/>
                      <w:highlight w:val="none"/>
                    </w:rPr>
                    <w:t>利用2mm厚高密度聚乙烯防渗膜作为底层，防渗膜四周加设高度为20cm的覆土围堰，渗透系数K≤1×10</w:t>
                  </w:r>
                  <w:r>
                    <w:rPr>
                      <w:rFonts w:hint="eastAsia"/>
                      <w:color w:val="auto"/>
                      <w:highlight w:val="none"/>
                      <w:vertAlign w:val="superscript"/>
                    </w:rPr>
                    <w:t>-10</w:t>
                  </w:r>
                  <w:r>
                    <w:rPr>
                      <w:rFonts w:hint="eastAsia"/>
                      <w:color w:val="auto"/>
                      <w:highlight w:val="none"/>
                    </w:rPr>
                    <w:t>cm/s。</w:t>
                  </w:r>
                </w:p>
              </w:tc>
              <w:tc>
                <w:tcPr>
                  <w:tcW w:w="338" w:type="pct"/>
                  <w:noWrap w:val="0"/>
                  <w:vAlign w:val="center"/>
                </w:tcPr>
                <w:p w14:paraId="480DAF07">
                  <w:pPr>
                    <w:keepNext w:val="0"/>
                    <w:keepLines w:val="0"/>
                    <w:widowControl/>
                    <w:suppressLineNumbers w:val="0"/>
                    <w:spacing w:before="0" w:beforeAutospacing="0" w:after="0" w:afterAutospacing="0" w:line="360" w:lineRule="auto"/>
                    <w:ind w:left="0" w:right="0"/>
                    <w:jc w:val="center"/>
                    <w:rPr>
                      <w:rFonts w:hint="eastAsia"/>
                      <w:color w:val="auto"/>
                    </w:rPr>
                  </w:pPr>
                  <w:r>
                    <w:rPr>
                      <w:rFonts w:hint="eastAsia"/>
                      <w:color w:val="auto"/>
                    </w:rPr>
                    <w:t>符合</w:t>
                  </w:r>
                </w:p>
              </w:tc>
            </w:tr>
            <w:tr w14:paraId="31DB3C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424" w:type="pct"/>
                  <w:vMerge w:val="continue"/>
                  <w:noWrap w:val="0"/>
                  <w:tcMar>
                    <w:left w:w="0" w:type="dxa"/>
                    <w:right w:w="0" w:type="dxa"/>
                  </w:tcMar>
                  <w:vAlign w:val="center"/>
                </w:tcPr>
                <w:p w14:paraId="567B489E">
                  <w:pPr>
                    <w:keepNext w:val="0"/>
                    <w:keepLines w:val="0"/>
                    <w:suppressLineNumbers w:val="0"/>
                    <w:spacing w:before="0" w:beforeAutospacing="0" w:after="0" w:afterAutospacing="0"/>
                    <w:ind w:left="0" w:right="0"/>
                    <w:jc w:val="center"/>
                    <w:rPr>
                      <w:rFonts w:hint="eastAsia"/>
                      <w:color w:val="auto"/>
                    </w:rPr>
                  </w:pPr>
                </w:p>
              </w:tc>
              <w:tc>
                <w:tcPr>
                  <w:tcW w:w="403" w:type="pct"/>
                  <w:vMerge w:val="continue"/>
                  <w:noWrap w:val="0"/>
                  <w:vAlign w:val="center"/>
                </w:tcPr>
                <w:p w14:paraId="326DB113">
                  <w:pPr>
                    <w:keepNext w:val="0"/>
                    <w:keepLines w:val="0"/>
                    <w:suppressLineNumbers w:val="0"/>
                    <w:spacing w:before="0" w:beforeAutospacing="0" w:after="0" w:afterAutospacing="0"/>
                    <w:ind w:left="0" w:right="0" w:firstLine="420" w:firstLineChars="200"/>
                    <w:jc w:val="left"/>
                    <w:rPr>
                      <w:rFonts w:hint="eastAsia"/>
                      <w:color w:val="auto"/>
                    </w:rPr>
                  </w:pPr>
                </w:p>
              </w:tc>
              <w:tc>
                <w:tcPr>
                  <w:tcW w:w="403" w:type="pct"/>
                  <w:noWrap w:val="0"/>
                  <w:tcMar>
                    <w:left w:w="0" w:type="dxa"/>
                    <w:right w:w="0" w:type="dxa"/>
                  </w:tcMar>
                  <w:vAlign w:val="center"/>
                </w:tcPr>
                <w:p w14:paraId="05545EBD">
                  <w:pPr>
                    <w:keepNext w:val="0"/>
                    <w:keepLines w:val="0"/>
                    <w:suppressLineNumbers w:val="0"/>
                    <w:spacing w:before="0" w:beforeAutospacing="0" w:after="0" w:afterAutospacing="0"/>
                    <w:ind w:left="0" w:right="0"/>
                    <w:jc w:val="center"/>
                    <w:rPr>
                      <w:rFonts w:hint="default"/>
                      <w:color w:val="auto"/>
                    </w:rPr>
                  </w:pPr>
                  <w:r>
                    <w:rPr>
                      <w:rFonts w:hint="default"/>
                      <w:color w:val="auto"/>
                    </w:rPr>
                    <w:t>资源利用率要求</w:t>
                  </w:r>
                </w:p>
              </w:tc>
              <w:tc>
                <w:tcPr>
                  <w:tcW w:w="1716" w:type="pct"/>
                  <w:noWrap w:val="0"/>
                  <w:tcMar>
                    <w:left w:w="0" w:type="dxa"/>
                    <w:right w:w="0" w:type="dxa"/>
                  </w:tcMar>
                  <w:vAlign w:val="center"/>
                </w:tcPr>
                <w:p w14:paraId="2F43C449">
                  <w:pPr>
                    <w:keepNext w:val="0"/>
                    <w:keepLines w:val="0"/>
                    <w:numPr>
                      <w:ilvl w:val="0"/>
                      <w:numId w:val="4"/>
                    </w:numPr>
                    <w:suppressLineNumbers w:val="0"/>
                    <w:spacing w:before="0" w:beforeAutospacing="0" w:after="0" w:afterAutospacing="0"/>
                    <w:ind w:left="0" w:right="0"/>
                    <w:jc w:val="left"/>
                    <w:rPr>
                      <w:rFonts w:hint="default"/>
                      <w:color w:val="auto"/>
                    </w:rPr>
                  </w:pPr>
                  <w:r>
                    <w:rPr>
                      <w:rFonts w:hint="default"/>
                      <w:color w:val="auto"/>
                    </w:rPr>
                    <w:t xml:space="preserve">在勘探开发过程中，应防止产生落地原油。其中井下作业过程中应配备泄油器、刮油器等。落地原油应及时回收，落地原油回收率应达到100%。 </w:t>
                  </w:r>
                </w:p>
                <w:p w14:paraId="28A38166">
                  <w:pPr>
                    <w:keepNext w:val="0"/>
                    <w:keepLines w:val="0"/>
                    <w:numPr>
                      <w:ilvl w:val="0"/>
                      <w:numId w:val="4"/>
                    </w:numPr>
                    <w:suppressLineNumbers w:val="0"/>
                    <w:spacing w:before="0" w:beforeAutospacing="0" w:after="0" w:afterAutospacing="0"/>
                    <w:ind w:left="0" w:right="0"/>
                    <w:jc w:val="left"/>
                    <w:rPr>
                      <w:rFonts w:hint="default"/>
                      <w:color w:val="auto"/>
                    </w:rPr>
                  </w:pPr>
                  <w:r>
                    <w:rPr>
                      <w:rFonts w:hint="default"/>
                      <w:color w:val="auto"/>
                    </w:rPr>
                    <w:t xml:space="preserve">在钻井过程中，鼓励采用环境友好的钻井液体系；配备完善的固控设备，钻井液循环率达到95%以上；钻井过程产生的废水应回用。 </w:t>
                  </w:r>
                </w:p>
                <w:p w14:paraId="3A763A7F">
                  <w:pPr>
                    <w:keepNext w:val="0"/>
                    <w:keepLines w:val="0"/>
                    <w:numPr>
                      <w:ilvl w:val="0"/>
                      <w:numId w:val="4"/>
                    </w:numPr>
                    <w:suppressLineNumbers w:val="0"/>
                    <w:spacing w:before="0" w:beforeAutospacing="0" w:after="0" w:afterAutospacing="0"/>
                    <w:ind w:left="0" w:leftChars="0" w:right="0" w:firstLine="0" w:firstLineChars="0"/>
                    <w:jc w:val="left"/>
                    <w:rPr>
                      <w:rFonts w:hint="default"/>
                      <w:color w:val="auto"/>
                    </w:rPr>
                  </w:pPr>
                  <w:r>
                    <w:rPr>
                      <w:rFonts w:hint="default"/>
                      <w:color w:val="auto"/>
                    </w:rPr>
                    <w:t xml:space="preserve">在井下作业过程中，酸化液和压裂液宜集中配制，酸化残液、压裂残液和返排液应回收利用或进行无害化处置，压裂放喷返排入罐率应达到100%。 </w:t>
                  </w:r>
                </w:p>
                <w:p w14:paraId="767A48AD">
                  <w:pPr>
                    <w:keepNext w:val="0"/>
                    <w:keepLines w:val="0"/>
                    <w:numPr>
                      <w:ilvl w:val="0"/>
                      <w:numId w:val="4"/>
                    </w:numPr>
                    <w:suppressLineNumbers w:val="0"/>
                    <w:spacing w:before="0" w:beforeAutospacing="0" w:after="0" w:afterAutospacing="0"/>
                    <w:ind w:left="0" w:leftChars="0" w:right="0" w:firstLine="0" w:firstLineChars="0"/>
                    <w:jc w:val="left"/>
                    <w:rPr>
                      <w:rFonts w:hint="default"/>
                      <w:color w:val="auto"/>
                    </w:rPr>
                  </w:pPr>
                  <w:r>
                    <w:rPr>
                      <w:rFonts w:hint="default"/>
                      <w:color w:val="auto"/>
                    </w:rPr>
                    <w:t>企业要严格落实矿产资源开发利用方案、环境影响评价文件，水土保持方案等要求，提高资源利用效率水平。</w:t>
                  </w:r>
                </w:p>
              </w:tc>
              <w:tc>
                <w:tcPr>
                  <w:tcW w:w="1714" w:type="pct"/>
                  <w:noWrap w:val="0"/>
                  <w:vAlign w:val="center"/>
                </w:tcPr>
                <w:p w14:paraId="28C691F7">
                  <w:pPr>
                    <w:keepNext w:val="0"/>
                    <w:keepLines w:val="0"/>
                    <w:suppressLineNumbers w:val="0"/>
                    <w:spacing w:before="0" w:beforeAutospacing="0" w:after="0" w:afterAutospacing="0"/>
                    <w:ind w:left="0" w:right="0"/>
                    <w:jc w:val="left"/>
                    <w:rPr>
                      <w:rFonts w:hint="eastAsia"/>
                      <w:color w:val="auto"/>
                      <w:highlight w:val="none"/>
                    </w:rPr>
                  </w:pPr>
                  <w:r>
                    <w:rPr>
                      <w:rFonts w:hint="eastAsia"/>
                      <w:color w:val="auto"/>
                    </w:rPr>
                    <w:t>1.勘探项目正常工况下不会产生落地油、含油污泥。</w:t>
                  </w:r>
                  <w:r>
                    <w:rPr>
                      <w:rFonts w:hint="eastAsia"/>
                      <w:color w:val="auto"/>
                      <w:highlight w:val="none"/>
                    </w:rPr>
                    <w:t>事故</w:t>
                  </w:r>
                  <w:r>
                    <w:rPr>
                      <w:rFonts w:hint="eastAsia"/>
                      <w:color w:val="auto"/>
                      <w:highlight w:val="none"/>
                      <w:lang w:eastAsia="zh-CN"/>
                    </w:rPr>
                    <w:t>状态</w:t>
                  </w:r>
                  <w:r>
                    <w:rPr>
                      <w:rFonts w:hint="eastAsia"/>
                      <w:color w:val="auto"/>
                      <w:highlight w:val="none"/>
                    </w:rPr>
                    <w:t>下的落地油100%进行回收，</w:t>
                  </w:r>
                  <w:r>
                    <w:rPr>
                      <w:rFonts w:hint="eastAsia"/>
                      <w:color w:val="auto"/>
                      <w:highlight w:val="none"/>
                      <w:lang w:eastAsia="zh-CN"/>
                    </w:rPr>
                    <w:t>交由</w:t>
                  </w:r>
                  <w:r>
                    <w:rPr>
                      <w:rFonts w:hint="eastAsia"/>
                      <w:color w:val="auto"/>
                      <w:kern w:val="0"/>
                      <w:szCs w:val="21"/>
                      <w:highlight w:val="none"/>
                      <w:lang w:eastAsia="zh-CN"/>
                    </w:rPr>
                    <w:t>有资质单位处置</w:t>
                  </w:r>
                  <w:r>
                    <w:rPr>
                      <w:rFonts w:hint="eastAsia"/>
                      <w:color w:val="auto"/>
                      <w:highlight w:val="none"/>
                    </w:rPr>
                    <w:t>。</w:t>
                  </w:r>
                </w:p>
                <w:p w14:paraId="22BC8753">
                  <w:pPr>
                    <w:keepNext w:val="0"/>
                    <w:keepLines w:val="0"/>
                    <w:suppressLineNumbers w:val="0"/>
                    <w:spacing w:before="0" w:beforeAutospacing="0" w:after="0" w:afterAutospacing="0"/>
                    <w:ind w:left="0" w:right="0"/>
                    <w:jc w:val="left"/>
                    <w:rPr>
                      <w:rFonts w:hint="eastAsia"/>
                      <w:color w:val="auto"/>
                    </w:rPr>
                  </w:pPr>
                  <w:r>
                    <w:rPr>
                      <w:rFonts w:hint="eastAsia"/>
                      <w:color w:val="auto"/>
                      <w:highlight w:val="none"/>
                    </w:rPr>
                    <w:t>2.</w:t>
                  </w:r>
                  <w:r>
                    <w:rPr>
                      <w:rFonts w:hint="eastAsia"/>
                      <w:color w:val="auto"/>
                      <w:highlight w:val="none"/>
                      <w:lang w:eastAsia="zh-CN"/>
                    </w:rPr>
                    <w:t>本工程</w:t>
                  </w:r>
                  <w:r>
                    <w:rPr>
                      <w:rFonts w:hint="eastAsia"/>
                      <w:color w:val="auto"/>
                      <w:highlight w:val="none"/>
                    </w:rPr>
                    <w:t>钻井液使用无毒无害的水基泥</w:t>
                  </w:r>
                  <w:r>
                    <w:rPr>
                      <w:rFonts w:hint="eastAsia"/>
                      <w:color w:val="auto"/>
                    </w:rPr>
                    <w:t>浆，并配备完善的固控设备。</w:t>
                  </w:r>
                  <w:r>
                    <w:rPr>
                      <w:rFonts w:hint="default"/>
                      <w:color w:val="auto"/>
                    </w:rPr>
                    <w:t>钻井</w:t>
                  </w:r>
                  <w:r>
                    <w:rPr>
                      <w:rFonts w:hint="eastAsia"/>
                      <w:color w:val="auto"/>
                    </w:rPr>
                    <w:t>泥浆经泥浆不落地工艺系统处理后，产生的废液依托联合站污水处理系统处理后回注油层，不外排。</w:t>
                  </w:r>
                </w:p>
                <w:p w14:paraId="2A8B4A03">
                  <w:pPr>
                    <w:keepNext w:val="0"/>
                    <w:keepLines w:val="0"/>
                    <w:suppressLineNumbers w:val="0"/>
                    <w:spacing w:before="0" w:beforeAutospacing="0" w:after="0" w:afterAutospacing="0"/>
                    <w:ind w:left="0" w:right="0"/>
                    <w:jc w:val="left"/>
                    <w:rPr>
                      <w:rFonts w:hint="eastAsia"/>
                      <w:color w:val="auto"/>
                    </w:rPr>
                  </w:pPr>
                  <w:r>
                    <w:rPr>
                      <w:rFonts w:hint="eastAsia"/>
                      <w:color w:val="auto"/>
                    </w:rPr>
                    <w:t>3.</w:t>
                  </w:r>
                  <w:r>
                    <w:rPr>
                      <w:rFonts w:hint="eastAsia"/>
                      <w:color w:val="auto"/>
                      <w:lang w:eastAsia="zh-CN"/>
                    </w:rPr>
                    <w:t>本工程在井下作业过程中，</w:t>
                  </w:r>
                  <w:r>
                    <w:rPr>
                      <w:rFonts w:hint="eastAsia"/>
                      <w:color w:val="auto"/>
                    </w:rPr>
                    <w:t>不涉及酸化及压裂工程。</w:t>
                  </w:r>
                </w:p>
                <w:p w14:paraId="697F5919">
                  <w:pPr>
                    <w:keepNext w:val="0"/>
                    <w:keepLines w:val="0"/>
                    <w:suppressLineNumbers w:val="0"/>
                    <w:spacing w:before="0" w:beforeAutospacing="0" w:after="0" w:afterAutospacing="0"/>
                    <w:ind w:left="0" w:right="0"/>
                    <w:jc w:val="left"/>
                    <w:rPr>
                      <w:rFonts w:hint="eastAsia"/>
                      <w:color w:val="auto"/>
                    </w:rPr>
                  </w:pPr>
                  <w:r>
                    <w:rPr>
                      <w:rFonts w:hint="eastAsia"/>
                      <w:color w:val="auto"/>
                    </w:rPr>
                    <w:t xml:space="preserve">4. </w:t>
                  </w:r>
                  <w:r>
                    <w:rPr>
                      <w:rFonts w:hint="eastAsia"/>
                      <w:color w:val="auto"/>
                      <w:lang w:eastAsia="zh-CN"/>
                    </w:rPr>
                    <w:t>本工程</w:t>
                  </w:r>
                  <w:r>
                    <w:rPr>
                      <w:rFonts w:hint="eastAsia"/>
                      <w:color w:val="auto"/>
                    </w:rPr>
                    <w:t>在实施过程中坚持“预防为主、防治结合、过程控制”的原则，将生态环境保护与恢复治理贯穿油气资源开发的全过程。</w:t>
                  </w:r>
                </w:p>
              </w:tc>
              <w:tc>
                <w:tcPr>
                  <w:tcW w:w="338" w:type="pct"/>
                  <w:noWrap w:val="0"/>
                  <w:vAlign w:val="center"/>
                </w:tcPr>
                <w:p w14:paraId="63DA9830">
                  <w:pPr>
                    <w:keepNext w:val="0"/>
                    <w:keepLines w:val="0"/>
                    <w:widowControl/>
                    <w:suppressLineNumbers w:val="0"/>
                    <w:spacing w:before="0" w:beforeAutospacing="0" w:after="0" w:afterAutospacing="0" w:line="360" w:lineRule="auto"/>
                    <w:ind w:left="0" w:right="0"/>
                    <w:jc w:val="center"/>
                    <w:rPr>
                      <w:rFonts w:hint="eastAsia"/>
                      <w:color w:val="auto"/>
                    </w:rPr>
                  </w:pPr>
                  <w:r>
                    <w:rPr>
                      <w:rFonts w:hint="eastAsia"/>
                      <w:color w:val="auto"/>
                    </w:rPr>
                    <w:t>符合</w:t>
                  </w:r>
                </w:p>
              </w:tc>
            </w:tr>
          </w:tbl>
          <w:p w14:paraId="372EAD69">
            <w:pPr>
              <w:keepNext w:val="0"/>
              <w:keepLines w:val="0"/>
              <w:suppressLineNumbers w:val="0"/>
              <w:spacing w:before="0" w:beforeAutospacing="0" w:after="0" w:afterAutospacing="0"/>
              <w:ind w:left="0" w:right="0"/>
              <w:rPr>
                <w:rFonts w:hint="default"/>
                <w:b/>
                <w:color w:val="auto"/>
                <w:sz w:val="24"/>
                <w:szCs w:val="32"/>
              </w:rPr>
            </w:pPr>
          </w:p>
        </w:tc>
      </w:tr>
    </w:tbl>
    <w:p w14:paraId="7CFCF76B">
      <w:pPr>
        <w:spacing w:line="360" w:lineRule="auto"/>
        <w:outlineLvl w:val="0"/>
        <w:rPr>
          <w:rFonts w:eastAsia="黑体"/>
          <w:color w:val="auto"/>
          <w:sz w:val="30"/>
        </w:rPr>
        <w:sectPr>
          <w:footerReference r:id="rId5" w:type="default"/>
          <w:pgSz w:w="11906" w:h="16838"/>
          <w:pgMar w:top="1588" w:right="1418" w:bottom="1418" w:left="1588" w:header="851" w:footer="1077" w:gutter="0"/>
          <w:pgBorders>
            <w:top w:val="none" w:sz="0" w:space="0"/>
            <w:left w:val="none" w:sz="0" w:space="0"/>
            <w:bottom w:val="none" w:sz="0" w:space="0"/>
            <w:right w:val="none" w:sz="0" w:space="0"/>
          </w:pgBorders>
          <w:pgNumType w:start="1"/>
          <w:cols w:space="720" w:num="1"/>
          <w:docGrid w:linePitch="312" w:charSpace="0"/>
        </w:sectPr>
      </w:pPr>
    </w:p>
    <w:p w14:paraId="53F639C4">
      <w:pPr>
        <w:pStyle w:val="25"/>
        <w:spacing w:before="0" w:beforeAutospacing="0" w:after="0" w:afterAutospacing="0"/>
        <w:jc w:val="center"/>
        <w:outlineLvl w:val="0"/>
        <w:rPr>
          <w:b/>
          <w:snapToGrid w:val="0"/>
          <w:color w:val="auto"/>
          <w:kern w:val="2"/>
          <w:sz w:val="30"/>
          <w:szCs w:val="30"/>
        </w:rPr>
      </w:pPr>
      <w:bookmarkStart w:id="4" w:name="_Toc103325975"/>
      <w:r>
        <w:rPr>
          <w:b/>
          <w:snapToGrid w:val="0"/>
          <w:color w:val="auto"/>
          <w:kern w:val="2"/>
          <w:sz w:val="30"/>
          <w:szCs w:val="30"/>
        </w:rPr>
        <w:t>二、建设内容</w:t>
      </w:r>
      <w:bookmarkEnd w:id="4"/>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586"/>
      </w:tblGrid>
      <w:tr w14:paraId="4DAE56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457" w:type="dxa"/>
            <w:noWrap w:val="0"/>
            <w:vAlign w:val="center"/>
          </w:tcPr>
          <w:p w14:paraId="6ACB9E0D">
            <w:pPr>
              <w:keepNext w:val="0"/>
              <w:keepLines w:val="0"/>
              <w:suppressLineNumbers w:val="0"/>
              <w:adjustRightInd w:val="0"/>
              <w:snapToGrid w:val="0"/>
              <w:spacing w:before="0" w:beforeAutospacing="0" w:after="0" w:afterAutospacing="0"/>
              <w:ind w:left="0" w:right="0"/>
              <w:jc w:val="center"/>
              <w:rPr>
                <w:rFonts w:hint="default"/>
                <w:b/>
                <w:color w:val="auto"/>
                <w:kern w:val="0"/>
                <w:sz w:val="24"/>
              </w:rPr>
            </w:pPr>
            <w:r>
              <w:rPr>
                <w:rFonts w:hint="default"/>
                <w:b/>
                <w:color w:val="auto"/>
                <w:kern w:val="0"/>
                <w:sz w:val="24"/>
              </w:rPr>
              <w:t>地理位置</w:t>
            </w:r>
          </w:p>
        </w:tc>
        <w:tc>
          <w:tcPr>
            <w:tcW w:w="8437" w:type="dxa"/>
            <w:noWrap w:val="0"/>
            <w:vAlign w:val="center"/>
          </w:tcPr>
          <w:p w14:paraId="2A3B8FFE">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rPr>
            </w:pPr>
            <w:r>
              <w:rPr>
                <w:rFonts w:hint="eastAsia"/>
                <w:color w:val="auto"/>
                <w:sz w:val="24"/>
                <w:lang w:eastAsia="zh-CN"/>
              </w:rPr>
              <w:t>扎格6</w:t>
            </w:r>
            <w:r>
              <w:rPr>
                <w:rFonts w:hint="eastAsia"/>
                <w:color w:val="auto"/>
                <w:sz w:val="24"/>
              </w:rPr>
              <w:t>井位于</w:t>
            </w:r>
            <w:r>
              <w:rPr>
                <w:rFonts w:hint="default"/>
                <w:color w:val="auto"/>
                <w:sz w:val="24"/>
              </w:rPr>
              <w:t>内蒙古自治区</w:t>
            </w:r>
            <w:r>
              <w:rPr>
                <w:rFonts w:hint="eastAsia"/>
                <w:color w:val="auto"/>
                <w:sz w:val="24"/>
              </w:rPr>
              <w:t>巴彦淖尔市</w:t>
            </w:r>
            <w:r>
              <w:rPr>
                <w:rFonts w:hint="eastAsia"/>
                <w:color w:val="auto"/>
                <w:sz w:val="24"/>
                <w:lang w:eastAsia="zh-CN"/>
              </w:rPr>
              <w:t>磴口县哈腾套海农场</w:t>
            </w:r>
            <w:r>
              <w:rPr>
                <w:rFonts w:hint="eastAsia"/>
                <w:color w:val="auto"/>
                <w:sz w:val="24"/>
              </w:rPr>
              <w:t>，井场中心地理坐标：</w:t>
            </w:r>
            <w:r>
              <w:rPr>
                <w:rFonts w:hint="default" w:ascii="Times New Roman" w:hAnsi="Times New Roman" w:cs="Times New Roman"/>
                <w:color w:val="auto"/>
                <w:sz w:val="24"/>
              </w:rPr>
              <w:t>106°51′</w:t>
            </w:r>
            <w:r>
              <w:rPr>
                <w:rFonts w:hint="eastAsia" w:ascii="Times New Roman" w:hAnsi="Times New Roman" w:cs="Times New Roman"/>
                <w:color w:val="auto"/>
                <w:sz w:val="24"/>
                <w:lang w:val="en-US" w:eastAsia="zh-CN"/>
              </w:rPr>
              <w:t>10.518</w:t>
            </w:r>
            <w:r>
              <w:rPr>
                <w:rFonts w:hint="default" w:ascii="Times New Roman" w:hAnsi="Times New Roman" w:cs="Times New Roman"/>
                <w:color w:val="auto"/>
                <w:sz w:val="24"/>
              </w:rPr>
              <w:t>″</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40°3</w:t>
            </w:r>
            <w:r>
              <w:rPr>
                <w:rFonts w:hint="eastAsia" w:ascii="Times New Roman" w:hAnsi="Times New Roman" w:cs="Times New Roman"/>
                <w:color w:val="auto"/>
                <w:sz w:val="24"/>
                <w:lang w:val="en-US" w:eastAsia="zh-CN"/>
              </w:rPr>
              <w:t>7</w:t>
            </w:r>
            <w:r>
              <w:rPr>
                <w:rFonts w:hint="default" w:ascii="Times New Roman" w:hAnsi="Times New Roman" w:cs="Times New Roman"/>
                <w:color w:val="auto"/>
                <w:sz w:val="24"/>
              </w:rPr>
              <w:t>′5</w:t>
            </w:r>
            <w:r>
              <w:rPr>
                <w:rFonts w:hint="eastAsia" w:ascii="Times New Roman" w:hAnsi="Times New Roman" w:cs="Times New Roman"/>
                <w:color w:val="auto"/>
                <w:sz w:val="24"/>
                <w:lang w:val="en-US" w:eastAsia="zh-CN"/>
              </w:rPr>
              <w:t>1.596</w:t>
            </w:r>
            <w:r>
              <w:rPr>
                <w:rFonts w:hint="default" w:ascii="Times New Roman" w:hAnsi="Times New Roman" w:cs="Times New Roman"/>
                <w:color w:val="auto"/>
                <w:sz w:val="24"/>
              </w:rPr>
              <w:t>″</w:t>
            </w:r>
            <w:r>
              <w:rPr>
                <w:rFonts w:hint="eastAsia"/>
                <w:color w:val="auto"/>
                <w:sz w:val="24"/>
                <w:lang w:eastAsia="zh-CN"/>
              </w:rPr>
              <w:t>，拐点坐标见附件。本工程</w:t>
            </w:r>
            <w:r>
              <w:rPr>
                <w:rFonts w:hint="eastAsia"/>
                <w:color w:val="auto"/>
                <w:sz w:val="24"/>
                <w:highlight w:val="none"/>
              </w:rPr>
              <w:t>占地面积共计</w:t>
            </w:r>
            <w:r>
              <w:rPr>
                <w:rFonts w:hint="eastAsia"/>
                <w:color w:val="auto"/>
                <w:sz w:val="24"/>
                <w:highlight w:val="none"/>
                <w:lang w:val="en-US" w:eastAsia="zh-CN"/>
              </w:rPr>
              <w:t>16709</w:t>
            </w:r>
            <w:r>
              <w:rPr>
                <w:rFonts w:hint="eastAsia"/>
                <w:color w:val="auto"/>
                <w:sz w:val="24"/>
                <w:highlight w:val="none"/>
              </w:rPr>
              <w:t>m</w:t>
            </w:r>
            <w:r>
              <w:rPr>
                <w:rFonts w:hint="eastAsia"/>
                <w:color w:val="auto"/>
                <w:sz w:val="24"/>
                <w:highlight w:val="none"/>
                <w:vertAlign w:val="superscript"/>
              </w:rPr>
              <w:t>2</w:t>
            </w:r>
            <w:r>
              <w:rPr>
                <w:rFonts w:hint="eastAsia"/>
                <w:color w:val="auto"/>
                <w:sz w:val="24"/>
                <w:highlight w:val="none"/>
                <w:vertAlign w:val="baseline"/>
                <w:lang w:eastAsia="zh-CN"/>
              </w:rPr>
              <w:t>，占地类型为农用地（耕地），都属于临时占地，</w:t>
            </w:r>
            <w:r>
              <w:rPr>
                <w:rFonts w:hint="eastAsia"/>
                <w:color w:val="auto"/>
                <w:sz w:val="24"/>
                <w:highlight w:val="none"/>
              </w:rPr>
              <w:t>可以满足</w:t>
            </w:r>
            <w:r>
              <w:rPr>
                <w:rFonts w:hint="eastAsia"/>
                <w:color w:val="auto"/>
                <w:sz w:val="24"/>
                <w:highlight w:val="none"/>
                <w:lang w:eastAsia="zh-CN"/>
              </w:rPr>
              <w:t>本工程探</w:t>
            </w:r>
            <w:r>
              <w:rPr>
                <w:rFonts w:hint="eastAsia"/>
                <w:color w:val="auto"/>
                <w:sz w:val="24"/>
                <w:highlight w:val="none"/>
              </w:rPr>
              <w:t>井勘探施工用地。</w:t>
            </w:r>
          </w:p>
        </w:tc>
      </w:tr>
      <w:tr w14:paraId="6EF47A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7" w:type="dxa"/>
            <w:noWrap w:val="0"/>
            <w:vAlign w:val="center"/>
          </w:tcPr>
          <w:p w14:paraId="768FB57F">
            <w:pPr>
              <w:keepNext w:val="0"/>
              <w:keepLines w:val="0"/>
              <w:suppressLineNumbers w:val="0"/>
              <w:adjustRightInd w:val="0"/>
              <w:snapToGrid w:val="0"/>
              <w:spacing w:before="0" w:beforeAutospacing="0" w:after="0" w:afterAutospacing="0"/>
              <w:ind w:left="0" w:right="0"/>
              <w:jc w:val="center"/>
              <w:rPr>
                <w:rFonts w:hint="default"/>
                <w:b/>
                <w:color w:val="auto"/>
                <w:kern w:val="0"/>
                <w:sz w:val="24"/>
              </w:rPr>
            </w:pPr>
            <w:r>
              <w:rPr>
                <w:rFonts w:hint="default"/>
                <w:b/>
                <w:color w:val="auto"/>
                <w:kern w:val="0"/>
                <w:sz w:val="24"/>
              </w:rPr>
              <w:t>项目组成及规模</w:t>
            </w:r>
          </w:p>
        </w:tc>
        <w:tc>
          <w:tcPr>
            <w:tcW w:w="8437" w:type="dxa"/>
            <w:noWrap w:val="0"/>
            <w:vAlign w:val="center"/>
          </w:tcPr>
          <w:p w14:paraId="6DA20B3E">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eastAsia"/>
                <w:b/>
                <w:color w:val="auto"/>
                <w:kern w:val="0"/>
                <w:sz w:val="24"/>
              </w:rPr>
            </w:pPr>
            <w:r>
              <w:rPr>
                <w:rFonts w:hint="eastAsia"/>
                <w:b/>
                <w:color w:val="auto"/>
                <w:kern w:val="0"/>
                <w:sz w:val="24"/>
              </w:rPr>
              <w:t>一、项目由来</w:t>
            </w:r>
          </w:p>
          <w:p w14:paraId="17C48E63">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eastAsia"/>
                <w:color w:val="auto"/>
                <w:sz w:val="24"/>
                <w:szCs w:val="32"/>
              </w:rPr>
              <w:t>2022年4月1日中华人民共和国</w:t>
            </w:r>
            <w:r>
              <w:rPr>
                <w:rFonts w:hint="eastAsia"/>
                <w:color w:val="auto"/>
                <w:sz w:val="24"/>
                <w:szCs w:val="32"/>
                <w:highlight w:val="none"/>
              </w:rPr>
              <w:t>国土资源部</w:t>
            </w:r>
            <w:r>
              <w:rPr>
                <w:rFonts w:hint="eastAsia"/>
                <w:color w:val="auto"/>
                <w:sz w:val="24"/>
                <w:szCs w:val="32"/>
              </w:rPr>
              <w:t>颁发探矿权证书（证号：T1000002020121018000204），勘查项目名称：内蒙古河套盆地吉锦油气勘查，地理位置：内蒙古自治区杭锦后旗、磴口、阿拉善左旗、</w:t>
            </w:r>
            <w:r>
              <w:rPr>
                <w:rFonts w:hint="eastAsia"/>
                <w:color w:val="auto"/>
                <w:sz w:val="24"/>
                <w:szCs w:val="32"/>
                <w:lang w:val="en-US" w:eastAsia="zh-CN"/>
              </w:rPr>
              <w:t>杭锦旗、巴彦淖尔、</w:t>
            </w:r>
            <w:r>
              <w:rPr>
                <w:rFonts w:hint="eastAsia"/>
                <w:color w:val="auto"/>
                <w:sz w:val="24"/>
                <w:szCs w:val="32"/>
              </w:rPr>
              <w:t>五原，探矿权证书有效期限为2022年4月1日至2027年4月1日。经核实</w:t>
            </w:r>
            <w:r>
              <w:rPr>
                <w:rFonts w:hint="eastAsia"/>
                <w:color w:val="auto"/>
                <w:sz w:val="24"/>
                <w:szCs w:val="32"/>
                <w:lang w:eastAsia="zh-CN"/>
              </w:rPr>
              <w:t>扎格6</w:t>
            </w:r>
            <w:r>
              <w:rPr>
                <w:rFonts w:hint="eastAsia"/>
                <w:color w:val="auto"/>
                <w:sz w:val="24"/>
                <w:szCs w:val="32"/>
              </w:rPr>
              <w:t>井位于该勘查区范围内，探矿权证书见附件</w:t>
            </w:r>
            <w:r>
              <w:rPr>
                <w:rFonts w:hint="default"/>
                <w:color w:val="auto"/>
                <w:sz w:val="24"/>
                <w:szCs w:val="32"/>
              </w:rPr>
              <w:t>。</w:t>
            </w:r>
          </w:p>
          <w:p w14:paraId="4799281A">
            <w:pPr>
              <w:keepNext w:val="0"/>
              <w:keepLines w:val="0"/>
              <w:suppressLineNumbers w:val="0"/>
              <w:spacing w:before="0" w:beforeAutospacing="0" w:after="0" w:afterAutospacing="0" w:line="360" w:lineRule="auto"/>
              <w:ind w:left="0" w:right="0" w:firstLine="480" w:firstLineChars="200"/>
              <w:rPr>
                <w:rFonts w:hint="eastAsia"/>
                <w:color w:val="auto"/>
                <w:sz w:val="24"/>
                <w:szCs w:val="32"/>
              </w:rPr>
            </w:pPr>
            <w:r>
              <w:rPr>
                <w:rFonts w:hint="eastAsia"/>
                <w:color w:val="auto"/>
                <w:sz w:val="24"/>
                <w:szCs w:val="32"/>
              </w:rPr>
              <w:t>在勘查区范围内，为确定油气藏是否存在，圈定油气藏边界，并对油气藏进行工业评价，取得油气开发所需要的地质资料而钻的井</w:t>
            </w:r>
            <w:r>
              <w:rPr>
                <w:rFonts w:hint="eastAsia"/>
                <w:color w:val="auto"/>
                <w:sz w:val="24"/>
                <w:szCs w:val="32"/>
                <w:lang w:eastAsia="zh-CN"/>
              </w:rPr>
              <w:t>称为</w:t>
            </w:r>
            <w:r>
              <w:rPr>
                <w:rFonts w:hint="eastAsia"/>
                <w:color w:val="auto"/>
                <w:sz w:val="24"/>
                <w:szCs w:val="32"/>
              </w:rPr>
              <w:t>探井。根据华北油田巴彦勘探开发分公司对该区域部署的预探井勘探结果分析，该区域油藏埋藏较深，储层致密，油层厚度较大，已对原油分布情况有初步了解。在此基础上，</w:t>
            </w:r>
            <w:r>
              <w:rPr>
                <w:rFonts w:hint="eastAsia"/>
                <w:color w:val="auto"/>
                <w:kern w:val="0"/>
                <w:sz w:val="24"/>
              </w:rPr>
              <w:t>对</w:t>
            </w:r>
            <w:r>
              <w:rPr>
                <w:rFonts w:hint="eastAsia"/>
                <w:color w:val="auto"/>
                <w:kern w:val="0"/>
                <w:sz w:val="24"/>
                <w:lang w:eastAsia="zh-CN"/>
              </w:rPr>
              <w:t>纳林湖区</w:t>
            </w:r>
            <w:r>
              <w:rPr>
                <w:rFonts w:hint="eastAsia"/>
                <w:color w:val="auto"/>
                <w:kern w:val="0"/>
                <w:sz w:val="24"/>
              </w:rPr>
              <w:t>块东</w:t>
            </w:r>
            <w:r>
              <w:rPr>
                <w:rFonts w:hint="eastAsia"/>
                <w:color w:val="auto"/>
                <w:sz w:val="24"/>
                <w:szCs w:val="32"/>
              </w:rPr>
              <w:t>北部</w:t>
            </w:r>
            <w:r>
              <w:rPr>
                <w:rFonts w:hint="eastAsia"/>
                <w:color w:val="auto"/>
                <w:kern w:val="0"/>
                <w:sz w:val="24"/>
              </w:rPr>
              <w:t>地层进行勘探</w:t>
            </w:r>
            <w:r>
              <w:rPr>
                <w:rFonts w:hint="eastAsia"/>
                <w:color w:val="auto"/>
                <w:sz w:val="24"/>
                <w:szCs w:val="32"/>
              </w:rPr>
              <w:t>，进一步查明油田的规模、产能及经济价值，探明油藏储量，华北油田巴彦勘探开发分公司</w:t>
            </w:r>
            <w:r>
              <w:rPr>
                <w:rFonts w:hint="eastAsia"/>
                <w:color w:val="auto"/>
                <w:sz w:val="24"/>
                <w:szCs w:val="32"/>
                <w:lang w:eastAsia="zh-CN"/>
              </w:rPr>
              <w:t>拟</w:t>
            </w:r>
            <w:r>
              <w:rPr>
                <w:rFonts w:hint="eastAsia"/>
                <w:color w:val="auto"/>
                <w:sz w:val="24"/>
                <w:szCs w:val="32"/>
              </w:rPr>
              <w:t>投资</w:t>
            </w:r>
            <w:r>
              <w:rPr>
                <w:rFonts w:hint="eastAsia"/>
                <w:color w:val="auto"/>
                <w:sz w:val="24"/>
                <w:lang w:val="en-US" w:eastAsia="zh-CN"/>
              </w:rPr>
              <w:t>3762</w:t>
            </w:r>
            <w:r>
              <w:rPr>
                <w:rFonts w:hint="eastAsia"/>
                <w:color w:val="auto"/>
                <w:sz w:val="24"/>
                <w:szCs w:val="32"/>
              </w:rPr>
              <w:t>万元建设</w:t>
            </w:r>
            <w:r>
              <w:rPr>
                <w:rFonts w:hint="eastAsia"/>
                <w:color w:val="auto"/>
                <w:sz w:val="24"/>
                <w:szCs w:val="32"/>
                <w:lang w:eastAsia="zh-CN"/>
              </w:rPr>
              <w:t>扎格6</w:t>
            </w:r>
            <w:r>
              <w:rPr>
                <w:rFonts w:hint="eastAsia"/>
                <w:color w:val="auto"/>
                <w:sz w:val="24"/>
                <w:szCs w:val="32"/>
              </w:rPr>
              <w:t>井。</w:t>
            </w:r>
          </w:p>
          <w:p w14:paraId="725B8F53">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eastAsia"/>
                <w:b/>
                <w:color w:val="auto"/>
                <w:kern w:val="0"/>
                <w:sz w:val="24"/>
              </w:rPr>
            </w:pPr>
            <w:r>
              <w:rPr>
                <w:rFonts w:hint="eastAsia"/>
                <w:b/>
                <w:color w:val="auto"/>
                <w:kern w:val="0"/>
                <w:sz w:val="24"/>
              </w:rPr>
              <w:t>二</w:t>
            </w:r>
            <w:r>
              <w:rPr>
                <w:rFonts w:hint="default"/>
                <w:b/>
                <w:color w:val="auto"/>
                <w:kern w:val="0"/>
                <w:sz w:val="24"/>
              </w:rPr>
              <w:t>、项目组成</w:t>
            </w:r>
          </w:p>
          <w:p w14:paraId="0B5FDB62">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rPr>
            </w:pPr>
            <w:r>
              <w:rPr>
                <w:rFonts w:hint="eastAsia"/>
                <w:color w:val="auto"/>
                <w:sz w:val="24"/>
                <w:lang w:eastAsia="zh-CN"/>
              </w:rPr>
              <w:t>本工程</w:t>
            </w:r>
            <w:r>
              <w:rPr>
                <w:rFonts w:hint="eastAsia"/>
                <w:color w:val="auto"/>
                <w:sz w:val="24"/>
              </w:rPr>
              <w:t>属于石油天然气开采过程的钻探、试采时期，其工程内容包含钻前工程、钻井工程、试油工程、封井工程等部分，勘探任务完成后，根据测试情况，若有开采价值，则保留试油井场，其余临时占地恢复原貌，井口安装采油设备后转为产能井（转为产能井的相关工作内容等需另行设计和开展环境评价，并完善井场永久占地征地手续）；若测试未获可开发利用的工业油流，则进行封井封场处理（无永久占地，临时占地恢复原貌），故</w:t>
            </w:r>
            <w:r>
              <w:rPr>
                <w:rFonts w:hint="eastAsia"/>
                <w:color w:val="auto"/>
                <w:sz w:val="24"/>
                <w:lang w:eastAsia="zh-CN"/>
              </w:rPr>
              <w:t>本工程</w:t>
            </w:r>
            <w:r>
              <w:rPr>
                <w:rFonts w:hint="eastAsia"/>
                <w:color w:val="auto"/>
                <w:sz w:val="24"/>
              </w:rPr>
              <w:t>仅为钻前</w:t>
            </w:r>
            <w:r>
              <w:rPr>
                <w:rFonts w:hint="eastAsia"/>
                <w:color w:val="auto"/>
                <w:sz w:val="24"/>
                <w:lang w:eastAsia="zh-CN"/>
              </w:rPr>
              <w:t>工程</w:t>
            </w:r>
            <w:r>
              <w:rPr>
                <w:rFonts w:hint="eastAsia"/>
                <w:color w:val="auto"/>
                <w:sz w:val="24"/>
              </w:rPr>
              <w:t>、钻井</w:t>
            </w:r>
            <w:r>
              <w:rPr>
                <w:rFonts w:hint="eastAsia"/>
                <w:color w:val="auto"/>
                <w:sz w:val="24"/>
                <w:lang w:val="en-US" w:eastAsia="zh-CN"/>
              </w:rPr>
              <w:t>工程</w:t>
            </w:r>
            <w:r>
              <w:rPr>
                <w:rFonts w:hint="eastAsia"/>
                <w:color w:val="auto"/>
                <w:sz w:val="24"/>
              </w:rPr>
              <w:t>、试</w:t>
            </w:r>
            <w:r>
              <w:rPr>
                <w:rFonts w:hint="eastAsia"/>
                <w:color w:val="auto"/>
                <w:sz w:val="24"/>
                <w:lang w:val="en-US" w:eastAsia="zh-CN"/>
              </w:rPr>
              <w:t>采工程</w:t>
            </w:r>
            <w:r>
              <w:rPr>
                <w:rFonts w:hint="eastAsia"/>
                <w:color w:val="auto"/>
                <w:sz w:val="24"/>
              </w:rPr>
              <w:t>，不涉及油井开发，不涉及运营期。</w:t>
            </w:r>
          </w:p>
          <w:p w14:paraId="0B75BBA4">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lang w:eastAsia="zh-CN"/>
              </w:rPr>
            </w:pPr>
            <w:r>
              <w:rPr>
                <w:rFonts w:hint="eastAsia"/>
                <w:color w:val="auto"/>
                <w:sz w:val="24"/>
                <w:lang w:eastAsia="zh-CN"/>
              </w:rPr>
              <w:t>河北华北石油路桥工程有限公司（以下简称路桥公司）属于中国石油天然气股份有限公司华北油田下属企业，本工程产生的钻井废水及泥饼（废弃钻井泥浆、岩屑）由建设单位委托路桥公司进行处理，试采工程产生的采出液通过密闭管线进入储液罐内暂存，由建设单位的罐车拉运至吉兰泰联合站进行处理；本工程钻井队为渤海钻探工程有限公司，直属中国石油天然气集团公司管理。</w:t>
            </w:r>
          </w:p>
          <w:p w14:paraId="06EEAB48">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color w:val="auto"/>
                <w:sz w:val="24"/>
                <w:lang w:eastAsia="zh-CN"/>
              </w:rPr>
              <w:t>本工程</w:t>
            </w:r>
            <w:r>
              <w:rPr>
                <w:rFonts w:hint="default"/>
                <w:color w:val="auto"/>
                <w:sz w:val="24"/>
              </w:rPr>
              <w:t>主要建设内容见下表。</w:t>
            </w:r>
          </w:p>
          <w:p w14:paraId="5C355DED">
            <w:pPr>
              <w:keepNext w:val="0"/>
              <w:keepLines w:val="0"/>
              <w:suppressLineNumbers w:val="0"/>
              <w:spacing w:before="0" w:beforeAutospacing="0" w:after="0" w:afterAutospacing="0"/>
              <w:ind w:left="0" w:right="0"/>
              <w:jc w:val="center"/>
              <w:rPr>
                <w:rFonts w:hint="eastAsia"/>
                <w:b/>
                <w:color w:val="auto"/>
                <w:sz w:val="24"/>
                <w:szCs w:val="21"/>
              </w:rPr>
            </w:pPr>
            <w:r>
              <w:rPr>
                <w:rFonts w:hint="default"/>
                <w:b/>
                <w:color w:val="auto"/>
                <w:sz w:val="24"/>
                <w:szCs w:val="21"/>
              </w:rPr>
              <w:t>表2-</w:t>
            </w:r>
            <w:r>
              <w:rPr>
                <w:rFonts w:hint="eastAsia"/>
                <w:b/>
                <w:color w:val="auto"/>
                <w:sz w:val="24"/>
                <w:szCs w:val="21"/>
              </w:rPr>
              <w:t>1</w:t>
            </w:r>
            <w:r>
              <w:rPr>
                <w:rFonts w:hint="default"/>
                <w:b/>
                <w:color w:val="auto"/>
                <w:sz w:val="24"/>
                <w:szCs w:val="21"/>
              </w:rPr>
              <w:t xml:space="preserve"> 项目主要建设工程一览表</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1015"/>
              <w:gridCol w:w="452"/>
              <w:gridCol w:w="1000"/>
              <w:gridCol w:w="5903"/>
            </w:tblGrid>
            <w:tr w14:paraId="74A5CAE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510" w:hRule="atLeast"/>
                <w:jc w:val="center"/>
              </w:trPr>
              <w:tc>
                <w:tcPr>
                  <w:tcW w:w="606" w:type="pct"/>
                  <w:noWrap w:val="0"/>
                  <w:tcMar>
                    <w:left w:w="0" w:type="dxa"/>
                    <w:right w:w="0" w:type="dxa"/>
                  </w:tcMar>
                  <w:vAlign w:val="center"/>
                </w:tcPr>
                <w:p w14:paraId="6BA3BAD0">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工程类别</w:t>
                  </w:r>
                </w:p>
              </w:tc>
              <w:tc>
                <w:tcPr>
                  <w:tcW w:w="867" w:type="pct"/>
                  <w:gridSpan w:val="2"/>
                  <w:noWrap w:val="0"/>
                  <w:vAlign w:val="center"/>
                </w:tcPr>
                <w:p w14:paraId="66E8C2FF">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项目名称</w:t>
                  </w:r>
                </w:p>
              </w:tc>
              <w:tc>
                <w:tcPr>
                  <w:tcW w:w="3525" w:type="pct"/>
                  <w:noWrap w:val="0"/>
                  <w:vAlign w:val="center"/>
                </w:tcPr>
                <w:p w14:paraId="38A79B1C">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主要工程内容</w:t>
                  </w:r>
                </w:p>
              </w:tc>
            </w:tr>
            <w:tr w14:paraId="7C8A885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675" w:hRule="atLeast"/>
                <w:jc w:val="center"/>
              </w:trPr>
              <w:tc>
                <w:tcPr>
                  <w:tcW w:w="606" w:type="pct"/>
                  <w:vMerge w:val="restart"/>
                  <w:noWrap w:val="0"/>
                  <w:tcMar>
                    <w:left w:w="0" w:type="dxa"/>
                    <w:right w:w="0" w:type="dxa"/>
                  </w:tcMar>
                  <w:vAlign w:val="center"/>
                </w:tcPr>
                <w:p w14:paraId="63F302AD">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主体工程</w:t>
                  </w:r>
                </w:p>
              </w:tc>
              <w:tc>
                <w:tcPr>
                  <w:tcW w:w="867" w:type="pct"/>
                  <w:gridSpan w:val="2"/>
                  <w:vMerge w:val="restart"/>
                  <w:noWrap w:val="0"/>
                  <w:vAlign w:val="center"/>
                </w:tcPr>
                <w:p w14:paraId="6F2958FF">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钻前工程</w:t>
                  </w:r>
                </w:p>
              </w:tc>
              <w:tc>
                <w:tcPr>
                  <w:tcW w:w="3525" w:type="pct"/>
                  <w:noWrap w:val="0"/>
                  <w:vAlign w:val="center"/>
                </w:tcPr>
                <w:p w14:paraId="3E913FC6">
                  <w:pPr>
                    <w:keepNext w:val="0"/>
                    <w:keepLines w:val="0"/>
                    <w:suppressLineNumbers w:val="0"/>
                    <w:spacing w:before="0" w:beforeAutospacing="0" w:after="0" w:afterAutospacing="0"/>
                    <w:ind w:left="0" w:right="0"/>
                    <w:rPr>
                      <w:rFonts w:hint="default" w:eastAsia="宋体"/>
                      <w:color w:val="auto"/>
                      <w:szCs w:val="21"/>
                      <w:highlight w:val="none"/>
                      <w:lang w:val="en-US" w:eastAsia="zh-CN"/>
                    </w:rPr>
                  </w:pPr>
                  <w:r>
                    <w:rPr>
                      <w:rFonts w:hint="eastAsia"/>
                      <w:color w:val="auto"/>
                      <w:szCs w:val="21"/>
                      <w:highlight w:val="none"/>
                      <w:lang w:eastAsia="zh-CN"/>
                    </w:rPr>
                    <w:t>扎格6</w:t>
                  </w:r>
                  <w:r>
                    <w:rPr>
                      <w:rFonts w:hint="eastAsia"/>
                      <w:color w:val="auto"/>
                      <w:szCs w:val="21"/>
                      <w:highlight w:val="none"/>
                    </w:rPr>
                    <w:t>井占地面积共计</w:t>
                  </w:r>
                  <w:r>
                    <w:rPr>
                      <w:rFonts w:hint="eastAsia"/>
                      <w:color w:val="auto"/>
                      <w:szCs w:val="21"/>
                      <w:highlight w:val="none"/>
                      <w:lang w:val="en-US" w:eastAsia="zh-CN"/>
                    </w:rPr>
                    <w:t>16709</w:t>
                  </w:r>
                  <w:r>
                    <w:rPr>
                      <w:rFonts w:hint="eastAsia"/>
                      <w:color w:val="auto"/>
                      <w:szCs w:val="21"/>
                      <w:highlight w:val="none"/>
                    </w:rPr>
                    <w:t>m</w:t>
                  </w:r>
                  <w:r>
                    <w:rPr>
                      <w:rFonts w:hint="eastAsia"/>
                      <w:color w:val="auto"/>
                      <w:szCs w:val="21"/>
                      <w:highlight w:val="none"/>
                      <w:vertAlign w:val="superscript"/>
                    </w:rPr>
                    <w:t>2</w:t>
                  </w:r>
                  <w:r>
                    <w:rPr>
                      <w:rFonts w:hint="eastAsia"/>
                      <w:color w:val="auto"/>
                      <w:szCs w:val="21"/>
                      <w:highlight w:val="none"/>
                      <w:vertAlign w:val="baseline"/>
                      <w:lang w:eastAsia="zh-CN"/>
                    </w:rPr>
                    <w:t>，</w:t>
                  </w:r>
                  <w:r>
                    <w:rPr>
                      <w:rFonts w:hint="default"/>
                      <w:color w:val="auto"/>
                      <w:szCs w:val="21"/>
                      <w:highlight w:val="none"/>
                    </w:rPr>
                    <w:t>井场占地</w:t>
                  </w:r>
                  <w:r>
                    <w:rPr>
                      <w:rFonts w:hint="eastAsia"/>
                      <w:color w:val="auto"/>
                      <w:szCs w:val="21"/>
                      <w:highlight w:val="none"/>
                      <w:lang w:val="en-US" w:eastAsia="zh-CN"/>
                    </w:rPr>
                    <w:t>13514</w:t>
                  </w:r>
                  <w:r>
                    <w:rPr>
                      <w:rFonts w:hint="eastAsia"/>
                      <w:color w:val="auto"/>
                      <w:szCs w:val="21"/>
                      <w:highlight w:val="none"/>
                    </w:rPr>
                    <w:t>m</w:t>
                  </w:r>
                  <w:r>
                    <w:rPr>
                      <w:rFonts w:hint="eastAsia"/>
                      <w:color w:val="auto"/>
                      <w:szCs w:val="21"/>
                      <w:highlight w:val="none"/>
                      <w:vertAlign w:val="superscript"/>
                    </w:rPr>
                    <w:t>2</w:t>
                  </w:r>
                  <w:r>
                    <w:rPr>
                      <w:rFonts w:hint="eastAsia"/>
                      <w:color w:val="auto"/>
                      <w:szCs w:val="21"/>
                      <w:highlight w:val="none"/>
                      <w:vertAlign w:val="baseline"/>
                      <w:lang w:eastAsia="zh-CN"/>
                    </w:rPr>
                    <w:t>，新建临时道路占地</w:t>
                  </w:r>
                  <w:r>
                    <w:rPr>
                      <w:rFonts w:hint="eastAsia"/>
                      <w:color w:val="auto"/>
                      <w:szCs w:val="21"/>
                      <w:highlight w:val="none"/>
                      <w:vertAlign w:val="baseline"/>
                      <w:lang w:val="en-US" w:eastAsia="zh-CN"/>
                    </w:rPr>
                    <w:t>3195</w:t>
                  </w:r>
                  <w:r>
                    <w:rPr>
                      <w:rFonts w:hint="eastAsia"/>
                      <w:color w:val="auto"/>
                      <w:szCs w:val="21"/>
                      <w:highlight w:val="none"/>
                    </w:rPr>
                    <w:t>m</w:t>
                  </w:r>
                  <w:r>
                    <w:rPr>
                      <w:rFonts w:hint="eastAsia"/>
                      <w:color w:val="auto"/>
                      <w:szCs w:val="21"/>
                      <w:highlight w:val="none"/>
                      <w:vertAlign w:val="superscript"/>
                    </w:rPr>
                    <w:t>2</w:t>
                  </w:r>
                  <w:r>
                    <w:rPr>
                      <w:rFonts w:hint="eastAsia"/>
                      <w:color w:val="auto"/>
                      <w:szCs w:val="21"/>
                      <w:highlight w:val="none"/>
                      <w:vertAlign w:val="baseline"/>
                      <w:lang w:val="en-US" w:eastAsia="zh-CN"/>
                    </w:rPr>
                    <w:t>，新建512m临时道路。</w:t>
                  </w:r>
                </w:p>
                <w:p w14:paraId="1009FCE3">
                  <w:pPr>
                    <w:keepNext w:val="0"/>
                    <w:keepLines w:val="0"/>
                    <w:suppressLineNumbers w:val="0"/>
                    <w:spacing w:before="0" w:beforeAutospacing="0" w:after="0" w:afterAutospacing="0"/>
                    <w:ind w:left="0" w:right="0"/>
                    <w:rPr>
                      <w:rFonts w:hint="default"/>
                      <w:color w:val="auto"/>
                      <w:szCs w:val="21"/>
                      <w:highlight w:val="none"/>
                    </w:rPr>
                  </w:pPr>
                  <w:r>
                    <w:rPr>
                      <w:rFonts w:hint="default"/>
                      <w:color w:val="auto"/>
                      <w:szCs w:val="21"/>
                      <w:highlight w:val="none"/>
                    </w:rPr>
                    <w:t>场地进行表土剥离后</w:t>
                  </w:r>
                  <w:r>
                    <w:rPr>
                      <w:rFonts w:hint="eastAsia"/>
                      <w:color w:val="auto"/>
                      <w:szCs w:val="21"/>
                      <w:highlight w:val="none"/>
                      <w:lang w:eastAsia="zh-CN"/>
                    </w:rPr>
                    <w:t>，对井场占地进行</w:t>
                  </w:r>
                  <w:r>
                    <w:rPr>
                      <w:rFonts w:hint="default"/>
                      <w:color w:val="auto"/>
                      <w:szCs w:val="21"/>
                      <w:highlight w:val="none"/>
                    </w:rPr>
                    <w:t>平整</w:t>
                  </w:r>
                  <w:r>
                    <w:rPr>
                      <w:rFonts w:hint="eastAsia"/>
                      <w:color w:val="auto"/>
                      <w:szCs w:val="21"/>
                      <w:highlight w:val="none"/>
                    </w:rPr>
                    <w:t>。</w:t>
                  </w:r>
                </w:p>
              </w:tc>
            </w:tr>
            <w:tr w14:paraId="5D3E559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696" w:hRule="atLeast"/>
                <w:jc w:val="center"/>
              </w:trPr>
              <w:tc>
                <w:tcPr>
                  <w:tcW w:w="606" w:type="pct"/>
                  <w:vMerge w:val="continue"/>
                  <w:noWrap w:val="0"/>
                  <w:tcMar>
                    <w:left w:w="0" w:type="dxa"/>
                    <w:right w:w="0" w:type="dxa"/>
                  </w:tcMar>
                  <w:vAlign w:val="center"/>
                </w:tcPr>
                <w:p w14:paraId="52A9D8D5">
                  <w:pPr>
                    <w:keepNext w:val="0"/>
                    <w:keepLines w:val="0"/>
                    <w:suppressLineNumbers w:val="0"/>
                    <w:spacing w:before="0" w:beforeAutospacing="0" w:after="0" w:afterAutospacing="0"/>
                    <w:ind w:left="0" w:right="0"/>
                    <w:jc w:val="center"/>
                    <w:rPr>
                      <w:rFonts w:hint="eastAsia"/>
                      <w:color w:val="auto"/>
                      <w:szCs w:val="21"/>
                    </w:rPr>
                  </w:pPr>
                </w:p>
              </w:tc>
              <w:tc>
                <w:tcPr>
                  <w:tcW w:w="867" w:type="pct"/>
                  <w:gridSpan w:val="2"/>
                  <w:vMerge w:val="continue"/>
                  <w:noWrap w:val="0"/>
                  <w:vAlign w:val="center"/>
                </w:tcPr>
                <w:p w14:paraId="16406999">
                  <w:pPr>
                    <w:keepNext w:val="0"/>
                    <w:keepLines w:val="0"/>
                    <w:suppressLineNumbers w:val="0"/>
                    <w:spacing w:before="0" w:beforeAutospacing="0" w:after="0" w:afterAutospacing="0"/>
                    <w:ind w:left="0" w:right="0"/>
                    <w:jc w:val="center"/>
                    <w:rPr>
                      <w:rFonts w:hint="eastAsia"/>
                      <w:color w:val="auto"/>
                      <w:szCs w:val="21"/>
                    </w:rPr>
                  </w:pPr>
                </w:p>
              </w:tc>
              <w:tc>
                <w:tcPr>
                  <w:tcW w:w="3525" w:type="pct"/>
                  <w:noWrap w:val="0"/>
                  <w:vAlign w:val="center"/>
                </w:tcPr>
                <w:p w14:paraId="67CA94E3">
                  <w:pPr>
                    <w:keepNext w:val="0"/>
                    <w:keepLines w:val="0"/>
                    <w:suppressLineNumbers w:val="0"/>
                    <w:spacing w:before="0" w:beforeAutospacing="0" w:after="0" w:afterAutospacing="0"/>
                    <w:ind w:left="0" w:right="0"/>
                    <w:rPr>
                      <w:rFonts w:hint="eastAsia"/>
                      <w:color w:val="auto"/>
                      <w:szCs w:val="21"/>
                    </w:rPr>
                  </w:pPr>
                  <w:r>
                    <w:rPr>
                      <w:rFonts w:hint="eastAsia"/>
                      <w:color w:val="auto"/>
                      <w:szCs w:val="21"/>
                    </w:rPr>
                    <w:t>井口方井位于井场中部，占地面积约310m</w:t>
                  </w:r>
                  <w:r>
                    <w:rPr>
                      <w:rFonts w:hint="eastAsia"/>
                      <w:color w:val="auto"/>
                      <w:szCs w:val="21"/>
                      <w:vertAlign w:val="superscript"/>
                    </w:rPr>
                    <w:t>2</w:t>
                  </w:r>
                  <w:r>
                    <w:rPr>
                      <w:rFonts w:hint="eastAsia"/>
                      <w:color w:val="auto"/>
                      <w:szCs w:val="21"/>
                    </w:rPr>
                    <w:t>，钻机设备安装基础。</w:t>
                  </w:r>
                </w:p>
              </w:tc>
            </w:tr>
            <w:tr w14:paraId="33456D9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695" w:hRule="atLeast"/>
                <w:jc w:val="center"/>
              </w:trPr>
              <w:tc>
                <w:tcPr>
                  <w:tcW w:w="606" w:type="pct"/>
                  <w:vMerge w:val="continue"/>
                  <w:noWrap w:val="0"/>
                  <w:tcMar>
                    <w:left w:w="0" w:type="dxa"/>
                    <w:right w:w="0" w:type="dxa"/>
                  </w:tcMar>
                  <w:vAlign w:val="center"/>
                </w:tcPr>
                <w:p w14:paraId="4B5E2178">
                  <w:pPr>
                    <w:keepNext w:val="0"/>
                    <w:keepLines w:val="0"/>
                    <w:suppressLineNumbers w:val="0"/>
                    <w:spacing w:before="0" w:beforeAutospacing="0" w:after="0" w:afterAutospacing="0"/>
                    <w:ind w:left="0" w:right="0"/>
                    <w:jc w:val="center"/>
                    <w:rPr>
                      <w:rFonts w:hint="eastAsia"/>
                      <w:color w:val="auto"/>
                      <w:szCs w:val="21"/>
                    </w:rPr>
                  </w:pPr>
                </w:p>
              </w:tc>
              <w:tc>
                <w:tcPr>
                  <w:tcW w:w="867" w:type="pct"/>
                  <w:gridSpan w:val="2"/>
                  <w:vMerge w:val="continue"/>
                  <w:noWrap w:val="0"/>
                  <w:vAlign w:val="center"/>
                </w:tcPr>
                <w:p w14:paraId="042E6D06">
                  <w:pPr>
                    <w:keepNext w:val="0"/>
                    <w:keepLines w:val="0"/>
                    <w:suppressLineNumbers w:val="0"/>
                    <w:spacing w:before="0" w:beforeAutospacing="0" w:after="0" w:afterAutospacing="0"/>
                    <w:ind w:left="0" w:right="0"/>
                    <w:jc w:val="center"/>
                    <w:rPr>
                      <w:rFonts w:hint="eastAsia"/>
                      <w:color w:val="auto"/>
                      <w:szCs w:val="21"/>
                    </w:rPr>
                  </w:pPr>
                </w:p>
              </w:tc>
              <w:tc>
                <w:tcPr>
                  <w:tcW w:w="3525" w:type="pct"/>
                  <w:noWrap w:val="0"/>
                  <w:vAlign w:val="center"/>
                </w:tcPr>
                <w:p w14:paraId="40D1435F">
                  <w:pPr>
                    <w:keepNext w:val="0"/>
                    <w:keepLines w:val="0"/>
                    <w:suppressLineNumbers w:val="0"/>
                    <w:spacing w:before="0" w:beforeAutospacing="0" w:after="0" w:afterAutospacing="0"/>
                    <w:ind w:left="0" w:right="0"/>
                    <w:rPr>
                      <w:rFonts w:hint="default"/>
                      <w:color w:val="auto"/>
                      <w:szCs w:val="21"/>
                    </w:rPr>
                  </w:pPr>
                  <w:r>
                    <w:rPr>
                      <w:rFonts w:hint="eastAsia"/>
                      <w:color w:val="auto"/>
                      <w:szCs w:val="21"/>
                    </w:rPr>
                    <w:t>井架基础采用钢结构活动基础（2m</w:t>
                  </w:r>
                  <w:r>
                    <w:rPr>
                      <w:rFonts w:hint="default"/>
                      <w:bCs/>
                      <w:color w:val="auto"/>
                      <w:szCs w:val="21"/>
                    </w:rPr>
                    <w:t>×</w:t>
                  </w:r>
                  <w:r>
                    <w:rPr>
                      <w:rFonts w:hint="eastAsia"/>
                      <w:color w:val="auto"/>
                      <w:szCs w:val="21"/>
                    </w:rPr>
                    <w:t>4m</w:t>
                  </w:r>
                  <w:r>
                    <w:rPr>
                      <w:rFonts w:hint="default"/>
                      <w:bCs/>
                      <w:color w:val="auto"/>
                      <w:szCs w:val="21"/>
                    </w:rPr>
                    <w:t>×</w:t>
                  </w:r>
                  <w:r>
                    <w:rPr>
                      <w:rFonts w:hint="eastAsia"/>
                      <w:color w:val="auto"/>
                      <w:szCs w:val="21"/>
                    </w:rPr>
                    <w:t>0.2m），承载能力不小于0.15MPa，使用完后拉至下一井场继续使用。</w:t>
                  </w:r>
                </w:p>
              </w:tc>
            </w:tr>
            <w:tr w14:paraId="25F70D9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454" w:hRule="atLeast"/>
                <w:jc w:val="center"/>
              </w:trPr>
              <w:tc>
                <w:tcPr>
                  <w:tcW w:w="606" w:type="pct"/>
                  <w:vMerge w:val="continue"/>
                  <w:noWrap w:val="0"/>
                  <w:tcMar>
                    <w:left w:w="0" w:type="dxa"/>
                    <w:right w:w="0" w:type="dxa"/>
                  </w:tcMar>
                  <w:vAlign w:val="center"/>
                </w:tcPr>
                <w:p w14:paraId="7CD22C2C">
                  <w:pPr>
                    <w:keepNext w:val="0"/>
                    <w:keepLines w:val="0"/>
                    <w:widowControl/>
                    <w:suppressLineNumbers w:val="0"/>
                    <w:spacing w:before="0" w:beforeAutospacing="0" w:after="0" w:afterAutospacing="0"/>
                    <w:ind w:left="0" w:right="0"/>
                    <w:jc w:val="left"/>
                    <w:rPr>
                      <w:rFonts w:hint="default"/>
                      <w:color w:val="auto"/>
                      <w:szCs w:val="21"/>
                    </w:rPr>
                  </w:pPr>
                </w:p>
              </w:tc>
              <w:tc>
                <w:tcPr>
                  <w:tcW w:w="867" w:type="pct"/>
                  <w:gridSpan w:val="2"/>
                  <w:vMerge w:val="restart"/>
                  <w:noWrap w:val="0"/>
                  <w:vAlign w:val="center"/>
                </w:tcPr>
                <w:p w14:paraId="3FFF5553">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钻井工程</w:t>
                  </w:r>
                </w:p>
              </w:tc>
              <w:tc>
                <w:tcPr>
                  <w:tcW w:w="3525" w:type="pct"/>
                  <w:noWrap w:val="0"/>
                  <w:vAlign w:val="center"/>
                </w:tcPr>
                <w:p w14:paraId="0F6C3DC0">
                  <w:pPr>
                    <w:keepNext w:val="0"/>
                    <w:keepLines w:val="0"/>
                    <w:suppressLineNumbers w:val="0"/>
                    <w:spacing w:before="0" w:beforeAutospacing="0" w:after="0" w:afterAutospacing="0"/>
                    <w:ind w:left="0" w:right="0"/>
                    <w:jc w:val="left"/>
                    <w:rPr>
                      <w:rFonts w:hint="default"/>
                      <w:color w:val="auto"/>
                      <w:szCs w:val="21"/>
                    </w:rPr>
                  </w:pPr>
                  <w:r>
                    <w:rPr>
                      <w:rFonts w:hint="default"/>
                      <w:color w:val="auto"/>
                      <w:szCs w:val="21"/>
                    </w:rPr>
                    <w:t>钻井设备安装：ZJ70钻机，设备搬运、安装、调试。</w:t>
                  </w:r>
                </w:p>
              </w:tc>
            </w:tr>
            <w:tr w14:paraId="0D8D9C7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667" w:hRule="atLeast"/>
                <w:jc w:val="center"/>
              </w:trPr>
              <w:tc>
                <w:tcPr>
                  <w:tcW w:w="606" w:type="pct"/>
                  <w:vMerge w:val="continue"/>
                  <w:noWrap w:val="0"/>
                  <w:tcMar>
                    <w:left w:w="0" w:type="dxa"/>
                    <w:right w:w="0" w:type="dxa"/>
                  </w:tcMar>
                  <w:vAlign w:val="center"/>
                </w:tcPr>
                <w:p w14:paraId="0EC78094">
                  <w:pPr>
                    <w:keepNext w:val="0"/>
                    <w:keepLines w:val="0"/>
                    <w:widowControl/>
                    <w:suppressLineNumbers w:val="0"/>
                    <w:spacing w:before="0" w:beforeAutospacing="0" w:after="0" w:afterAutospacing="0"/>
                    <w:ind w:left="0" w:right="0"/>
                    <w:jc w:val="left"/>
                    <w:rPr>
                      <w:rFonts w:hint="default"/>
                      <w:color w:val="auto"/>
                      <w:szCs w:val="21"/>
                    </w:rPr>
                  </w:pPr>
                </w:p>
              </w:tc>
              <w:tc>
                <w:tcPr>
                  <w:tcW w:w="867" w:type="pct"/>
                  <w:gridSpan w:val="2"/>
                  <w:vMerge w:val="continue"/>
                  <w:noWrap w:val="0"/>
                  <w:vAlign w:val="center"/>
                </w:tcPr>
                <w:p w14:paraId="4657C57D">
                  <w:pPr>
                    <w:keepNext w:val="0"/>
                    <w:keepLines w:val="0"/>
                    <w:widowControl/>
                    <w:suppressLineNumbers w:val="0"/>
                    <w:spacing w:before="0" w:beforeAutospacing="0" w:after="0" w:afterAutospacing="0"/>
                    <w:ind w:left="0" w:right="0"/>
                    <w:jc w:val="left"/>
                    <w:rPr>
                      <w:rFonts w:hint="default"/>
                      <w:color w:val="auto"/>
                      <w:szCs w:val="21"/>
                    </w:rPr>
                  </w:pPr>
                </w:p>
              </w:tc>
              <w:tc>
                <w:tcPr>
                  <w:tcW w:w="3525" w:type="pct"/>
                  <w:noWrap w:val="0"/>
                  <w:vAlign w:val="center"/>
                </w:tcPr>
                <w:p w14:paraId="3D9FC0E8">
                  <w:pPr>
                    <w:keepNext w:val="0"/>
                    <w:keepLines w:val="0"/>
                    <w:suppressLineNumbers w:val="0"/>
                    <w:spacing w:before="0" w:beforeAutospacing="0" w:after="0" w:afterAutospacing="0"/>
                    <w:ind w:left="0" w:right="0"/>
                    <w:rPr>
                      <w:rFonts w:hint="default"/>
                      <w:color w:val="auto"/>
                      <w:szCs w:val="21"/>
                    </w:rPr>
                  </w:pPr>
                  <w:r>
                    <w:rPr>
                      <w:rFonts w:hint="eastAsia"/>
                      <w:color w:val="auto"/>
                      <w:szCs w:val="21"/>
                      <w:lang w:eastAsia="zh-CN"/>
                    </w:rPr>
                    <w:t>扎格6</w:t>
                  </w:r>
                  <w:r>
                    <w:rPr>
                      <w:rFonts w:hint="eastAsia"/>
                      <w:color w:val="auto"/>
                      <w:szCs w:val="21"/>
                    </w:rPr>
                    <w:t>井设计井深</w:t>
                  </w:r>
                  <w:r>
                    <w:rPr>
                      <w:rFonts w:hint="eastAsia"/>
                      <w:color w:val="auto"/>
                      <w:szCs w:val="21"/>
                      <w:lang w:val="en-US" w:eastAsia="zh-CN"/>
                    </w:rPr>
                    <w:t>6600</w:t>
                  </w:r>
                  <w:r>
                    <w:rPr>
                      <w:rFonts w:hint="eastAsia"/>
                      <w:color w:val="auto"/>
                      <w:szCs w:val="21"/>
                    </w:rPr>
                    <w:t>m。</w:t>
                  </w:r>
                  <w:r>
                    <w:rPr>
                      <w:rFonts w:hint="eastAsia"/>
                      <w:color w:val="auto"/>
                      <w:szCs w:val="21"/>
                      <w:lang w:eastAsia="zh-CN"/>
                    </w:rPr>
                    <w:t>本工程</w:t>
                  </w:r>
                  <w:r>
                    <w:rPr>
                      <w:rFonts w:hint="default"/>
                      <w:color w:val="auto"/>
                      <w:szCs w:val="21"/>
                    </w:rPr>
                    <w:t>采用水基泥浆</w:t>
                  </w:r>
                  <w:r>
                    <w:rPr>
                      <w:rFonts w:hint="eastAsia"/>
                      <w:color w:val="auto"/>
                      <w:szCs w:val="21"/>
                    </w:rPr>
                    <w:t>，钻井泥浆、钻井岩屑进行泥浆不落地</w:t>
                  </w:r>
                  <w:r>
                    <w:rPr>
                      <w:rFonts w:hint="eastAsia"/>
                      <w:color w:val="auto"/>
                      <w:szCs w:val="21"/>
                      <w:lang w:eastAsia="zh-CN"/>
                    </w:rPr>
                    <w:t>收集</w:t>
                  </w:r>
                  <w:r>
                    <w:rPr>
                      <w:rFonts w:hint="eastAsia"/>
                      <w:color w:val="auto"/>
                      <w:szCs w:val="21"/>
                    </w:rPr>
                    <w:t>处理。</w:t>
                  </w:r>
                </w:p>
              </w:tc>
            </w:tr>
            <w:tr w14:paraId="6B8A76C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454" w:hRule="atLeast"/>
                <w:jc w:val="center"/>
              </w:trPr>
              <w:tc>
                <w:tcPr>
                  <w:tcW w:w="606" w:type="pct"/>
                  <w:vMerge w:val="continue"/>
                  <w:noWrap w:val="0"/>
                  <w:tcMar>
                    <w:left w:w="0" w:type="dxa"/>
                    <w:right w:w="0" w:type="dxa"/>
                  </w:tcMar>
                  <w:vAlign w:val="center"/>
                </w:tcPr>
                <w:p w14:paraId="247ED2EE">
                  <w:pPr>
                    <w:keepNext w:val="0"/>
                    <w:keepLines w:val="0"/>
                    <w:widowControl/>
                    <w:suppressLineNumbers w:val="0"/>
                    <w:spacing w:before="0" w:beforeAutospacing="0" w:after="0" w:afterAutospacing="0"/>
                    <w:ind w:left="0" w:right="0"/>
                    <w:jc w:val="left"/>
                    <w:rPr>
                      <w:rFonts w:hint="default"/>
                      <w:color w:val="auto"/>
                      <w:szCs w:val="21"/>
                    </w:rPr>
                  </w:pPr>
                </w:p>
              </w:tc>
              <w:tc>
                <w:tcPr>
                  <w:tcW w:w="867" w:type="pct"/>
                  <w:gridSpan w:val="2"/>
                  <w:vMerge w:val="continue"/>
                  <w:noWrap w:val="0"/>
                  <w:vAlign w:val="center"/>
                </w:tcPr>
                <w:p w14:paraId="39AEA483">
                  <w:pPr>
                    <w:keepNext w:val="0"/>
                    <w:keepLines w:val="0"/>
                    <w:widowControl/>
                    <w:suppressLineNumbers w:val="0"/>
                    <w:spacing w:before="0" w:beforeAutospacing="0" w:after="0" w:afterAutospacing="0"/>
                    <w:ind w:left="0" w:right="0"/>
                    <w:jc w:val="left"/>
                    <w:rPr>
                      <w:rFonts w:hint="default"/>
                      <w:color w:val="auto"/>
                      <w:szCs w:val="21"/>
                    </w:rPr>
                  </w:pPr>
                </w:p>
              </w:tc>
              <w:tc>
                <w:tcPr>
                  <w:tcW w:w="3525" w:type="pct"/>
                  <w:noWrap w:val="0"/>
                  <w:vAlign w:val="center"/>
                </w:tcPr>
                <w:p w14:paraId="6250F7E8">
                  <w:pPr>
                    <w:keepNext w:val="0"/>
                    <w:keepLines w:val="0"/>
                    <w:suppressLineNumbers w:val="0"/>
                    <w:spacing w:before="0" w:beforeAutospacing="0" w:after="0" w:afterAutospacing="0"/>
                    <w:ind w:left="0" w:right="0"/>
                    <w:jc w:val="left"/>
                    <w:rPr>
                      <w:rFonts w:hint="default"/>
                      <w:color w:val="auto"/>
                      <w:szCs w:val="21"/>
                    </w:rPr>
                  </w:pPr>
                  <w:r>
                    <w:rPr>
                      <w:rFonts w:hint="default"/>
                      <w:color w:val="auto"/>
                      <w:szCs w:val="21"/>
                    </w:rPr>
                    <w:t>固井工程全井段实施套管保护+</w:t>
                  </w:r>
                  <w:r>
                    <w:rPr>
                      <w:rFonts w:hint="eastAsia"/>
                      <w:color w:val="auto"/>
                      <w:szCs w:val="21"/>
                    </w:rPr>
                    <w:t>水</w:t>
                  </w:r>
                  <w:r>
                    <w:rPr>
                      <w:rFonts w:hint="default"/>
                      <w:color w:val="auto"/>
                      <w:szCs w:val="21"/>
                    </w:rPr>
                    <w:t>泥固井</w:t>
                  </w:r>
                  <w:r>
                    <w:rPr>
                      <w:rFonts w:hint="eastAsia"/>
                      <w:color w:val="auto"/>
                      <w:szCs w:val="21"/>
                    </w:rPr>
                    <w:t>+</w:t>
                  </w:r>
                  <w:r>
                    <w:rPr>
                      <w:rFonts w:hint="default"/>
                      <w:color w:val="auto"/>
                      <w:szCs w:val="21"/>
                    </w:rPr>
                    <w:t>测井工作。</w:t>
                  </w:r>
                </w:p>
              </w:tc>
            </w:tr>
            <w:tr w14:paraId="304D1C8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454" w:hRule="atLeast"/>
                <w:jc w:val="center"/>
              </w:trPr>
              <w:tc>
                <w:tcPr>
                  <w:tcW w:w="606" w:type="pct"/>
                  <w:vMerge w:val="continue"/>
                  <w:noWrap w:val="0"/>
                  <w:tcMar>
                    <w:left w:w="0" w:type="dxa"/>
                    <w:right w:w="0" w:type="dxa"/>
                  </w:tcMar>
                  <w:vAlign w:val="center"/>
                </w:tcPr>
                <w:p w14:paraId="04EDF5E2">
                  <w:pPr>
                    <w:keepNext w:val="0"/>
                    <w:keepLines w:val="0"/>
                    <w:widowControl/>
                    <w:suppressLineNumbers w:val="0"/>
                    <w:spacing w:before="0" w:beforeAutospacing="0" w:after="0" w:afterAutospacing="0"/>
                    <w:ind w:left="0" w:right="0"/>
                    <w:jc w:val="left"/>
                    <w:rPr>
                      <w:rFonts w:hint="default"/>
                      <w:color w:val="auto"/>
                      <w:szCs w:val="21"/>
                    </w:rPr>
                  </w:pPr>
                </w:p>
              </w:tc>
              <w:tc>
                <w:tcPr>
                  <w:tcW w:w="867" w:type="pct"/>
                  <w:gridSpan w:val="2"/>
                  <w:vMerge w:val="continue"/>
                  <w:noWrap w:val="0"/>
                  <w:vAlign w:val="center"/>
                </w:tcPr>
                <w:p w14:paraId="65826D7B">
                  <w:pPr>
                    <w:keepNext w:val="0"/>
                    <w:keepLines w:val="0"/>
                    <w:widowControl/>
                    <w:suppressLineNumbers w:val="0"/>
                    <w:spacing w:before="0" w:beforeAutospacing="0" w:after="0" w:afterAutospacing="0"/>
                    <w:ind w:left="0" w:right="0"/>
                    <w:jc w:val="left"/>
                    <w:rPr>
                      <w:rFonts w:hint="default"/>
                      <w:color w:val="auto"/>
                      <w:szCs w:val="21"/>
                    </w:rPr>
                  </w:pPr>
                </w:p>
              </w:tc>
              <w:tc>
                <w:tcPr>
                  <w:tcW w:w="3525" w:type="pct"/>
                  <w:noWrap w:val="0"/>
                  <w:vAlign w:val="center"/>
                </w:tcPr>
                <w:p w14:paraId="135A89EF">
                  <w:pPr>
                    <w:keepNext w:val="0"/>
                    <w:keepLines w:val="0"/>
                    <w:suppressLineNumbers w:val="0"/>
                    <w:spacing w:before="0" w:beforeAutospacing="0" w:after="0" w:afterAutospacing="0"/>
                    <w:ind w:left="0" w:right="0"/>
                    <w:jc w:val="left"/>
                    <w:rPr>
                      <w:rFonts w:hint="default"/>
                      <w:color w:val="auto"/>
                      <w:szCs w:val="21"/>
                    </w:rPr>
                  </w:pPr>
                  <w:r>
                    <w:rPr>
                      <w:rFonts w:hint="default"/>
                      <w:color w:val="auto"/>
                      <w:szCs w:val="21"/>
                    </w:rPr>
                    <w:t>井控装置：液压泵站、</w:t>
                  </w:r>
                  <w:r>
                    <w:rPr>
                      <w:rFonts w:hint="eastAsia"/>
                      <w:color w:val="auto"/>
                      <w:szCs w:val="21"/>
                    </w:rPr>
                    <w:t>节流压井</w:t>
                  </w:r>
                  <w:r>
                    <w:rPr>
                      <w:rFonts w:hint="default"/>
                      <w:color w:val="auto"/>
                      <w:szCs w:val="21"/>
                    </w:rPr>
                    <w:t>管汇和井口</w:t>
                  </w:r>
                  <w:r>
                    <w:rPr>
                      <w:rFonts w:hint="eastAsia"/>
                      <w:color w:val="auto"/>
                      <w:szCs w:val="21"/>
                    </w:rPr>
                    <w:t>防</w:t>
                  </w:r>
                  <w:r>
                    <w:rPr>
                      <w:rFonts w:hint="default"/>
                      <w:color w:val="auto"/>
                      <w:szCs w:val="21"/>
                    </w:rPr>
                    <w:t>喷器设备。</w:t>
                  </w:r>
                </w:p>
              </w:tc>
            </w:tr>
            <w:tr w14:paraId="7C862B2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779" w:hRule="atLeast"/>
                <w:jc w:val="center"/>
              </w:trPr>
              <w:tc>
                <w:tcPr>
                  <w:tcW w:w="606" w:type="pct"/>
                  <w:vMerge w:val="continue"/>
                  <w:noWrap w:val="0"/>
                  <w:tcMar>
                    <w:left w:w="0" w:type="dxa"/>
                    <w:right w:w="0" w:type="dxa"/>
                  </w:tcMar>
                  <w:vAlign w:val="center"/>
                </w:tcPr>
                <w:p w14:paraId="3E9063D8">
                  <w:pPr>
                    <w:keepNext w:val="0"/>
                    <w:keepLines w:val="0"/>
                    <w:widowControl/>
                    <w:suppressLineNumbers w:val="0"/>
                    <w:spacing w:before="0" w:beforeAutospacing="0" w:after="0" w:afterAutospacing="0"/>
                    <w:ind w:left="0" w:right="0"/>
                    <w:jc w:val="left"/>
                    <w:rPr>
                      <w:rFonts w:hint="default"/>
                      <w:color w:val="auto"/>
                      <w:szCs w:val="21"/>
                    </w:rPr>
                  </w:pPr>
                </w:p>
              </w:tc>
              <w:tc>
                <w:tcPr>
                  <w:tcW w:w="867" w:type="pct"/>
                  <w:gridSpan w:val="2"/>
                  <w:vMerge w:val="restart"/>
                  <w:noWrap w:val="0"/>
                  <w:vAlign w:val="center"/>
                </w:tcPr>
                <w:p w14:paraId="6DF7DAC3">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试油工程</w:t>
                  </w:r>
                </w:p>
              </w:tc>
              <w:tc>
                <w:tcPr>
                  <w:tcW w:w="3525" w:type="pct"/>
                  <w:noWrap w:val="0"/>
                  <w:vAlign w:val="center"/>
                </w:tcPr>
                <w:p w14:paraId="49556862">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采用抽油机进行试油，试油期井场设置储液罐2个（一用一备），均为卧式固定罐，容积40m</w:t>
                  </w:r>
                  <w:r>
                    <w:rPr>
                      <w:rFonts w:hint="default"/>
                      <w:color w:val="auto"/>
                      <w:szCs w:val="21"/>
                      <w:vertAlign w:val="superscript"/>
                    </w:rPr>
                    <w:t>3</w:t>
                  </w:r>
                  <w:r>
                    <w:rPr>
                      <w:rFonts w:hint="default"/>
                      <w:color w:val="auto"/>
                      <w:szCs w:val="21"/>
                    </w:rPr>
                    <w:t>/个。</w:t>
                  </w:r>
                </w:p>
              </w:tc>
            </w:tr>
            <w:tr w14:paraId="64DC3BC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657" w:hRule="atLeast"/>
                <w:jc w:val="center"/>
              </w:trPr>
              <w:tc>
                <w:tcPr>
                  <w:tcW w:w="606" w:type="pct"/>
                  <w:vMerge w:val="continue"/>
                  <w:noWrap w:val="0"/>
                  <w:tcMar>
                    <w:left w:w="0" w:type="dxa"/>
                    <w:right w:w="0" w:type="dxa"/>
                  </w:tcMar>
                  <w:vAlign w:val="center"/>
                </w:tcPr>
                <w:p w14:paraId="4D6B2E78">
                  <w:pPr>
                    <w:keepNext w:val="0"/>
                    <w:keepLines w:val="0"/>
                    <w:widowControl/>
                    <w:suppressLineNumbers w:val="0"/>
                    <w:spacing w:before="0" w:beforeAutospacing="0" w:after="0" w:afterAutospacing="0"/>
                    <w:ind w:left="0" w:right="0"/>
                    <w:jc w:val="left"/>
                    <w:rPr>
                      <w:rFonts w:hint="default"/>
                      <w:color w:val="auto"/>
                      <w:szCs w:val="21"/>
                    </w:rPr>
                  </w:pPr>
                </w:p>
              </w:tc>
              <w:tc>
                <w:tcPr>
                  <w:tcW w:w="867" w:type="pct"/>
                  <w:gridSpan w:val="2"/>
                  <w:vMerge w:val="continue"/>
                  <w:noWrap w:val="0"/>
                  <w:vAlign w:val="center"/>
                </w:tcPr>
                <w:p w14:paraId="1745ED0A">
                  <w:pPr>
                    <w:keepNext w:val="0"/>
                    <w:keepLines w:val="0"/>
                    <w:widowControl/>
                    <w:suppressLineNumbers w:val="0"/>
                    <w:spacing w:before="0" w:beforeAutospacing="0" w:after="0" w:afterAutospacing="0"/>
                    <w:ind w:left="0" w:right="0"/>
                    <w:jc w:val="left"/>
                    <w:rPr>
                      <w:rFonts w:hint="default"/>
                      <w:color w:val="auto"/>
                      <w:szCs w:val="21"/>
                    </w:rPr>
                  </w:pPr>
                </w:p>
              </w:tc>
              <w:tc>
                <w:tcPr>
                  <w:tcW w:w="3525" w:type="pct"/>
                  <w:noWrap w:val="0"/>
                  <w:vAlign w:val="center"/>
                </w:tcPr>
                <w:p w14:paraId="1DAEFEBD">
                  <w:pPr>
                    <w:keepNext w:val="0"/>
                    <w:keepLines w:val="0"/>
                    <w:suppressLineNumbers w:val="0"/>
                    <w:spacing w:before="0" w:beforeAutospacing="0" w:after="0" w:afterAutospacing="0"/>
                    <w:ind w:left="0" w:right="0"/>
                    <w:jc w:val="left"/>
                    <w:rPr>
                      <w:rFonts w:hint="default"/>
                      <w:color w:val="auto"/>
                      <w:szCs w:val="21"/>
                    </w:rPr>
                  </w:pPr>
                  <w:r>
                    <w:rPr>
                      <w:rFonts w:hint="default"/>
                      <w:color w:val="auto"/>
                      <w:szCs w:val="21"/>
                    </w:rPr>
                    <w:t>井口与储液罐之间输油管线长约30m，井口与储液罐均设置切断阀，输油管线下方井场铺设有防油布，若管线漏油可收集。</w:t>
                  </w:r>
                </w:p>
              </w:tc>
            </w:tr>
            <w:tr w14:paraId="7E5BA52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034" w:hRule="atLeast"/>
                <w:jc w:val="center"/>
              </w:trPr>
              <w:tc>
                <w:tcPr>
                  <w:tcW w:w="606" w:type="pct"/>
                  <w:vMerge w:val="continue"/>
                  <w:noWrap w:val="0"/>
                  <w:tcMar>
                    <w:left w:w="0" w:type="dxa"/>
                    <w:right w:w="0" w:type="dxa"/>
                  </w:tcMar>
                  <w:vAlign w:val="center"/>
                </w:tcPr>
                <w:p w14:paraId="2D49AD81">
                  <w:pPr>
                    <w:keepNext w:val="0"/>
                    <w:keepLines w:val="0"/>
                    <w:widowControl/>
                    <w:suppressLineNumbers w:val="0"/>
                    <w:spacing w:before="0" w:beforeAutospacing="0" w:after="0" w:afterAutospacing="0"/>
                    <w:ind w:left="0" w:right="0"/>
                    <w:jc w:val="left"/>
                    <w:rPr>
                      <w:rFonts w:hint="default"/>
                      <w:color w:val="auto"/>
                      <w:szCs w:val="21"/>
                    </w:rPr>
                  </w:pPr>
                </w:p>
              </w:tc>
              <w:tc>
                <w:tcPr>
                  <w:tcW w:w="867" w:type="pct"/>
                  <w:gridSpan w:val="2"/>
                  <w:vMerge w:val="continue"/>
                  <w:noWrap w:val="0"/>
                  <w:vAlign w:val="center"/>
                </w:tcPr>
                <w:p w14:paraId="78CBB309">
                  <w:pPr>
                    <w:keepNext w:val="0"/>
                    <w:keepLines w:val="0"/>
                    <w:widowControl/>
                    <w:suppressLineNumbers w:val="0"/>
                    <w:spacing w:before="0" w:beforeAutospacing="0" w:after="0" w:afterAutospacing="0"/>
                    <w:ind w:left="0" w:right="0"/>
                    <w:jc w:val="left"/>
                    <w:rPr>
                      <w:rFonts w:hint="default"/>
                      <w:color w:val="auto"/>
                      <w:szCs w:val="21"/>
                    </w:rPr>
                  </w:pPr>
                </w:p>
              </w:tc>
              <w:tc>
                <w:tcPr>
                  <w:tcW w:w="3525" w:type="pct"/>
                  <w:noWrap w:val="0"/>
                  <w:vAlign w:val="center"/>
                </w:tcPr>
                <w:p w14:paraId="79C19388">
                  <w:pPr>
                    <w:keepNext w:val="0"/>
                    <w:keepLines w:val="0"/>
                    <w:suppressLineNumbers w:val="0"/>
                    <w:spacing w:before="0" w:beforeAutospacing="0" w:after="0" w:afterAutospacing="0"/>
                    <w:ind w:left="0" w:right="0"/>
                    <w:jc w:val="left"/>
                    <w:rPr>
                      <w:rFonts w:hint="default"/>
                      <w:color w:val="auto"/>
                      <w:szCs w:val="21"/>
                    </w:rPr>
                  </w:pPr>
                  <w:r>
                    <w:rPr>
                      <w:rFonts w:hint="default"/>
                      <w:color w:val="auto"/>
                      <w:szCs w:val="21"/>
                    </w:rPr>
                    <w:t>试油过程中采出液经</w:t>
                  </w:r>
                  <w:r>
                    <w:rPr>
                      <w:rFonts w:hint="eastAsia"/>
                      <w:color w:val="auto"/>
                      <w:szCs w:val="21"/>
                      <w:lang w:eastAsia="zh-CN"/>
                    </w:rPr>
                    <w:t>井场的</w:t>
                  </w:r>
                  <w:r>
                    <w:rPr>
                      <w:rFonts w:hint="default"/>
                      <w:color w:val="auto"/>
                      <w:szCs w:val="21"/>
                    </w:rPr>
                    <w:t>两相分离器分离，液态采出物在储罐内暂存，伴生气则经管道输送至井口50m外的火炬燃烧后排放。</w:t>
                  </w:r>
                </w:p>
              </w:tc>
            </w:tr>
            <w:tr w14:paraId="22991C7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279" w:hRule="atLeast"/>
                <w:jc w:val="center"/>
              </w:trPr>
              <w:tc>
                <w:tcPr>
                  <w:tcW w:w="606" w:type="pct"/>
                  <w:vMerge w:val="continue"/>
                  <w:noWrap w:val="0"/>
                  <w:tcMar>
                    <w:left w:w="0" w:type="dxa"/>
                    <w:right w:w="0" w:type="dxa"/>
                  </w:tcMar>
                  <w:vAlign w:val="center"/>
                </w:tcPr>
                <w:p w14:paraId="1915E4E9">
                  <w:pPr>
                    <w:keepNext w:val="0"/>
                    <w:keepLines w:val="0"/>
                    <w:widowControl/>
                    <w:suppressLineNumbers w:val="0"/>
                    <w:spacing w:before="0" w:beforeAutospacing="0" w:after="0" w:afterAutospacing="0"/>
                    <w:ind w:left="0" w:right="0"/>
                    <w:jc w:val="left"/>
                    <w:rPr>
                      <w:rFonts w:hint="default"/>
                      <w:color w:val="auto"/>
                      <w:szCs w:val="21"/>
                    </w:rPr>
                  </w:pPr>
                </w:p>
              </w:tc>
              <w:tc>
                <w:tcPr>
                  <w:tcW w:w="867" w:type="pct"/>
                  <w:gridSpan w:val="2"/>
                  <w:vMerge w:val="restart"/>
                  <w:noWrap w:val="0"/>
                  <w:vAlign w:val="center"/>
                </w:tcPr>
                <w:p w14:paraId="4C7D71D4">
                  <w:pPr>
                    <w:keepNext w:val="0"/>
                    <w:keepLines w:val="0"/>
                    <w:suppressLineNumbers w:val="0"/>
                    <w:spacing w:before="0" w:beforeAutospacing="0" w:after="0" w:afterAutospacing="0"/>
                    <w:ind w:left="0" w:right="0"/>
                    <w:jc w:val="center"/>
                    <w:rPr>
                      <w:rFonts w:hint="eastAsia" w:eastAsia="宋体"/>
                      <w:color w:val="auto"/>
                      <w:szCs w:val="21"/>
                      <w:lang w:eastAsia="zh-CN"/>
                    </w:rPr>
                  </w:pPr>
                  <w:r>
                    <w:rPr>
                      <w:rFonts w:hint="eastAsia"/>
                      <w:color w:val="auto"/>
                      <w:szCs w:val="21"/>
                      <w:lang w:eastAsia="zh-CN"/>
                    </w:rPr>
                    <w:t>封井作业</w:t>
                  </w:r>
                </w:p>
              </w:tc>
              <w:tc>
                <w:tcPr>
                  <w:tcW w:w="3525" w:type="pct"/>
                  <w:noWrap w:val="0"/>
                  <w:vAlign w:val="center"/>
                </w:tcPr>
                <w:p w14:paraId="07DFEECF">
                  <w:pPr>
                    <w:keepNext w:val="0"/>
                    <w:keepLines w:val="0"/>
                    <w:suppressLineNumbers w:val="0"/>
                    <w:spacing w:before="0" w:beforeAutospacing="0" w:after="0" w:afterAutospacing="0"/>
                    <w:ind w:left="0" w:right="0"/>
                    <w:jc w:val="left"/>
                    <w:rPr>
                      <w:rFonts w:hint="default"/>
                      <w:color w:val="auto"/>
                      <w:szCs w:val="21"/>
                    </w:rPr>
                  </w:pPr>
                  <w:r>
                    <w:rPr>
                      <w:rFonts w:hint="default"/>
                      <w:color w:val="auto"/>
                      <w:szCs w:val="21"/>
                    </w:rPr>
                    <w:t>完井后若有利用价值则采用临时封井，使用水泥封固井眼，封井井口套管头上安装丝扣法兰，其工作压力大于地层压力，并在丝扣法兰上标注井号，并设置醒目的警示标志，移交勘探井所属相关部门管理，定期对勘探井巡视，若后续利用该勘探井从事生产活动，需另行履行</w:t>
                  </w:r>
                  <w:r>
                    <w:rPr>
                      <w:rFonts w:hint="eastAsia"/>
                      <w:color w:val="auto"/>
                      <w:szCs w:val="21"/>
                      <w:lang w:eastAsia="zh-CN"/>
                    </w:rPr>
                    <w:t>环评</w:t>
                  </w:r>
                  <w:r>
                    <w:rPr>
                      <w:rFonts w:hint="default"/>
                      <w:color w:val="auto"/>
                      <w:szCs w:val="21"/>
                    </w:rPr>
                    <w:t>手续。</w:t>
                  </w:r>
                </w:p>
                <w:p w14:paraId="14990DB7">
                  <w:pPr>
                    <w:keepNext w:val="0"/>
                    <w:keepLines w:val="0"/>
                    <w:suppressLineNumbers w:val="0"/>
                    <w:spacing w:before="0" w:beforeAutospacing="0" w:after="0" w:afterAutospacing="0"/>
                    <w:ind w:left="0" w:right="0"/>
                    <w:jc w:val="left"/>
                    <w:rPr>
                      <w:rFonts w:hint="default"/>
                      <w:color w:val="auto"/>
                      <w:szCs w:val="21"/>
                    </w:rPr>
                  </w:pPr>
                  <w:r>
                    <w:rPr>
                      <w:rFonts w:hint="default"/>
                      <w:color w:val="auto"/>
                      <w:szCs w:val="21"/>
                    </w:rPr>
                    <w:t>若无利用价值则永久封井，隔离各个油气层，最下部打水泥塞，打地表水泥塞，要求所有关键性层段之间隔离开，恢复地貌，在井口位置处安装可供识别的标志，加以保护。</w:t>
                  </w:r>
                </w:p>
              </w:tc>
            </w:tr>
            <w:tr w14:paraId="7A3C8D4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57" w:hRule="atLeast"/>
                <w:jc w:val="center"/>
              </w:trPr>
              <w:tc>
                <w:tcPr>
                  <w:tcW w:w="606" w:type="pct"/>
                  <w:vMerge w:val="continue"/>
                  <w:noWrap w:val="0"/>
                  <w:tcMar>
                    <w:left w:w="0" w:type="dxa"/>
                    <w:right w:w="0" w:type="dxa"/>
                  </w:tcMar>
                  <w:vAlign w:val="center"/>
                </w:tcPr>
                <w:p w14:paraId="29D4B920">
                  <w:pPr>
                    <w:keepNext w:val="0"/>
                    <w:keepLines w:val="0"/>
                    <w:widowControl/>
                    <w:suppressLineNumbers w:val="0"/>
                    <w:spacing w:before="0" w:beforeAutospacing="0" w:after="0" w:afterAutospacing="0"/>
                    <w:ind w:left="0" w:right="0"/>
                    <w:jc w:val="left"/>
                    <w:rPr>
                      <w:rFonts w:hint="default"/>
                      <w:color w:val="auto"/>
                      <w:szCs w:val="21"/>
                    </w:rPr>
                  </w:pPr>
                </w:p>
              </w:tc>
              <w:tc>
                <w:tcPr>
                  <w:tcW w:w="867" w:type="pct"/>
                  <w:gridSpan w:val="2"/>
                  <w:vMerge w:val="continue"/>
                  <w:noWrap w:val="0"/>
                  <w:vAlign w:val="center"/>
                </w:tcPr>
                <w:p w14:paraId="50488582">
                  <w:pPr>
                    <w:keepNext w:val="0"/>
                    <w:keepLines w:val="0"/>
                    <w:suppressLineNumbers w:val="0"/>
                    <w:spacing w:before="0" w:beforeAutospacing="0" w:after="0" w:afterAutospacing="0"/>
                    <w:ind w:left="0" w:right="0"/>
                    <w:jc w:val="center"/>
                    <w:rPr>
                      <w:rFonts w:hint="eastAsia"/>
                      <w:color w:val="auto"/>
                      <w:szCs w:val="21"/>
                    </w:rPr>
                  </w:pPr>
                </w:p>
              </w:tc>
              <w:tc>
                <w:tcPr>
                  <w:tcW w:w="3525" w:type="pct"/>
                  <w:noWrap w:val="0"/>
                  <w:vAlign w:val="center"/>
                </w:tcPr>
                <w:p w14:paraId="293EA7E5">
                  <w:pPr>
                    <w:keepNext w:val="0"/>
                    <w:keepLines w:val="0"/>
                    <w:suppressLineNumbers w:val="0"/>
                    <w:spacing w:before="0" w:beforeAutospacing="0" w:after="0" w:afterAutospacing="0"/>
                    <w:ind w:left="0" w:right="0"/>
                    <w:rPr>
                      <w:rFonts w:hint="eastAsia"/>
                      <w:color w:val="auto"/>
                      <w:szCs w:val="21"/>
                    </w:rPr>
                  </w:pPr>
                  <w:r>
                    <w:rPr>
                      <w:rFonts w:hint="default"/>
                      <w:color w:val="auto"/>
                      <w:szCs w:val="21"/>
                    </w:rPr>
                    <w:t>拆除临时占地设备、建筑物，将钻前工程保留的表土直接摊铺覆盖于井场上，然后进行植被恢复。植被选用</w:t>
                  </w:r>
                  <w:r>
                    <w:rPr>
                      <w:rFonts w:hint="default"/>
                      <w:color w:val="auto"/>
                      <w:szCs w:val="21"/>
                      <w:lang w:val="en-US" w:eastAsia="zh-CN"/>
                    </w:rPr>
                    <w:t>适宜优势种</w:t>
                  </w:r>
                  <w:r>
                    <w:rPr>
                      <w:rFonts w:hint="default"/>
                      <w:color w:val="auto"/>
                      <w:szCs w:val="21"/>
                    </w:rPr>
                    <w:t>、保水固土能力强根系发达的物种。</w:t>
                  </w:r>
                </w:p>
              </w:tc>
            </w:tr>
            <w:tr w14:paraId="7D76527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439" w:hRule="atLeast"/>
                <w:jc w:val="center"/>
              </w:trPr>
              <w:tc>
                <w:tcPr>
                  <w:tcW w:w="606" w:type="pct"/>
                  <w:vMerge w:val="restart"/>
                  <w:noWrap w:val="0"/>
                  <w:tcMar>
                    <w:left w:w="0" w:type="dxa"/>
                    <w:right w:w="0" w:type="dxa"/>
                  </w:tcMar>
                  <w:vAlign w:val="center"/>
                </w:tcPr>
                <w:p w14:paraId="6CBCA6D5">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辅助工程</w:t>
                  </w:r>
                </w:p>
              </w:tc>
              <w:tc>
                <w:tcPr>
                  <w:tcW w:w="867" w:type="pct"/>
                  <w:gridSpan w:val="2"/>
                  <w:noWrap w:val="0"/>
                  <w:vAlign w:val="center"/>
                </w:tcPr>
                <w:p w14:paraId="1E0E0F5B">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安全网围</w:t>
                  </w:r>
                </w:p>
              </w:tc>
              <w:tc>
                <w:tcPr>
                  <w:tcW w:w="3525" w:type="pct"/>
                  <w:noWrap w:val="0"/>
                  <w:vAlign w:val="center"/>
                </w:tcPr>
                <w:p w14:paraId="40B52617">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场区边界设置高2m的安全防护网，若封井则拆除安全网围。</w:t>
                  </w:r>
                </w:p>
              </w:tc>
            </w:tr>
            <w:tr w14:paraId="53AA7E0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699" w:hRule="atLeast"/>
                <w:jc w:val="center"/>
              </w:trPr>
              <w:tc>
                <w:tcPr>
                  <w:tcW w:w="606" w:type="pct"/>
                  <w:vMerge w:val="continue"/>
                  <w:noWrap w:val="0"/>
                  <w:tcMar>
                    <w:left w:w="0" w:type="dxa"/>
                    <w:right w:w="0" w:type="dxa"/>
                  </w:tcMar>
                  <w:vAlign w:val="center"/>
                </w:tcPr>
                <w:p w14:paraId="4C81D91D">
                  <w:pPr>
                    <w:keepNext w:val="0"/>
                    <w:keepLines w:val="0"/>
                    <w:widowControl/>
                    <w:suppressLineNumbers w:val="0"/>
                    <w:spacing w:before="0" w:beforeAutospacing="0" w:after="0" w:afterAutospacing="0"/>
                    <w:ind w:left="0" w:right="0"/>
                    <w:jc w:val="left"/>
                    <w:rPr>
                      <w:rFonts w:hint="default"/>
                      <w:color w:val="auto"/>
                      <w:szCs w:val="21"/>
                    </w:rPr>
                  </w:pPr>
                </w:p>
              </w:tc>
              <w:tc>
                <w:tcPr>
                  <w:tcW w:w="867" w:type="pct"/>
                  <w:gridSpan w:val="2"/>
                  <w:noWrap w:val="0"/>
                  <w:tcMar>
                    <w:left w:w="0" w:type="dxa"/>
                    <w:right w:w="0" w:type="dxa"/>
                  </w:tcMar>
                  <w:vAlign w:val="center"/>
                </w:tcPr>
                <w:p w14:paraId="4A625FB2">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钻井测定装置</w:t>
                  </w:r>
                </w:p>
              </w:tc>
              <w:tc>
                <w:tcPr>
                  <w:tcW w:w="3525" w:type="pct"/>
                  <w:noWrap w:val="0"/>
                  <w:vAlign w:val="center"/>
                </w:tcPr>
                <w:p w14:paraId="3D97B6B8">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井场配备钻井测定装置1套，对钻压、扭矩、转速、泵压、泵冲、悬重、泥浆体积等参数在司钻台、监督房</w:t>
                  </w:r>
                  <w:r>
                    <w:rPr>
                      <w:rFonts w:hint="eastAsia"/>
                      <w:color w:val="auto"/>
                      <w:szCs w:val="21"/>
                    </w:rPr>
                    <w:t>内</w:t>
                  </w:r>
                  <w:r>
                    <w:rPr>
                      <w:rFonts w:hint="default"/>
                      <w:color w:val="auto"/>
                      <w:szCs w:val="21"/>
                    </w:rPr>
                    <w:t>显示。</w:t>
                  </w:r>
                </w:p>
              </w:tc>
            </w:tr>
            <w:tr w14:paraId="480A363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606" w:type="pct"/>
                  <w:vMerge w:val="continue"/>
                  <w:noWrap w:val="0"/>
                  <w:tcMar>
                    <w:left w:w="0" w:type="dxa"/>
                    <w:right w:w="0" w:type="dxa"/>
                  </w:tcMar>
                  <w:vAlign w:val="center"/>
                </w:tcPr>
                <w:p w14:paraId="340749D7">
                  <w:pPr>
                    <w:keepNext w:val="0"/>
                    <w:keepLines w:val="0"/>
                    <w:widowControl/>
                    <w:suppressLineNumbers w:val="0"/>
                    <w:spacing w:before="0" w:beforeAutospacing="0" w:after="0" w:afterAutospacing="0"/>
                    <w:ind w:left="0" w:right="0"/>
                    <w:jc w:val="left"/>
                    <w:rPr>
                      <w:rFonts w:hint="default"/>
                      <w:color w:val="auto"/>
                      <w:szCs w:val="21"/>
                    </w:rPr>
                  </w:pPr>
                </w:p>
              </w:tc>
              <w:tc>
                <w:tcPr>
                  <w:tcW w:w="867" w:type="pct"/>
                  <w:gridSpan w:val="2"/>
                  <w:noWrap w:val="0"/>
                  <w:tcMar>
                    <w:left w:w="0" w:type="dxa"/>
                    <w:right w:w="0" w:type="dxa"/>
                  </w:tcMar>
                  <w:vAlign w:val="center"/>
                </w:tcPr>
                <w:p w14:paraId="705AF543">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钻井监控装置</w:t>
                  </w:r>
                </w:p>
              </w:tc>
              <w:tc>
                <w:tcPr>
                  <w:tcW w:w="3525" w:type="pct"/>
                  <w:noWrap w:val="0"/>
                  <w:vAlign w:val="center"/>
                </w:tcPr>
                <w:p w14:paraId="62E00227">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井场配备钻井</w:t>
                  </w:r>
                  <w:r>
                    <w:rPr>
                      <w:rFonts w:hint="eastAsia"/>
                      <w:color w:val="auto"/>
                      <w:szCs w:val="21"/>
                    </w:rPr>
                    <w:t>监</w:t>
                  </w:r>
                  <w:r>
                    <w:rPr>
                      <w:rFonts w:hint="default"/>
                      <w:color w:val="auto"/>
                      <w:szCs w:val="21"/>
                    </w:rPr>
                    <w:t>控装置1套，</w:t>
                  </w:r>
                  <w:r>
                    <w:rPr>
                      <w:rFonts w:hint="eastAsia"/>
                      <w:color w:val="auto"/>
                      <w:szCs w:val="21"/>
                    </w:rPr>
                    <w:t>含</w:t>
                  </w:r>
                  <w:r>
                    <w:rPr>
                      <w:rFonts w:hint="default"/>
                      <w:color w:val="auto"/>
                      <w:szCs w:val="21"/>
                    </w:rPr>
                    <w:t>司钻控制台、节流</w:t>
                  </w:r>
                  <w:r>
                    <w:rPr>
                      <w:rFonts w:hint="eastAsia"/>
                      <w:color w:val="auto"/>
                      <w:szCs w:val="21"/>
                    </w:rPr>
                    <w:t>控制</w:t>
                  </w:r>
                  <w:r>
                    <w:rPr>
                      <w:rFonts w:hint="default"/>
                      <w:color w:val="auto"/>
                      <w:szCs w:val="21"/>
                    </w:rPr>
                    <w:t>室、远程控制台，均可独立开启井控装置。</w:t>
                  </w:r>
                </w:p>
              </w:tc>
            </w:tr>
            <w:tr w14:paraId="6DE4365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624" w:hRule="atLeast"/>
                <w:jc w:val="center"/>
              </w:trPr>
              <w:tc>
                <w:tcPr>
                  <w:tcW w:w="606" w:type="pct"/>
                  <w:vMerge w:val="continue"/>
                  <w:noWrap w:val="0"/>
                  <w:tcMar>
                    <w:left w:w="0" w:type="dxa"/>
                    <w:right w:w="0" w:type="dxa"/>
                  </w:tcMar>
                  <w:vAlign w:val="center"/>
                </w:tcPr>
                <w:p w14:paraId="73E4D0ED">
                  <w:pPr>
                    <w:keepNext w:val="0"/>
                    <w:keepLines w:val="0"/>
                    <w:widowControl/>
                    <w:suppressLineNumbers w:val="0"/>
                    <w:spacing w:before="0" w:beforeAutospacing="0" w:after="0" w:afterAutospacing="0"/>
                    <w:ind w:left="0" w:right="0"/>
                    <w:jc w:val="left"/>
                    <w:rPr>
                      <w:rFonts w:hint="default"/>
                      <w:color w:val="auto"/>
                      <w:szCs w:val="21"/>
                    </w:rPr>
                  </w:pPr>
                </w:p>
              </w:tc>
              <w:tc>
                <w:tcPr>
                  <w:tcW w:w="867" w:type="pct"/>
                  <w:gridSpan w:val="2"/>
                  <w:noWrap w:val="0"/>
                  <w:vAlign w:val="center"/>
                </w:tcPr>
                <w:p w14:paraId="5C2F4A44">
                  <w:pPr>
                    <w:keepNext w:val="0"/>
                    <w:keepLines w:val="0"/>
                    <w:suppressLineNumbers w:val="0"/>
                    <w:spacing w:before="0" w:beforeAutospacing="0" w:after="0" w:afterAutospacing="0" w:line="0" w:lineRule="atLeast"/>
                    <w:ind w:left="0" w:right="0"/>
                    <w:jc w:val="center"/>
                    <w:rPr>
                      <w:rFonts w:hint="default"/>
                      <w:color w:val="auto"/>
                      <w:szCs w:val="21"/>
                    </w:rPr>
                  </w:pPr>
                  <w:r>
                    <w:rPr>
                      <w:rFonts w:hint="eastAsia"/>
                      <w:color w:val="auto"/>
                      <w:szCs w:val="21"/>
                    </w:rPr>
                    <w:t>施工营地</w:t>
                  </w:r>
                </w:p>
              </w:tc>
              <w:tc>
                <w:tcPr>
                  <w:tcW w:w="3525" w:type="pct"/>
                  <w:noWrap w:val="0"/>
                  <w:vAlign w:val="center"/>
                </w:tcPr>
                <w:p w14:paraId="4E3CBFB7">
                  <w:pPr>
                    <w:keepNext w:val="0"/>
                    <w:keepLines w:val="0"/>
                    <w:suppressLineNumbers w:val="0"/>
                    <w:spacing w:before="0" w:beforeAutospacing="0" w:after="0" w:afterAutospacing="0" w:line="0" w:lineRule="atLeast"/>
                    <w:ind w:left="0" w:right="0"/>
                    <w:rPr>
                      <w:rFonts w:hint="default"/>
                      <w:color w:val="auto"/>
                      <w:szCs w:val="21"/>
                    </w:rPr>
                  </w:pPr>
                  <w:r>
                    <w:rPr>
                      <w:rFonts w:hint="default"/>
                      <w:color w:val="auto"/>
                      <w:szCs w:val="21"/>
                    </w:rPr>
                    <w:t>移动板房，位于井场范围内，占地面积1500m</w:t>
                  </w:r>
                  <w:r>
                    <w:rPr>
                      <w:rFonts w:hint="default"/>
                      <w:color w:val="auto"/>
                      <w:szCs w:val="21"/>
                      <w:vertAlign w:val="superscript"/>
                    </w:rPr>
                    <w:t>2</w:t>
                  </w:r>
                  <w:r>
                    <w:rPr>
                      <w:rFonts w:hint="default"/>
                      <w:color w:val="auto"/>
                      <w:szCs w:val="21"/>
                    </w:rPr>
                    <w:t>。用于施工人员临时休息、办公使用。</w:t>
                  </w:r>
                </w:p>
              </w:tc>
            </w:tr>
            <w:tr w14:paraId="0AFE1D0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682" w:hRule="atLeast"/>
                <w:jc w:val="center"/>
              </w:trPr>
              <w:tc>
                <w:tcPr>
                  <w:tcW w:w="606" w:type="pct"/>
                  <w:vMerge w:val="restart"/>
                  <w:noWrap w:val="0"/>
                  <w:tcMar>
                    <w:left w:w="0" w:type="dxa"/>
                    <w:right w:w="0" w:type="dxa"/>
                  </w:tcMar>
                  <w:vAlign w:val="center"/>
                </w:tcPr>
                <w:p w14:paraId="38492860">
                  <w:pPr>
                    <w:keepNext w:val="0"/>
                    <w:keepLines w:val="0"/>
                    <w:widowControl/>
                    <w:suppressLineNumbers w:val="0"/>
                    <w:spacing w:before="0" w:beforeAutospacing="0" w:after="0" w:afterAutospacing="0"/>
                    <w:ind w:left="0" w:right="0"/>
                    <w:jc w:val="center"/>
                    <w:rPr>
                      <w:rFonts w:hint="default"/>
                      <w:color w:val="auto"/>
                      <w:szCs w:val="21"/>
                    </w:rPr>
                  </w:pPr>
                  <w:r>
                    <w:rPr>
                      <w:rFonts w:hint="eastAsia"/>
                      <w:color w:val="auto"/>
                      <w:szCs w:val="21"/>
                    </w:rPr>
                    <w:t>储运工程</w:t>
                  </w:r>
                </w:p>
              </w:tc>
              <w:tc>
                <w:tcPr>
                  <w:tcW w:w="867" w:type="pct"/>
                  <w:gridSpan w:val="2"/>
                  <w:noWrap w:val="0"/>
                  <w:tcMar>
                    <w:left w:w="0" w:type="dxa"/>
                    <w:right w:w="0" w:type="dxa"/>
                  </w:tcMar>
                  <w:vAlign w:val="center"/>
                </w:tcPr>
                <w:p w14:paraId="27B61A01">
                  <w:pPr>
                    <w:keepNext w:val="0"/>
                    <w:keepLines w:val="0"/>
                    <w:suppressLineNumbers w:val="0"/>
                    <w:spacing w:before="0" w:beforeAutospacing="0" w:after="0" w:afterAutospacing="0" w:line="0" w:lineRule="atLeast"/>
                    <w:ind w:left="0" w:right="0"/>
                    <w:jc w:val="center"/>
                    <w:rPr>
                      <w:rFonts w:hint="eastAsia"/>
                      <w:color w:val="auto"/>
                      <w:szCs w:val="21"/>
                    </w:rPr>
                  </w:pPr>
                  <w:r>
                    <w:rPr>
                      <w:rFonts w:hint="eastAsia"/>
                      <w:color w:val="auto"/>
                      <w:szCs w:val="21"/>
                    </w:rPr>
                    <w:t>原辅材料堆场</w:t>
                  </w:r>
                </w:p>
              </w:tc>
              <w:tc>
                <w:tcPr>
                  <w:tcW w:w="3525" w:type="pct"/>
                  <w:noWrap w:val="0"/>
                  <w:vAlign w:val="center"/>
                </w:tcPr>
                <w:p w14:paraId="6DB68914">
                  <w:pPr>
                    <w:keepNext w:val="0"/>
                    <w:keepLines w:val="0"/>
                    <w:suppressLineNumbers w:val="0"/>
                    <w:spacing w:before="0" w:beforeAutospacing="0" w:after="0" w:afterAutospacing="0" w:line="0" w:lineRule="atLeast"/>
                    <w:ind w:left="0" w:right="0"/>
                    <w:rPr>
                      <w:rFonts w:hint="default"/>
                      <w:color w:val="auto"/>
                      <w:szCs w:val="21"/>
                    </w:rPr>
                  </w:pPr>
                  <w:r>
                    <w:rPr>
                      <w:rFonts w:hint="default"/>
                      <w:color w:val="auto"/>
                      <w:szCs w:val="21"/>
                    </w:rPr>
                    <w:t>调配钻井泥浆原料（如膨润土等）分区分类贮存于井场内，贮存区上部设</w:t>
                  </w:r>
                  <w:r>
                    <w:rPr>
                      <w:rFonts w:hint="eastAsia"/>
                      <w:color w:val="auto"/>
                      <w:szCs w:val="21"/>
                      <w:lang w:eastAsia="zh-CN"/>
                    </w:rPr>
                    <w:t>雨棚</w:t>
                  </w:r>
                  <w:r>
                    <w:rPr>
                      <w:rFonts w:hint="default"/>
                      <w:color w:val="auto"/>
                      <w:szCs w:val="21"/>
                    </w:rPr>
                    <w:t>遮挡。</w:t>
                  </w:r>
                </w:p>
              </w:tc>
            </w:tr>
            <w:tr w14:paraId="51C85CF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682" w:hRule="atLeast"/>
                <w:jc w:val="center"/>
              </w:trPr>
              <w:tc>
                <w:tcPr>
                  <w:tcW w:w="606" w:type="pct"/>
                  <w:vMerge w:val="continue"/>
                  <w:noWrap w:val="0"/>
                  <w:tcMar>
                    <w:left w:w="0" w:type="dxa"/>
                    <w:right w:w="0" w:type="dxa"/>
                  </w:tcMar>
                  <w:vAlign w:val="center"/>
                </w:tcPr>
                <w:p w14:paraId="1E98C5B2">
                  <w:pPr>
                    <w:keepNext w:val="0"/>
                    <w:keepLines w:val="0"/>
                    <w:widowControl/>
                    <w:suppressLineNumbers w:val="0"/>
                    <w:spacing w:before="0" w:beforeAutospacing="0" w:after="0" w:afterAutospacing="0"/>
                    <w:ind w:left="0" w:right="0"/>
                    <w:jc w:val="center"/>
                    <w:rPr>
                      <w:rFonts w:hint="eastAsia"/>
                      <w:color w:val="auto"/>
                      <w:szCs w:val="21"/>
                    </w:rPr>
                  </w:pPr>
                </w:p>
              </w:tc>
              <w:tc>
                <w:tcPr>
                  <w:tcW w:w="867" w:type="pct"/>
                  <w:gridSpan w:val="2"/>
                  <w:noWrap w:val="0"/>
                  <w:tcMar>
                    <w:left w:w="0" w:type="dxa"/>
                    <w:right w:w="0" w:type="dxa"/>
                  </w:tcMar>
                  <w:vAlign w:val="center"/>
                </w:tcPr>
                <w:p w14:paraId="154F6A1C">
                  <w:pPr>
                    <w:keepNext w:val="0"/>
                    <w:keepLines w:val="0"/>
                    <w:suppressLineNumbers w:val="0"/>
                    <w:spacing w:before="0" w:beforeAutospacing="0" w:after="0" w:afterAutospacing="0" w:line="0" w:lineRule="atLeast"/>
                    <w:ind w:left="0" w:right="0"/>
                    <w:jc w:val="center"/>
                    <w:rPr>
                      <w:rFonts w:hint="eastAsia"/>
                      <w:color w:val="auto"/>
                      <w:szCs w:val="21"/>
                      <w:lang w:eastAsia="zh-CN"/>
                    </w:rPr>
                  </w:pPr>
                  <w:r>
                    <w:rPr>
                      <w:rFonts w:hint="eastAsia"/>
                      <w:color w:val="auto"/>
                      <w:szCs w:val="21"/>
                    </w:rPr>
                    <w:t>固废暂存区</w:t>
                  </w:r>
                </w:p>
              </w:tc>
              <w:tc>
                <w:tcPr>
                  <w:tcW w:w="3525" w:type="pct"/>
                  <w:noWrap w:val="0"/>
                  <w:vAlign w:val="center"/>
                </w:tcPr>
                <w:p w14:paraId="0DFB8060">
                  <w:pPr>
                    <w:keepNext w:val="0"/>
                    <w:keepLines w:val="0"/>
                    <w:suppressLineNumbers w:val="0"/>
                    <w:spacing w:before="0" w:beforeAutospacing="0" w:after="0" w:afterAutospacing="0" w:line="0" w:lineRule="atLeast"/>
                    <w:ind w:left="0" w:right="0"/>
                    <w:rPr>
                      <w:rFonts w:hint="eastAsia"/>
                      <w:color w:val="auto"/>
                      <w:szCs w:val="21"/>
                    </w:rPr>
                  </w:pPr>
                  <w:r>
                    <w:rPr>
                      <w:rFonts w:hint="eastAsia"/>
                      <w:color w:val="auto"/>
                      <w:szCs w:val="21"/>
                    </w:rPr>
                    <w:t>废弃泥浆、岩屑（</w:t>
                  </w:r>
                  <w:r>
                    <w:rPr>
                      <w:rFonts w:hint="default"/>
                      <w:color w:val="auto"/>
                      <w:szCs w:val="21"/>
                    </w:rPr>
                    <w:t>固体滤饼</w:t>
                  </w:r>
                  <w:r>
                    <w:rPr>
                      <w:rFonts w:hint="eastAsia"/>
                      <w:color w:val="auto"/>
                      <w:szCs w:val="21"/>
                    </w:rPr>
                    <w:t>）及时清运，特殊情况无法及时清运的废弃泥浆、岩屑</w:t>
                  </w:r>
                  <w:r>
                    <w:rPr>
                      <w:rFonts w:hint="default"/>
                      <w:color w:val="auto"/>
                      <w:szCs w:val="21"/>
                    </w:rPr>
                    <w:t>暂存于固废暂存区</w:t>
                  </w:r>
                  <w:r>
                    <w:rPr>
                      <w:rFonts w:hint="eastAsia"/>
                      <w:color w:val="auto"/>
                      <w:szCs w:val="21"/>
                    </w:rPr>
                    <w:t>，设置50cm高围堰，</w:t>
                  </w:r>
                  <w:r>
                    <w:rPr>
                      <w:rFonts w:hint="default"/>
                      <w:color w:val="auto"/>
                      <w:szCs w:val="21"/>
                    </w:rPr>
                    <w:t>铺设双层1.5mm高密度聚乙烯防渗膜，渗透系数K≤1×10</w:t>
                  </w:r>
                  <w:r>
                    <w:rPr>
                      <w:rFonts w:hint="default"/>
                      <w:color w:val="auto"/>
                      <w:szCs w:val="21"/>
                      <w:vertAlign w:val="superscript"/>
                    </w:rPr>
                    <w:t>-7</w:t>
                  </w:r>
                  <w:r>
                    <w:rPr>
                      <w:rFonts w:hint="default"/>
                      <w:color w:val="auto"/>
                      <w:szCs w:val="21"/>
                    </w:rPr>
                    <w:t>cm/s</w:t>
                  </w:r>
                  <w:r>
                    <w:rPr>
                      <w:rFonts w:hint="eastAsia"/>
                      <w:color w:val="auto"/>
                      <w:szCs w:val="21"/>
                    </w:rPr>
                    <w:t>。</w:t>
                  </w:r>
                  <w:r>
                    <w:rPr>
                      <w:rFonts w:hint="default"/>
                      <w:color w:val="auto"/>
                      <w:szCs w:val="21"/>
                    </w:rPr>
                    <w:t>同时高密度聚乙烯防渗膜</w:t>
                  </w:r>
                  <w:r>
                    <w:rPr>
                      <w:rFonts w:hint="eastAsia"/>
                      <w:color w:val="auto"/>
                      <w:szCs w:val="21"/>
                    </w:rPr>
                    <w:t>覆盖围堰并外延0.5m以上。废弃泥浆、岩屑堆高要求不得超过1m，并用苫布遮盖，以抑制无组织扬尘的产生</w:t>
                  </w:r>
                  <w:r>
                    <w:rPr>
                      <w:rFonts w:hint="default"/>
                      <w:color w:val="auto"/>
                      <w:szCs w:val="21"/>
                    </w:rPr>
                    <w:t>。</w:t>
                  </w:r>
                </w:p>
              </w:tc>
            </w:tr>
            <w:tr w14:paraId="27F14FF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682" w:hRule="atLeast"/>
                <w:jc w:val="center"/>
              </w:trPr>
              <w:tc>
                <w:tcPr>
                  <w:tcW w:w="606" w:type="pct"/>
                  <w:vMerge w:val="continue"/>
                  <w:noWrap w:val="0"/>
                  <w:tcMar>
                    <w:left w:w="0" w:type="dxa"/>
                    <w:right w:w="0" w:type="dxa"/>
                  </w:tcMar>
                  <w:vAlign w:val="center"/>
                </w:tcPr>
                <w:p w14:paraId="4A2A2AA9">
                  <w:pPr>
                    <w:keepNext w:val="0"/>
                    <w:keepLines w:val="0"/>
                    <w:widowControl/>
                    <w:suppressLineNumbers w:val="0"/>
                    <w:spacing w:before="0" w:beforeAutospacing="0" w:after="0" w:afterAutospacing="0"/>
                    <w:ind w:left="0" w:right="0"/>
                    <w:jc w:val="center"/>
                    <w:rPr>
                      <w:rFonts w:hint="eastAsia"/>
                      <w:color w:val="auto"/>
                      <w:szCs w:val="21"/>
                    </w:rPr>
                  </w:pPr>
                </w:p>
              </w:tc>
              <w:tc>
                <w:tcPr>
                  <w:tcW w:w="867" w:type="pct"/>
                  <w:gridSpan w:val="2"/>
                  <w:noWrap w:val="0"/>
                  <w:tcMar>
                    <w:left w:w="0" w:type="dxa"/>
                    <w:right w:w="0" w:type="dxa"/>
                  </w:tcMar>
                  <w:vAlign w:val="center"/>
                </w:tcPr>
                <w:p w14:paraId="55B37BF5">
                  <w:pPr>
                    <w:keepNext w:val="0"/>
                    <w:keepLines w:val="0"/>
                    <w:suppressLineNumbers w:val="0"/>
                    <w:spacing w:before="0" w:beforeAutospacing="0" w:after="0" w:afterAutospacing="0" w:line="0" w:lineRule="atLeast"/>
                    <w:ind w:left="0" w:right="0"/>
                    <w:jc w:val="center"/>
                    <w:rPr>
                      <w:rFonts w:hint="eastAsia" w:eastAsia="宋体"/>
                      <w:color w:val="auto"/>
                      <w:szCs w:val="21"/>
                      <w:lang w:eastAsia="zh-CN"/>
                    </w:rPr>
                  </w:pPr>
                  <w:r>
                    <w:rPr>
                      <w:rFonts w:hint="eastAsia"/>
                      <w:color w:val="auto"/>
                      <w:szCs w:val="21"/>
                      <w:lang w:eastAsia="zh-CN"/>
                    </w:rPr>
                    <w:t>表土堆存区</w:t>
                  </w:r>
                </w:p>
              </w:tc>
              <w:tc>
                <w:tcPr>
                  <w:tcW w:w="3525" w:type="pct"/>
                  <w:noWrap w:val="0"/>
                  <w:vAlign w:val="center"/>
                </w:tcPr>
                <w:p w14:paraId="250E790B">
                  <w:pPr>
                    <w:keepNext w:val="0"/>
                    <w:keepLines w:val="0"/>
                    <w:suppressLineNumbers w:val="0"/>
                    <w:spacing w:before="0" w:beforeAutospacing="0" w:after="0" w:afterAutospacing="0" w:line="0" w:lineRule="atLeast"/>
                    <w:ind w:left="0" w:right="0"/>
                    <w:rPr>
                      <w:rFonts w:hint="default"/>
                      <w:color w:val="auto"/>
                      <w:szCs w:val="21"/>
                    </w:rPr>
                  </w:pPr>
                  <w:r>
                    <w:rPr>
                      <w:rFonts w:hint="eastAsia"/>
                      <w:color w:val="auto"/>
                      <w:szCs w:val="21"/>
                      <w:lang w:eastAsia="zh-CN"/>
                    </w:rPr>
                    <w:t>本工程在井场设置表土暂存场地一处，位于井场西侧，面积2475平方米（45×55m）。</w:t>
                  </w:r>
                  <w:r>
                    <w:rPr>
                      <w:rFonts w:hint="eastAsia"/>
                      <w:color w:val="auto"/>
                      <w:szCs w:val="21"/>
                    </w:rPr>
                    <w:t>对表土进行剥离和堆存，剥离厚度为30cm，将表土集中堆放在井场边界处。堆土上铺</w:t>
                  </w:r>
                  <w:r>
                    <w:rPr>
                      <w:rFonts w:hint="eastAsia"/>
                      <w:color w:val="auto"/>
                      <w:szCs w:val="21"/>
                      <w:lang w:eastAsia="zh-CN"/>
                    </w:rPr>
                    <w:t>盖土网</w:t>
                  </w:r>
                  <w:r>
                    <w:rPr>
                      <w:rFonts w:hint="eastAsia"/>
                      <w:color w:val="auto"/>
                      <w:szCs w:val="21"/>
                    </w:rPr>
                    <w:t>，以加强表土土堆的稳定性，防止水土流失，同时，对堆存的表土定期洒水降尘。</w:t>
                  </w:r>
                  <w:r>
                    <w:rPr>
                      <w:rFonts w:hint="eastAsia"/>
                      <w:color w:val="auto"/>
                      <w:szCs w:val="21"/>
                      <w:lang w:eastAsia="zh-CN"/>
                    </w:rPr>
                    <w:t>具体见“表土堆存措施”小节内容。</w:t>
                  </w:r>
                </w:p>
              </w:tc>
            </w:tr>
            <w:tr w14:paraId="6DD906C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268" w:hRule="atLeast"/>
                <w:jc w:val="center"/>
              </w:trPr>
              <w:tc>
                <w:tcPr>
                  <w:tcW w:w="606" w:type="pct"/>
                  <w:vMerge w:val="continue"/>
                  <w:noWrap w:val="0"/>
                  <w:tcMar>
                    <w:left w:w="0" w:type="dxa"/>
                    <w:right w:w="0" w:type="dxa"/>
                  </w:tcMar>
                  <w:vAlign w:val="center"/>
                </w:tcPr>
                <w:p w14:paraId="0897FBB9">
                  <w:pPr>
                    <w:keepNext w:val="0"/>
                    <w:keepLines w:val="0"/>
                    <w:widowControl/>
                    <w:suppressLineNumbers w:val="0"/>
                    <w:spacing w:before="0" w:beforeAutospacing="0" w:after="0" w:afterAutospacing="0"/>
                    <w:ind w:left="0" w:right="0"/>
                    <w:jc w:val="left"/>
                    <w:rPr>
                      <w:rFonts w:hint="default"/>
                      <w:color w:val="auto"/>
                      <w:szCs w:val="21"/>
                    </w:rPr>
                  </w:pPr>
                </w:p>
              </w:tc>
              <w:tc>
                <w:tcPr>
                  <w:tcW w:w="867" w:type="pct"/>
                  <w:gridSpan w:val="2"/>
                  <w:noWrap w:val="0"/>
                  <w:vAlign w:val="center"/>
                </w:tcPr>
                <w:p w14:paraId="3981FFB7">
                  <w:pPr>
                    <w:keepNext w:val="0"/>
                    <w:keepLines w:val="0"/>
                    <w:suppressLineNumbers w:val="0"/>
                    <w:spacing w:before="0" w:beforeAutospacing="0" w:after="0" w:afterAutospacing="0" w:line="0" w:lineRule="atLeast"/>
                    <w:ind w:left="0" w:right="0"/>
                    <w:jc w:val="center"/>
                    <w:rPr>
                      <w:rFonts w:hint="eastAsia"/>
                      <w:color w:val="auto"/>
                      <w:szCs w:val="21"/>
                    </w:rPr>
                  </w:pPr>
                  <w:r>
                    <w:rPr>
                      <w:rFonts w:hint="eastAsia"/>
                      <w:color w:val="auto"/>
                      <w:szCs w:val="21"/>
                    </w:rPr>
                    <w:t>柴油罐</w:t>
                  </w:r>
                </w:p>
              </w:tc>
              <w:tc>
                <w:tcPr>
                  <w:tcW w:w="3525" w:type="pct"/>
                  <w:noWrap w:val="0"/>
                  <w:vAlign w:val="center"/>
                </w:tcPr>
                <w:p w14:paraId="3730537E">
                  <w:pPr>
                    <w:keepNext w:val="0"/>
                    <w:keepLines w:val="0"/>
                    <w:suppressLineNumbers w:val="0"/>
                    <w:spacing w:before="0" w:beforeAutospacing="0" w:after="0" w:afterAutospacing="0" w:line="0" w:lineRule="atLeast"/>
                    <w:ind w:left="0" w:right="0"/>
                    <w:rPr>
                      <w:rFonts w:hint="default"/>
                      <w:color w:val="auto"/>
                      <w:szCs w:val="21"/>
                    </w:rPr>
                  </w:pPr>
                  <w:r>
                    <w:rPr>
                      <w:rFonts w:hint="default"/>
                      <w:color w:val="auto"/>
                      <w:szCs w:val="21"/>
                    </w:rPr>
                    <w:t>项目设置柴油发电机组，设置40m</w:t>
                  </w:r>
                  <w:r>
                    <w:rPr>
                      <w:rFonts w:hint="default"/>
                      <w:color w:val="auto"/>
                      <w:szCs w:val="21"/>
                      <w:vertAlign w:val="superscript"/>
                    </w:rPr>
                    <w:t>3</w:t>
                  </w:r>
                  <w:r>
                    <w:rPr>
                      <w:rFonts w:hint="default"/>
                      <w:color w:val="auto"/>
                      <w:szCs w:val="21"/>
                    </w:rPr>
                    <w:t>卧式固定柴油罐一具。柴油罐区地面利用机械将衬层压实，柴油罐区四周加设高度为20cm的围堰，然后利用双层2mm厚高密度聚乙烯防渗膜覆盖做底层，渗透系数K≤1×10</w:t>
                  </w:r>
                  <w:r>
                    <w:rPr>
                      <w:rFonts w:hint="default"/>
                      <w:color w:val="auto"/>
                      <w:szCs w:val="21"/>
                      <w:highlight w:val="none"/>
                      <w:vertAlign w:val="superscript"/>
                    </w:rPr>
                    <w:t>-</w:t>
                  </w:r>
                  <w:r>
                    <w:rPr>
                      <w:rFonts w:hint="default"/>
                      <w:color w:val="auto"/>
                      <w:szCs w:val="21"/>
                      <w:vertAlign w:val="superscript"/>
                    </w:rPr>
                    <w:t>10</w:t>
                  </w:r>
                  <w:r>
                    <w:rPr>
                      <w:rFonts w:hint="default"/>
                      <w:color w:val="auto"/>
                      <w:szCs w:val="21"/>
                    </w:rPr>
                    <w:t>cm/s。</w:t>
                  </w:r>
                </w:p>
              </w:tc>
            </w:tr>
            <w:tr w14:paraId="7B10C43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805" w:hRule="atLeast"/>
                <w:jc w:val="center"/>
              </w:trPr>
              <w:tc>
                <w:tcPr>
                  <w:tcW w:w="606" w:type="pct"/>
                  <w:vMerge w:val="continue"/>
                  <w:noWrap w:val="0"/>
                  <w:tcMar>
                    <w:left w:w="0" w:type="dxa"/>
                    <w:right w:w="0" w:type="dxa"/>
                  </w:tcMar>
                  <w:vAlign w:val="center"/>
                </w:tcPr>
                <w:p w14:paraId="7910072F">
                  <w:pPr>
                    <w:keepNext w:val="0"/>
                    <w:keepLines w:val="0"/>
                    <w:widowControl/>
                    <w:suppressLineNumbers w:val="0"/>
                    <w:spacing w:before="0" w:beforeAutospacing="0" w:after="0" w:afterAutospacing="0"/>
                    <w:ind w:left="0" w:right="0"/>
                    <w:jc w:val="left"/>
                    <w:rPr>
                      <w:rFonts w:hint="default"/>
                      <w:color w:val="auto"/>
                      <w:szCs w:val="21"/>
                    </w:rPr>
                  </w:pPr>
                </w:p>
              </w:tc>
              <w:tc>
                <w:tcPr>
                  <w:tcW w:w="867" w:type="pct"/>
                  <w:gridSpan w:val="2"/>
                  <w:noWrap w:val="0"/>
                  <w:vAlign w:val="center"/>
                </w:tcPr>
                <w:p w14:paraId="1B1F86B0">
                  <w:pPr>
                    <w:keepNext w:val="0"/>
                    <w:keepLines w:val="0"/>
                    <w:suppressLineNumbers w:val="0"/>
                    <w:spacing w:before="0" w:beforeAutospacing="0" w:after="0" w:afterAutospacing="0" w:line="0" w:lineRule="atLeast"/>
                    <w:ind w:left="0" w:right="0"/>
                    <w:jc w:val="center"/>
                    <w:rPr>
                      <w:rFonts w:hint="eastAsia" w:eastAsia="宋体"/>
                      <w:color w:val="auto"/>
                      <w:szCs w:val="21"/>
                      <w:lang w:eastAsia="zh-CN"/>
                    </w:rPr>
                  </w:pPr>
                  <w:r>
                    <w:rPr>
                      <w:rFonts w:hint="eastAsia"/>
                      <w:color w:val="auto"/>
                      <w:szCs w:val="21"/>
                      <w:lang w:eastAsia="zh-CN"/>
                    </w:rPr>
                    <w:t>危废贮存点</w:t>
                  </w:r>
                </w:p>
              </w:tc>
              <w:tc>
                <w:tcPr>
                  <w:tcW w:w="3525" w:type="pct"/>
                  <w:noWrap w:val="0"/>
                  <w:vAlign w:val="center"/>
                </w:tcPr>
                <w:p w14:paraId="72B66817">
                  <w:pPr>
                    <w:keepNext w:val="0"/>
                    <w:keepLines w:val="0"/>
                    <w:suppressLineNumbers w:val="0"/>
                    <w:spacing w:before="0" w:beforeAutospacing="0" w:after="0" w:afterAutospacing="0" w:line="0" w:lineRule="atLeast"/>
                    <w:ind w:left="0" w:right="0"/>
                    <w:rPr>
                      <w:rFonts w:hint="default"/>
                      <w:color w:val="auto"/>
                      <w:szCs w:val="21"/>
                    </w:rPr>
                  </w:pPr>
                  <w:r>
                    <w:rPr>
                      <w:rFonts w:hint="default"/>
                      <w:color w:val="auto"/>
                      <w:szCs w:val="21"/>
                    </w:rPr>
                    <w:t>危废</w:t>
                  </w:r>
                  <w:r>
                    <w:rPr>
                      <w:rFonts w:hint="eastAsia"/>
                      <w:color w:val="auto"/>
                      <w:szCs w:val="21"/>
                    </w:rPr>
                    <w:t>贮存点</w:t>
                  </w:r>
                  <w:r>
                    <w:rPr>
                      <w:rFonts w:hint="default"/>
                      <w:color w:val="auto"/>
                      <w:szCs w:val="21"/>
                    </w:rPr>
                    <w:t>设置活动板房仓库，废机油、事故状态产生的落地油等危险废物暂存于活动板房仓库内，活动板房内部设隔板、托盘和围堰，活动板房仓库内部地面为水泥地面，并设置专用容器。活动板房仓库所在地面利用机械将衬层压实，四周加设高度为20cm的围堰，然后利用双层2mm厚高密度聚乙烯防渗膜覆盖</w:t>
                  </w:r>
                  <w:r>
                    <w:rPr>
                      <w:rFonts w:hint="eastAsia"/>
                      <w:color w:val="auto"/>
                      <w:szCs w:val="21"/>
                      <w:lang w:eastAsia="zh-CN"/>
                    </w:rPr>
                    <w:t>作为</w:t>
                  </w:r>
                  <w:r>
                    <w:rPr>
                      <w:rFonts w:hint="default"/>
                      <w:color w:val="auto"/>
                      <w:szCs w:val="21"/>
                    </w:rPr>
                    <w:t>底层，渗透系数K≤1×10</w:t>
                  </w:r>
                  <w:r>
                    <w:rPr>
                      <w:rFonts w:hint="default"/>
                      <w:color w:val="auto"/>
                      <w:szCs w:val="21"/>
                      <w:highlight w:val="none"/>
                      <w:vertAlign w:val="superscript"/>
                    </w:rPr>
                    <w:t>-</w:t>
                  </w:r>
                  <w:r>
                    <w:rPr>
                      <w:rFonts w:hint="default"/>
                      <w:color w:val="auto"/>
                      <w:szCs w:val="21"/>
                      <w:vertAlign w:val="superscript"/>
                    </w:rPr>
                    <w:t>10</w:t>
                  </w:r>
                  <w:r>
                    <w:rPr>
                      <w:rFonts w:hint="default"/>
                      <w:color w:val="auto"/>
                      <w:szCs w:val="21"/>
                    </w:rPr>
                    <w:t>cm/s。</w:t>
                  </w:r>
                </w:p>
              </w:tc>
            </w:tr>
            <w:tr w14:paraId="6123A4D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014" w:hRule="atLeast"/>
                <w:jc w:val="center"/>
              </w:trPr>
              <w:tc>
                <w:tcPr>
                  <w:tcW w:w="606" w:type="pct"/>
                  <w:vMerge w:val="continue"/>
                  <w:noWrap w:val="0"/>
                  <w:tcMar>
                    <w:left w:w="0" w:type="dxa"/>
                    <w:right w:w="0" w:type="dxa"/>
                  </w:tcMar>
                  <w:vAlign w:val="center"/>
                </w:tcPr>
                <w:p w14:paraId="736F8E66">
                  <w:pPr>
                    <w:keepNext w:val="0"/>
                    <w:keepLines w:val="0"/>
                    <w:widowControl/>
                    <w:suppressLineNumbers w:val="0"/>
                    <w:spacing w:before="0" w:beforeAutospacing="0" w:after="0" w:afterAutospacing="0"/>
                    <w:ind w:left="0" w:right="0"/>
                    <w:jc w:val="left"/>
                    <w:rPr>
                      <w:rFonts w:hint="default"/>
                      <w:color w:val="auto"/>
                      <w:szCs w:val="21"/>
                    </w:rPr>
                  </w:pPr>
                </w:p>
              </w:tc>
              <w:tc>
                <w:tcPr>
                  <w:tcW w:w="867" w:type="pct"/>
                  <w:gridSpan w:val="2"/>
                  <w:noWrap w:val="0"/>
                  <w:vAlign w:val="center"/>
                </w:tcPr>
                <w:p w14:paraId="625F5D00">
                  <w:pPr>
                    <w:keepNext w:val="0"/>
                    <w:keepLines w:val="0"/>
                    <w:suppressLineNumbers w:val="0"/>
                    <w:spacing w:before="0" w:beforeAutospacing="0" w:after="0" w:afterAutospacing="0" w:line="0" w:lineRule="atLeast"/>
                    <w:ind w:left="0" w:right="0"/>
                    <w:jc w:val="center"/>
                    <w:rPr>
                      <w:rFonts w:hint="default"/>
                      <w:color w:val="auto"/>
                      <w:szCs w:val="21"/>
                    </w:rPr>
                  </w:pPr>
                  <w:r>
                    <w:rPr>
                      <w:rFonts w:hint="eastAsia"/>
                      <w:color w:val="auto"/>
                      <w:szCs w:val="21"/>
                    </w:rPr>
                    <w:t>储液罐（采出液）</w:t>
                  </w:r>
                </w:p>
              </w:tc>
              <w:tc>
                <w:tcPr>
                  <w:tcW w:w="3525" w:type="pct"/>
                  <w:noWrap w:val="0"/>
                  <w:vAlign w:val="center"/>
                </w:tcPr>
                <w:p w14:paraId="77A0607B">
                  <w:pPr>
                    <w:keepNext w:val="0"/>
                    <w:keepLines w:val="0"/>
                    <w:suppressLineNumbers w:val="0"/>
                    <w:spacing w:before="0" w:beforeAutospacing="0" w:after="0" w:afterAutospacing="0" w:line="0" w:lineRule="atLeast"/>
                    <w:ind w:left="0" w:right="0"/>
                    <w:rPr>
                      <w:rFonts w:hint="default"/>
                      <w:color w:val="auto"/>
                      <w:szCs w:val="21"/>
                    </w:rPr>
                  </w:pPr>
                  <w:r>
                    <w:rPr>
                      <w:rFonts w:hint="eastAsia"/>
                      <w:color w:val="auto"/>
                      <w:szCs w:val="21"/>
                    </w:rPr>
                    <w:t>储液罐设置2个（一用一备）40m</w:t>
                  </w:r>
                  <w:r>
                    <w:rPr>
                      <w:rFonts w:hint="eastAsia"/>
                      <w:color w:val="auto"/>
                      <w:szCs w:val="21"/>
                      <w:vertAlign w:val="superscript"/>
                    </w:rPr>
                    <w:t>3</w:t>
                  </w:r>
                  <w:r>
                    <w:rPr>
                      <w:rFonts w:hint="eastAsia"/>
                      <w:color w:val="auto"/>
                      <w:szCs w:val="21"/>
                    </w:rPr>
                    <w:t>的卧式固定罐，</w:t>
                  </w:r>
                  <w:r>
                    <w:rPr>
                      <w:rFonts w:hint="default"/>
                      <w:color w:val="auto"/>
                      <w:szCs w:val="21"/>
                    </w:rPr>
                    <w:t>利用2mm厚高密度聚乙烯防渗膜作为底层，防渗膜四周加设高度为20cm的覆土围堰，渗透系数K≤1×10</w:t>
                  </w:r>
                  <w:r>
                    <w:rPr>
                      <w:rFonts w:hint="default"/>
                      <w:color w:val="auto"/>
                      <w:szCs w:val="21"/>
                      <w:highlight w:val="none"/>
                      <w:vertAlign w:val="superscript"/>
                    </w:rPr>
                    <w:t>-</w:t>
                  </w:r>
                  <w:r>
                    <w:rPr>
                      <w:rFonts w:hint="default"/>
                      <w:color w:val="auto"/>
                      <w:szCs w:val="21"/>
                      <w:vertAlign w:val="superscript"/>
                    </w:rPr>
                    <w:t>10</w:t>
                  </w:r>
                  <w:r>
                    <w:rPr>
                      <w:rFonts w:hint="default"/>
                      <w:color w:val="auto"/>
                      <w:szCs w:val="21"/>
                    </w:rPr>
                    <w:t>cm/s。</w:t>
                  </w:r>
                </w:p>
              </w:tc>
            </w:tr>
            <w:tr w14:paraId="7D19778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709" w:hRule="atLeast"/>
                <w:jc w:val="center"/>
              </w:trPr>
              <w:tc>
                <w:tcPr>
                  <w:tcW w:w="606" w:type="pct"/>
                  <w:vMerge w:val="restart"/>
                  <w:noWrap w:val="0"/>
                  <w:tcMar>
                    <w:left w:w="0" w:type="dxa"/>
                    <w:right w:w="0" w:type="dxa"/>
                  </w:tcMar>
                  <w:vAlign w:val="center"/>
                </w:tcPr>
                <w:p w14:paraId="669D3842">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公用工程</w:t>
                  </w:r>
                </w:p>
              </w:tc>
              <w:tc>
                <w:tcPr>
                  <w:tcW w:w="867" w:type="pct"/>
                  <w:gridSpan w:val="2"/>
                  <w:noWrap w:val="0"/>
                  <w:vAlign w:val="center"/>
                </w:tcPr>
                <w:p w14:paraId="6089930C">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供电</w:t>
                  </w:r>
                </w:p>
              </w:tc>
              <w:tc>
                <w:tcPr>
                  <w:tcW w:w="3525" w:type="pct"/>
                  <w:noWrap w:val="0"/>
                  <w:vAlign w:val="center"/>
                </w:tcPr>
                <w:p w14:paraId="042D0C05">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井场电源由882kw柴油发电机组2台（一</w:t>
                  </w:r>
                  <w:r>
                    <w:rPr>
                      <w:rFonts w:hint="eastAsia"/>
                      <w:color w:val="auto"/>
                      <w:szCs w:val="21"/>
                    </w:rPr>
                    <w:t>用</w:t>
                  </w:r>
                  <w:r>
                    <w:rPr>
                      <w:rFonts w:hint="default"/>
                      <w:color w:val="auto"/>
                      <w:szCs w:val="21"/>
                    </w:rPr>
                    <w:t>一备）提供，使用符合国标的0#或-35#轻质柴油。</w:t>
                  </w:r>
                </w:p>
              </w:tc>
            </w:tr>
            <w:tr w14:paraId="149757B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22" w:hRule="atLeast"/>
                <w:jc w:val="center"/>
              </w:trPr>
              <w:tc>
                <w:tcPr>
                  <w:tcW w:w="606" w:type="pct"/>
                  <w:vMerge w:val="continue"/>
                  <w:noWrap w:val="0"/>
                  <w:tcMar>
                    <w:left w:w="0" w:type="dxa"/>
                    <w:right w:w="0" w:type="dxa"/>
                  </w:tcMar>
                  <w:vAlign w:val="center"/>
                </w:tcPr>
                <w:p w14:paraId="74D21957">
                  <w:pPr>
                    <w:keepNext w:val="0"/>
                    <w:keepLines w:val="0"/>
                    <w:widowControl/>
                    <w:suppressLineNumbers w:val="0"/>
                    <w:spacing w:before="0" w:beforeAutospacing="0" w:after="0" w:afterAutospacing="0"/>
                    <w:ind w:left="0" w:right="0"/>
                    <w:jc w:val="left"/>
                    <w:rPr>
                      <w:rFonts w:hint="default"/>
                      <w:color w:val="auto"/>
                      <w:szCs w:val="21"/>
                    </w:rPr>
                  </w:pPr>
                </w:p>
              </w:tc>
              <w:tc>
                <w:tcPr>
                  <w:tcW w:w="867" w:type="pct"/>
                  <w:gridSpan w:val="2"/>
                  <w:noWrap w:val="0"/>
                  <w:vAlign w:val="center"/>
                </w:tcPr>
                <w:p w14:paraId="396A16F0">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供热</w:t>
                  </w:r>
                </w:p>
              </w:tc>
              <w:tc>
                <w:tcPr>
                  <w:tcW w:w="3525" w:type="pct"/>
                  <w:tcBorders>
                    <w:bottom w:val="single" w:color="auto" w:sz="4" w:space="0"/>
                  </w:tcBorders>
                  <w:noWrap w:val="0"/>
                  <w:vAlign w:val="center"/>
                </w:tcPr>
                <w:p w14:paraId="3F5130B8">
                  <w:pPr>
                    <w:keepNext w:val="0"/>
                    <w:keepLines w:val="0"/>
                    <w:suppressLineNumbers w:val="0"/>
                    <w:spacing w:before="0" w:beforeAutospacing="0" w:after="0" w:afterAutospacing="0"/>
                    <w:ind w:left="0" w:right="0"/>
                    <w:rPr>
                      <w:rFonts w:hint="default"/>
                      <w:color w:val="auto"/>
                      <w:szCs w:val="21"/>
                    </w:rPr>
                  </w:pPr>
                  <w:r>
                    <w:rPr>
                      <w:rFonts w:hint="eastAsia"/>
                      <w:color w:val="auto"/>
                      <w:szCs w:val="21"/>
                      <w:lang w:eastAsia="zh-CN"/>
                    </w:rPr>
                    <w:t>本工程</w:t>
                  </w:r>
                  <w:r>
                    <w:rPr>
                      <w:rFonts w:hint="default"/>
                      <w:color w:val="auto"/>
                      <w:szCs w:val="21"/>
                    </w:rPr>
                    <w:t>不设置加热炉，如勘探期为冬季，则办公生活区采用电暖器取暖；采出液输送管线利用</w:t>
                  </w:r>
                  <w:r>
                    <w:rPr>
                      <w:rFonts w:hint="eastAsia"/>
                      <w:color w:val="auto"/>
                      <w:szCs w:val="21"/>
                      <w:lang w:eastAsia="zh-CN"/>
                    </w:rPr>
                    <w:t>电</w:t>
                  </w:r>
                  <w:r>
                    <w:rPr>
                      <w:rFonts w:hint="default"/>
                      <w:color w:val="auto"/>
                      <w:szCs w:val="21"/>
                    </w:rPr>
                    <w:t>伴热带</w:t>
                  </w:r>
                  <w:r>
                    <w:rPr>
                      <w:rFonts w:hint="default"/>
                      <w:color w:val="auto"/>
                      <w:szCs w:val="21"/>
                    </w:rPr>
                    <w:t>保温，单井储液罐使用电加热器加热，电源由柴油发电机提供。</w:t>
                  </w:r>
                </w:p>
              </w:tc>
            </w:tr>
            <w:tr w14:paraId="3ED775D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606" w:type="pct"/>
                  <w:vMerge w:val="continue"/>
                  <w:noWrap w:val="0"/>
                  <w:tcMar>
                    <w:left w:w="0" w:type="dxa"/>
                    <w:right w:w="0" w:type="dxa"/>
                  </w:tcMar>
                  <w:vAlign w:val="center"/>
                </w:tcPr>
                <w:p w14:paraId="38CE4103">
                  <w:pPr>
                    <w:keepNext w:val="0"/>
                    <w:keepLines w:val="0"/>
                    <w:widowControl/>
                    <w:suppressLineNumbers w:val="0"/>
                    <w:spacing w:before="0" w:beforeAutospacing="0" w:after="0" w:afterAutospacing="0"/>
                    <w:ind w:left="0" w:right="0"/>
                    <w:jc w:val="left"/>
                    <w:rPr>
                      <w:rFonts w:hint="default"/>
                      <w:color w:val="auto"/>
                      <w:szCs w:val="21"/>
                    </w:rPr>
                  </w:pPr>
                </w:p>
              </w:tc>
              <w:tc>
                <w:tcPr>
                  <w:tcW w:w="867" w:type="pct"/>
                  <w:gridSpan w:val="2"/>
                  <w:tcBorders>
                    <w:right w:val="single" w:color="auto" w:sz="4" w:space="0"/>
                  </w:tcBorders>
                  <w:noWrap w:val="0"/>
                  <w:vAlign w:val="center"/>
                </w:tcPr>
                <w:p w14:paraId="1DD1AAB9">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供水</w:t>
                  </w:r>
                </w:p>
              </w:tc>
              <w:tc>
                <w:tcPr>
                  <w:tcW w:w="3525" w:type="pct"/>
                  <w:tcBorders>
                    <w:top w:val="single" w:color="auto" w:sz="4" w:space="0"/>
                    <w:left w:val="single" w:color="auto" w:sz="4" w:space="0"/>
                    <w:bottom w:val="single" w:color="auto" w:sz="4" w:space="0"/>
                    <w:right w:val="single" w:color="auto" w:sz="4" w:space="0"/>
                  </w:tcBorders>
                  <w:noWrap w:val="0"/>
                  <w:vAlign w:val="center"/>
                </w:tcPr>
                <w:p w14:paraId="2C92BA4E">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生活用水来源为附近村庄自来水，用10m</w:t>
                  </w:r>
                  <w:r>
                    <w:rPr>
                      <w:rFonts w:hint="default"/>
                      <w:color w:val="auto"/>
                      <w:szCs w:val="21"/>
                      <w:vertAlign w:val="superscript"/>
                    </w:rPr>
                    <w:t>3</w:t>
                  </w:r>
                  <w:r>
                    <w:rPr>
                      <w:rFonts w:hint="default"/>
                      <w:color w:val="auto"/>
                      <w:szCs w:val="21"/>
                    </w:rPr>
                    <w:t>的水罐车拉运；生产用水来源为附近</w:t>
                  </w:r>
                  <w:r>
                    <w:rPr>
                      <w:rFonts w:hint="eastAsia"/>
                      <w:color w:val="auto"/>
                      <w:szCs w:val="21"/>
                      <w:lang w:eastAsia="zh-CN"/>
                    </w:rPr>
                    <w:t>村庄</w:t>
                  </w:r>
                  <w:r>
                    <w:rPr>
                      <w:rFonts w:hint="default"/>
                      <w:color w:val="auto"/>
                      <w:szCs w:val="21"/>
                    </w:rPr>
                    <w:t>，由20m</w:t>
                  </w:r>
                  <w:r>
                    <w:rPr>
                      <w:rFonts w:hint="default"/>
                      <w:color w:val="auto"/>
                      <w:szCs w:val="21"/>
                      <w:vertAlign w:val="superscript"/>
                    </w:rPr>
                    <w:t>3</w:t>
                  </w:r>
                  <w:r>
                    <w:rPr>
                      <w:rFonts w:hint="default"/>
                      <w:color w:val="auto"/>
                      <w:szCs w:val="21"/>
                    </w:rPr>
                    <w:t>水罐车拉运。</w:t>
                  </w:r>
                </w:p>
              </w:tc>
            </w:tr>
            <w:tr w14:paraId="74402E5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620" w:hRule="atLeast"/>
                <w:jc w:val="center"/>
              </w:trPr>
              <w:tc>
                <w:tcPr>
                  <w:tcW w:w="606" w:type="pct"/>
                  <w:vMerge w:val="continue"/>
                  <w:noWrap w:val="0"/>
                  <w:tcMar>
                    <w:left w:w="0" w:type="dxa"/>
                    <w:right w:w="0" w:type="dxa"/>
                  </w:tcMar>
                  <w:vAlign w:val="center"/>
                </w:tcPr>
                <w:p w14:paraId="508DFA4C">
                  <w:pPr>
                    <w:keepNext w:val="0"/>
                    <w:keepLines w:val="0"/>
                    <w:widowControl/>
                    <w:suppressLineNumbers w:val="0"/>
                    <w:spacing w:before="0" w:beforeAutospacing="0" w:after="0" w:afterAutospacing="0"/>
                    <w:ind w:left="0" w:right="0"/>
                    <w:jc w:val="left"/>
                    <w:rPr>
                      <w:rFonts w:hint="default"/>
                      <w:color w:val="auto"/>
                      <w:szCs w:val="21"/>
                    </w:rPr>
                  </w:pPr>
                </w:p>
              </w:tc>
              <w:tc>
                <w:tcPr>
                  <w:tcW w:w="867" w:type="pct"/>
                  <w:gridSpan w:val="2"/>
                  <w:noWrap w:val="0"/>
                  <w:vAlign w:val="center"/>
                </w:tcPr>
                <w:p w14:paraId="29341440">
                  <w:pPr>
                    <w:keepNext w:val="0"/>
                    <w:keepLines w:val="0"/>
                    <w:suppressLineNumbers w:val="0"/>
                    <w:spacing w:before="0" w:beforeAutospacing="0" w:after="0" w:afterAutospacing="0" w:line="0" w:lineRule="atLeast"/>
                    <w:ind w:left="0" w:right="0"/>
                    <w:jc w:val="center"/>
                    <w:rPr>
                      <w:rFonts w:hint="default"/>
                      <w:color w:val="auto"/>
                      <w:szCs w:val="21"/>
                    </w:rPr>
                  </w:pPr>
                  <w:r>
                    <w:rPr>
                      <w:rFonts w:hint="eastAsia"/>
                      <w:color w:val="auto"/>
                      <w:szCs w:val="21"/>
                    </w:rPr>
                    <w:t>排水系统</w:t>
                  </w:r>
                </w:p>
              </w:tc>
              <w:tc>
                <w:tcPr>
                  <w:tcW w:w="3525" w:type="pct"/>
                  <w:tcBorders>
                    <w:top w:val="single" w:color="auto" w:sz="4" w:space="0"/>
                  </w:tcBorders>
                  <w:noWrap w:val="0"/>
                  <w:vAlign w:val="center"/>
                </w:tcPr>
                <w:p w14:paraId="77F1D576">
                  <w:pPr>
                    <w:keepNext w:val="0"/>
                    <w:keepLines w:val="0"/>
                    <w:suppressLineNumbers w:val="0"/>
                    <w:spacing w:before="0" w:beforeAutospacing="0" w:after="0" w:afterAutospacing="0" w:line="0" w:lineRule="atLeast"/>
                    <w:ind w:left="0" w:right="0"/>
                    <w:rPr>
                      <w:rFonts w:hint="default"/>
                      <w:bCs/>
                      <w:color w:val="auto"/>
                      <w:szCs w:val="21"/>
                    </w:rPr>
                  </w:pPr>
                  <w:r>
                    <w:rPr>
                      <w:rFonts w:hint="default"/>
                      <w:color w:val="auto"/>
                    </w:rPr>
                    <w:t>钻井泥浆经泥浆不落地工艺系统处理，</w:t>
                  </w:r>
                  <w:r>
                    <w:rPr>
                      <w:rFonts w:hint="eastAsia"/>
                      <w:color w:val="auto"/>
                      <w:lang w:eastAsia="zh-CN"/>
                    </w:rPr>
                    <w:t>在井场</w:t>
                  </w:r>
                  <w:r>
                    <w:rPr>
                      <w:rFonts w:hint="default"/>
                      <w:color w:val="auto"/>
                    </w:rPr>
                    <w:t>破胶脱稳后进行固液分离，</w:t>
                  </w:r>
                  <w:r>
                    <w:rPr>
                      <w:rFonts w:hint="default"/>
                      <w:bCs/>
                      <w:color w:val="auto"/>
                      <w:szCs w:val="21"/>
                    </w:rPr>
                    <w:t>废水收集至可移动废水罐临时贮存，</w:t>
                  </w:r>
                  <w:r>
                    <w:rPr>
                      <w:rFonts w:hint="eastAsia"/>
                      <w:bCs/>
                      <w:color w:val="auto"/>
                      <w:szCs w:val="21"/>
                    </w:rPr>
                    <w:t>及时</w:t>
                  </w:r>
                  <w:r>
                    <w:rPr>
                      <w:rFonts w:hint="default"/>
                      <w:bCs/>
                      <w:color w:val="auto"/>
                      <w:szCs w:val="21"/>
                    </w:rPr>
                    <w:t>由密闭罐车拉运至</w:t>
                  </w:r>
                  <w:r>
                    <w:rPr>
                      <w:rFonts w:hint="default"/>
                      <w:bCs/>
                      <w:color w:val="auto"/>
                      <w:kern w:val="0"/>
                      <w:szCs w:val="21"/>
                    </w:rPr>
                    <w:t>吉兰泰联合站采出水处理系统</w:t>
                  </w:r>
                  <w:r>
                    <w:rPr>
                      <w:rFonts w:hint="default"/>
                      <w:bCs/>
                      <w:color w:val="auto"/>
                      <w:szCs w:val="21"/>
                    </w:rPr>
                    <w:t>。</w:t>
                  </w:r>
                  <w:r>
                    <w:rPr>
                      <w:rFonts w:hint="eastAsia"/>
                      <w:bCs/>
                      <w:color w:val="auto"/>
                      <w:szCs w:val="21"/>
                    </w:rPr>
                    <w:t>吉兰泰联合站</w:t>
                  </w:r>
                  <w:r>
                    <w:rPr>
                      <w:rFonts w:hint="default"/>
                      <w:bCs/>
                      <w:color w:val="auto"/>
                      <w:szCs w:val="21"/>
                    </w:rPr>
                    <w:t>距离</w:t>
                  </w:r>
                  <w:r>
                    <w:rPr>
                      <w:rFonts w:hint="eastAsia"/>
                      <w:bCs/>
                      <w:color w:val="auto"/>
                      <w:szCs w:val="21"/>
                      <w:lang w:eastAsia="zh-CN"/>
                    </w:rPr>
                    <w:t>本工程</w:t>
                  </w:r>
                  <w:r>
                    <w:rPr>
                      <w:rFonts w:hint="eastAsia"/>
                      <w:bCs/>
                      <w:color w:val="auto"/>
                      <w:szCs w:val="21"/>
                      <w:lang w:val="en-US" w:eastAsia="zh-CN"/>
                    </w:rPr>
                    <w:t>68</w:t>
                  </w:r>
                  <w:r>
                    <w:rPr>
                      <w:rFonts w:hint="default"/>
                      <w:bCs/>
                      <w:color w:val="auto"/>
                      <w:szCs w:val="21"/>
                    </w:rPr>
                    <w:t>km。</w:t>
                  </w:r>
                </w:p>
                <w:p w14:paraId="0E9A1B70">
                  <w:pPr>
                    <w:keepNext w:val="0"/>
                    <w:keepLines w:val="0"/>
                    <w:suppressLineNumbers w:val="0"/>
                    <w:spacing w:before="0" w:beforeAutospacing="0" w:after="0" w:afterAutospacing="0" w:line="0" w:lineRule="atLeast"/>
                    <w:ind w:left="0" w:right="0"/>
                    <w:rPr>
                      <w:rFonts w:hint="default"/>
                      <w:color w:val="auto"/>
                      <w:szCs w:val="21"/>
                    </w:rPr>
                  </w:pPr>
                  <w:r>
                    <w:rPr>
                      <w:rFonts w:hint="default"/>
                      <w:color w:val="auto"/>
                      <w:szCs w:val="21"/>
                      <w:highlight w:val="none"/>
                    </w:rPr>
                    <w:t>井场设置</w:t>
                  </w:r>
                  <w:r>
                    <w:rPr>
                      <w:rFonts w:hint="eastAsia"/>
                      <w:color w:val="auto"/>
                      <w:szCs w:val="21"/>
                      <w:highlight w:val="none"/>
                      <w:lang w:eastAsia="zh-CN"/>
                    </w:rPr>
                    <w:t>环保</w:t>
                  </w:r>
                  <w:r>
                    <w:rPr>
                      <w:rFonts w:hint="default"/>
                      <w:color w:val="auto"/>
                      <w:szCs w:val="21"/>
                      <w:highlight w:val="none"/>
                    </w:rPr>
                    <w:t>厕所，</w:t>
                  </w:r>
                  <w:r>
                    <w:rPr>
                      <w:rFonts w:hint="eastAsia"/>
                      <w:color w:val="auto"/>
                      <w:szCs w:val="21"/>
                      <w:highlight w:val="none"/>
                      <w:lang w:eastAsia="zh-CN"/>
                    </w:rPr>
                    <w:t>生活污水排入</w:t>
                  </w:r>
                  <w:r>
                    <w:rPr>
                      <w:rFonts w:hint="eastAsia"/>
                      <w:color w:val="auto"/>
                      <w:szCs w:val="21"/>
                      <w:highlight w:val="none"/>
                      <w:lang w:eastAsia="zh-CN"/>
                    </w:rPr>
                    <w:t>环保厕所</w:t>
                  </w:r>
                  <w:r>
                    <w:rPr>
                      <w:rFonts w:hint="eastAsia"/>
                      <w:color w:val="auto"/>
                      <w:szCs w:val="21"/>
                      <w:highlight w:val="none"/>
                      <w:lang w:eastAsia="zh-CN"/>
                    </w:rPr>
                    <w:t>，委托当地村民</w:t>
                  </w:r>
                  <w:r>
                    <w:rPr>
                      <w:rFonts w:hint="default"/>
                      <w:color w:val="auto"/>
                      <w:szCs w:val="21"/>
                      <w:highlight w:val="none"/>
                    </w:rPr>
                    <w:t>定期清掏</w:t>
                  </w:r>
                  <w:r>
                    <w:rPr>
                      <w:rFonts w:hint="eastAsia"/>
                      <w:color w:val="auto"/>
                      <w:szCs w:val="21"/>
                      <w:highlight w:val="none"/>
                    </w:rPr>
                    <w:t>。</w:t>
                  </w:r>
                </w:p>
              </w:tc>
            </w:tr>
            <w:tr w14:paraId="11E1F9E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680" w:hRule="atLeast"/>
                <w:jc w:val="center"/>
              </w:trPr>
              <w:tc>
                <w:tcPr>
                  <w:tcW w:w="606" w:type="pct"/>
                  <w:vMerge w:val="continue"/>
                  <w:noWrap w:val="0"/>
                  <w:tcMar>
                    <w:left w:w="0" w:type="dxa"/>
                    <w:right w:w="0" w:type="dxa"/>
                  </w:tcMar>
                  <w:vAlign w:val="center"/>
                </w:tcPr>
                <w:p w14:paraId="3513058D">
                  <w:pPr>
                    <w:keepNext w:val="0"/>
                    <w:keepLines w:val="0"/>
                    <w:widowControl/>
                    <w:suppressLineNumbers w:val="0"/>
                    <w:spacing w:before="0" w:beforeAutospacing="0" w:after="0" w:afterAutospacing="0"/>
                    <w:ind w:left="0" w:right="0"/>
                    <w:jc w:val="left"/>
                    <w:rPr>
                      <w:rFonts w:hint="default"/>
                      <w:color w:val="auto"/>
                      <w:szCs w:val="21"/>
                    </w:rPr>
                  </w:pPr>
                </w:p>
              </w:tc>
              <w:tc>
                <w:tcPr>
                  <w:tcW w:w="867" w:type="pct"/>
                  <w:gridSpan w:val="2"/>
                  <w:noWrap w:val="0"/>
                  <w:vAlign w:val="center"/>
                </w:tcPr>
                <w:p w14:paraId="59FDAA56">
                  <w:pPr>
                    <w:keepNext w:val="0"/>
                    <w:keepLines w:val="0"/>
                    <w:suppressLineNumbers w:val="0"/>
                    <w:spacing w:before="0" w:beforeAutospacing="0" w:after="0" w:afterAutospacing="0" w:line="0" w:lineRule="atLeast"/>
                    <w:ind w:left="0" w:right="0"/>
                    <w:jc w:val="center"/>
                    <w:rPr>
                      <w:rFonts w:hint="default"/>
                      <w:color w:val="auto"/>
                      <w:szCs w:val="21"/>
                    </w:rPr>
                  </w:pPr>
                  <w:r>
                    <w:rPr>
                      <w:rFonts w:hint="eastAsia"/>
                      <w:color w:val="auto"/>
                      <w:szCs w:val="21"/>
                    </w:rPr>
                    <w:t>消防设施</w:t>
                  </w:r>
                </w:p>
              </w:tc>
              <w:tc>
                <w:tcPr>
                  <w:tcW w:w="3525" w:type="pct"/>
                  <w:noWrap w:val="0"/>
                  <w:vAlign w:val="center"/>
                </w:tcPr>
                <w:p w14:paraId="5D03DB46">
                  <w:pPr>
                    <w:keepNext w:val="0"/>
                    <w:keepLines w:val="0"/>
                    <w:suppressLineNumbers w:val="0"/>
                    <w:spacing w:before="0" w:beforeAutospacing="0" w:after="0" w:afterAutospacing="0" w:line="0" w:lineRule="atLeast"/>
                    <w:ind w:left="0" w:right="0"/>
                    <w:rPr>
                      <w:rFonts w:hint="default"/>
                      <w:color w:val="auto"/>
                      <w:szCs w:val="21"/>
                    </w:rPr>
                  </w:pPr>
                  <w:r>
                    <w:rPr>
                      <w:rFonts w:hint="default"/>
                      <w:color w:val="auto"/>
                      <w:szCs w:val="21"/>
                    </w:rPr>
                    <w:t>项目不设消防给水设施，火灾危险场所配置小型移动式灭火器。设置推车式干粉灭火器、手提式干</w:t>
                  </w:r>
                  <w:r>
                    <w:rPr>
                      <w:rFonts w:hint="eastAsia"/>
                      <w:color w:val="auto"/>
                      <w:szCs w:val="21"/>
                    </w:rPr>
                    <w:t>粉</w:t>
                  </w:r>
                  <w:r>
                    <w:rPr>
                      <w:rFonts w:hint="default"/>
                      <w:color w:val="auto"/>
                      <w:szCs w:val="21"/>
                    </w:rPr>
                    <w:t>灭火器若干。</w:t>
                  </w:r>
                </w:p>
              </w:tc>
            </w:tr>
            <w:tr w14:paraId="7E19EF1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46" w:hRule="atLeast"/>
                <w:jc w:val="center"/>
              </w:trPr>
              <w:tc>
                <w:tcPr>
                  <w:tcW w:w="606" w:type="pct"/>
                  <w:vMerge w:val="restart"/>
                  <w:noWrap w:val="0"/>
                  <w:tcMar>
                    <w:left w:w="0" w:type="dxa"/>
                    <w:right w:w="0" w:type="dxa"/>
                  </w:tcMar>
                  <w:vAlign w:val="center"/>
                </w:tcPr>
                <w:p w14:paraId="0FD8D25E">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环保工程</w:t>
                  </w:r>
                </w:p>
              </w:tc>
              <w:tc>
                <w:tcPr>
                  <w:tcW w:w="270" w:type="pct"/>
                  <w:vMerge w:val="restart"/>
                  <w:noWrap w:val="0"/>
                  <w:vAlign w:val="center"/>
                </w:tcPr>
                <w:p w14:paraId="34096957">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废气</w:t>
                  </w:r>
                </w:p>
              </w:tc>
              <w:tc>
                <w:tcPr>
                  <w:tcW w:w="597" w:type="pct"/>
                  <w:noWrap w:val="0"/>
                  <w:tcMar>
                    <w:left w:w="0" w:type="dxa"/>
                    <w:right w:w="0" w:type="dxa"/>
                  </w:tcMar>
                  <w:vAlign w:val="center"/>
                </w:tcPr>
                <w:p w14:paraId="06EB04A8">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施工扬尘</w:t>
                  </w:r>
                </w:p>
              </w:tc>
              <w:tc>
                <w:tcPr>
                  <w:tcW w:w="3525" w:type="pct"/>
                  <w:noWrap w:val="0"/>
                  <w:vAlign w:val="center"/>
                </w:tcPr>
                <w:p w14:paraId="54447B81">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施工扬尘主要产生于</w:t>
                  </w:r>
                  <w:r>
                    <w:rPr>
                      <w:rFonts w:hint="default"/>
                      <w:color w:val="auto"/>
                      <w:szCs w:val="21"/>
                      <w:lang w:eastAsia="zh-CN"/>
                    </w:rPr>
                    <w:t>钻前</w:t>
                  </w:r>
                  <w:r>
                    <w:rPr>
                      <w:rFonts w:hint="default"/>
                      <w:color w:val="auto"/>
                      <w:szCs w:val="21"/>
                    </w:rPr>
                    <w:t>工程</w:t>
                  </w:r>
                  <w:r>
                    <w:rPr>
                      <w:rFonts w:hint="default"/>
                      <w:color w:val="auto"/>
                      <w:szCs w:val="21"/>
                      <w:lang w:eastAsia="zh-CN"/>
                    </w:rPr>
                    <w:t>、钻井工程</w:t>
                  </w:r>
                  <w:r>
                    <w:rPr>
                      <w:rFonts w:hint="default"/>
                      <w:color w:val="auto"/>
                      <w:szCs w:val="21"/>
                    </w:rPr>
                    <w:t>过程中场地平整、地面开挖、填埋、土石方堆放以及车辆运输过程</w:t>
                  </w:r>
                  <w:r>
                    <w:rPr>
                      <w:rFonts w:hint="default"/>
                      <w:color w:val="auto"/>
                      <w:szCs w:val="21"/>
                      <w:lang w:eastAsia="zh-CN"/>
                    </w:rPr>
                    <w:t>等</w:t>
                  </w:r>
                  <w:r>
                    <w:rPr>
                      <w:rFonts w:hint="eastAsia"/>
                      <w:color w:val="auto"/>
                      <w:szCs w:val="21"/>
                      <w:lang w:eastAsia="zh-CN"/>
                    </w:rPr>
                    <w:t>。</w:t>
                  </w:r>
                  <w:r>
                    <w:rPr>
                      <w:rFonts w:hint="default"/>
                      <w:color w:val="auto"/>
                      <w:szCs w:val="21"/>
                    </w:rPr>
                    <w:t>井场</w:t>
                  </w:r>
                  <w:r>
                    <w:rPr>
                      <w:rFonts w:hint="eastAsia"/>
                      <w:color w:val="auto"/>
                      <w:szCs w:val="21"/>
                      <w:lang w:eastAsia="zh-CN"/>
                    </w:rPr>
                    <w:t>洒水车</w:t>
                  </w:r>
                  <w:r>
                    <w:rPr>
                      <w:rFonts w:hint="default"/>
                      <w:color w:val="auto"/>
                      <w:szCs w:val="21"/>
                    </w:rPr>
                    <w:t>设置专用洒水泵定期洒水防尘，</w:t>
                  </w:r>
                  <w:r>
                    <w:rPr>
                      <w:rFonts w:hint="eastAsia"/>
                      <w:color w:val="auto"/>
                      <w:szCs w:val="21"/>
                    </w:rPr>
                    <w:t>降低扬尘的产生量，从源头上降低施工扬尘对环境空气质量和敏感点的影响。在加强洒水防尘作业后，项目勘探期对环境的影响是局部的，并随着施工的结束而结束。</w:t>
                  </w:r>
                </w:p>
              </w:tc>
            </w:tr>
            <w:tr w14:paraId="4DFFC52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680" w:hRule="atLeast"/>
                <w:jc w:val="center"/>
              </w:trPr>
              <w:tc>
                <w:tcPr>
                  <w:tcW w:w="606" w:type="pct"/>
                  <w:vMerge w:val="continue"/>
                  <w:noWrap w:val="0"/>
                  <w:vAlign w:val="center"/>
                </w:tcPr>
                <w:p w14:paraId="3D04B7F5">
                  <w:pPr>
                    <w:keepNext w:val="0"/>
                    <w:keepLines w:val="0"/>
                    <w:widowControl/>
                    <w:suppressLineNumbers w:val="0"/>
                    <w:spacing w:before="0" w:beforeAutospacing="0" w:after="0" w:afterAutospacing="0"/>
                    <w:ind w:left="0" w:right="0"/>
                    <w:jc w:val="left"/>
                    <w:rPr>
                      <w:rFonts w:hint="default"/>
                      <w:color w:val="auto"/>
                      <w:szCs w:val="21"/>
                    </w:rPr>
                  </w:pPr>
                </w:p>
              </w:tc>
              <w:tc>
                <w:tcPr>
                  <w:tcW w:w="270" w:type="pct"/>
                  <w:vMerge w:val="continue"/>
                  <w:noWrap w:val="0"/>
                  <w:vAlign w:val="center"/>
                </w:tcPr>
                <w:p w14:paraId="43DFAF88">
                  <w:pPr>
                    <w:keepNext w:val="0"/>
                    <w:keepLines w:val="0"/>
                    <w:widowControl/>
                    <w:suppressLineNumbers w:val="0"/>
                    <w:spacing w:before="0" w:beforeAutospacing="0" w:after="0" w:afterAutospacing="0"/>
                    <w:ind w:left="0" w:right="0"/>
                    <w:jc w:val="left"/>
                    <w:rPr>
                      <w:rFonts w:hint="default"/>
                      <w:color w:val="auto"/>
                      <w:szCs w:val="21"/>
                    </w:rPr>
                  </w:pPr>
                </w:p>
              </w:tc>
              <w:tc>
                <w:tcPr>
                  <w:tcW w:w="597" w:type="pct"/>
                  <w:noWrap w:val="0"/>
                  <w:tcMar>
                    <w:left w:w="0" w:type="dxa"/>
                    <w:right w:w="0" w:type="dxa"/>
                  </w:tcMar>
                  <w:vAlign w:val="center"/>
                </w:tcPr>
                <w:p w14:paraId="1A5EA46D">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柴油机发电废气</w:t>
                  </w:r>
                </w:p>
              </w:tc>
              <w:tc>
                <w:tcPr>
                  <w:tcW w:w="3525" w:type="pct"/>
                  <w:noWrap w:val="0"/>
                  <w:vAlign w:val="center"/>
                </w:tcPr>
                <w:p w14:paraId="1069B539">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现场使用符合环保要求的柴油发电机组，使用</w:t>
                  </w:r>
                  <w:r>
                    <w:rPr>
                      <w:rFonts w:hint="eastAsia"/>
                      <w:color w:val="auto"/>
                      <w:szCs w:val="21"/>
                    </w:rPr>
                    <w:t>0#或-35#</w:t>
                  </w:r>
                  <w:r>
                    <w:rPr>
                      <w:rFonts w:hint="default"/>
                      <w:color w:val="auto"/>
                      <w:szCs w:val="21"/>
                    </w:rPr>
                    <w:t>轻质柴油为燃料，使用设备自带的排气设备排放。</w:t>
                  </w:r>
                </w:p>
              </w:tc>
            </w:tr>
            <w:tr w14:paraId="55848CC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254" w:hRule="atLeast"/>
                <w:jc w:val="center"/>
              </w:trPr>
              <w:tc>
                <w:tcPr>
                  <w:tcW w:w="606" w:type="pct"/>
                  <w:vMerge w:val="continue"/>
                  <w:noWrap w:val="0"/>
                  <w:vAlign w:val="center"/>
                </w:tcPr>
                <w:p w14:paraId="0D4186F3">
                  <w:pPr>
                    <w:keepNext w:val="0"/>
                    <w:keepLines w:val="0"/>
                    <w:widowControl/>
                    <w:suppressLineNumbers w:val="0"/>
                    <w:spacing w:before="0" w:beforeAutospacing="0" w:after="0" w:afterAutospacing="0"/>
                    <w:ind w:left="0" w:right="0"/>
                    <w:jc w:val="left"/>
                    <w:rPr>
                      <w:rFonts w:hint="default"/>
                      <w:color w:val="auto"/>
                      <w:szCs w:val="21"/>
                    </w:rPr>
                  </w:pPr>
                </w:p>
              </w:tc>
              <w:tc>
                <w:tcPr>
                  <w:tcW w:w="270" w:type="pct"/>
                  <w:vMerge w:val="continue"/>
                  <w:noWrap w:val="0"/>
                  <w:vAlign w:val="center"/>
                </w:tcPr>
                <w:p w14:paraId="1FCF1C2F">
                  <w:pPr>
                    <w:keepNext w:val="0"/>
                    <w:keepLines w:val="0"/>
                    <w:widowControl/>
                    <w:suppressLineNumbers w:val="0"/>
                    <w:spacing w:before="0" w:beforeAutospacing="0" w:after="0" w:afterAutospacing="0"/>
                    <w:ind w:left="0" w:right="0"/>
                    <w:jc w:val="left"/>
                    <w:rPr>
                      <w:rFonts w:hint="default"/>
                      <w:color w:val="auto"/>
                      <w:szCs w:val="21"/>
                    </w:rPr>
                  </w:pPr>
                </w:p>
              </w:tc>
              <w:tc>
                <w:tcPr>
                  <w:tcW w:w="597" w:type="pct"/>
                  <w:noWrap w:val="0"/>
                  <w:vAlign w:val="center"/>
                </w:tcPr>
                <w:p w14:paraId="7CA1F397">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油气集输过程产生的废气</w:t>
                  </w:r>
                </w:p>
              </w:tc>
              <w:tc>
                <w:tcPr>
                  <w:tcW w:w="3525" w:type="pct"/>
                  <w:noWrap w:val="0"/>
                  <w:tcMar>
                    <w:left w:w="0" w:type="dxa"/>
                    <w:right w:w="0" w:type="dxa"/>
                  </w:tcMar>
                  <w:vAlign w:val="center"/>
                </w:tcPr>
                <w:p w14:paraId="1D022D14">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（1）储液罐采用防腐储罐，采用环密技术防止烃类泄漏及挥发。</w:t>
                  </w:r>
                </w:p>
                <w:p w14:paraId="05905A22">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（2）采用密闭集输流程，井口、储液罐设置切断阀，一旦发生事故，紧急切断油源，从而最大限度地减少油气集输过程中烃类的排放量。</w:t>
                  </w:r>
                </w:p>
                <w:p w14:paraId="300418D2">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（3）对井场的设备、管线、阀门等进行定期的检查、检修，以防止跑、冒、滴、漏的发生。</w:t>
                  </w:r>
                </w:p>
                <w:p w14:paraId="347EC717">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w:t>
                  </w:r>
                  <w:r>
                    <w:rPr>
                      <w:rFonts w:hint="eastAsia"/>
                      <w:color w:val="auto"/>
                      <w:szCs w:val="21"/>
                      <w:lang w:val="en-US" w:eastAsia="zh-CN"/>
                    </w:rPr>
                    <w:t>4</w:t>
                  </w:r>
                  <w:r>
                    <w:rPr>
                      <w:rFonts w:hint="default"/>
                      <w:color w:val="auto"/>
                      <w:szCs w:val="21"/>
                    </w:rPr>
                    <w:t>）加强原油装车过程管理，装车过程中，采用浸没式装车方式，储液罐中的采出液通过罐体上端的拉油鹤管输送到拉油罐车里，且确保拉油鹤管出口一直延伸至罐车底部，有效地降低烃类气体的挥发。</w:t>
                  </w:r>
                </w:p>
                <w:p w14:paraId="6AC3C202">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w:t>
                  </w:r>
                  <w:r>
                    <w:rPr>
                      <w:rFonts w:hint="eastAsia"/>
                      <w:color w:val="auto"/>
                      <w:szCs w:val="21"/>
                      <w:lang w:val="en-US" w:eastAsia="zh-CN"/>
                    </w:rPr>
                    <w:t>5</w:t>
                  </w:r>
                  <w:r>
                    <w:rPr>
                      <w:rFonts w:hint="default"/>
                      <w:color w:val="auto"/>
                      <w:szCs w:val="21"/>
                    </w:rPr>
                    <w:t>）油罐车运输过程中油罐全程密闭，减少烃类气体的挥发。</w:t>
                  </w:r>
                </w:p>
              </w:tc>
            </w:tr>
            <w:tr w14:paraId="633286A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249" w:hRule="atLeast"/>
                <w:jc w:val="center"/>
              </w:trPr>
              <w:tc>
                <w:tcPr>
                  <w:tcW w:w="606" w:type="pct"/>
                  <w:vMerge w:val="continue"/>
                  <w:noWrap w:val="0"/>
                  <w:vAlign w:val="center"/>
                </w:tcPr>
                <w:p w14:paraId="1FA0C922">
                  <w:pPr>
                    <w:keepNext w:val="0"/>
                    <w:keepLines w:val="0"/>
                    <w:suppressLineNumbers w:val="0"/>
                    <w:spacing w:before="0" w:beforeAutospacing="0" w:after="0" w:afterAutospacing="0"/>
                    <w:ind w:left="0" w:right="0"/>
                    <w:rPr>
                      <w:rFonts w:hint="default"/>
                      <w:color w:val="auto"/>
                    </w:rPr>
                  </w:pPr>
                </w:p>
              </w:tc>
              <w:tc>
                <w:tcPr>
                  <w:tcW w:w="270" w:type="pct"/>
                  <w:vMerge w:val="continue"/>
                  <w:noWrap w:val="0"/>
                  <w:vAlign w:val="center"/>
                </w:tcPr>
                <w:p w14:paraId="121C7328">
                  <w:pPr>
                    <w:keepNext w:val="0"/>
                    <w:keepLines w:val="0"/>
                    <w:suppressLineNumbers w:val="0"/>
                    <w:spacing w:before="0" w:beforeAutospacing="0" w:after="0" w:afterAutospacing="0"/>
                    <w:ind w:left="0" w:right="0"/>
                    <w:rPr>
                      <w:rFonts w:hint="default"/>
                      <w:color w:val="auto"/>
                    </w:rPr>
                  </w:pPr>
                </w:p>
              </w:tc>
              <w:tc>
                <w:tcPr>
                  <w:tcW w:w="597" w:type="pct"/>
                  <w:noWrap w:val="0"/>
                  <w:vAlign w:val="center"/>
                </w:tcPr>
                <w:p w14:paraId="37B6E177">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伴生气燃烧</w:t>
                  </w:r>
                </w:p>
              </w:tc>
              <w:tc>
                <w:tcPr>
                  <w:tcW w:w="3525" w:type="pct"/>
                  <w:noWrap w:val="0"/>
                  <w:vAlign w:val="center"/>
                </w:tcPr>
                <w:p w14:paraId="693A1C41">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试油阶段勘探井伴生气体</w:t>
                  </w:r>
                  <w:r>
                    <w:rPr>
                      <w:rFonts w:hint="eastAsia"/>
                      <w:color w:val="auto"/>
                      <w:szCs w:val="21"/>
                    </w:rPr>
                    <w:t>主</w:t>
                  </w:r>
                  <w:r>
                    <w:rPr>
                      <w:rFonts w:hint="default"/>
                      <w:color w:val="auto"/>
                      <w:szCs w:val="21"/>
                    </w:rPr>
                    <w:t>要为</w:t>
                  </w:r>
                  <w:r>
                    <w:rPr>
                      <w:rFonts w:hint="eastAsia"/>
                      <w:color w:val="auto"/>
                      <w:szCs w:val="21"/>
                    </w:rPr>
                    <w:t>天然</w:t>
                  </w:r>
                  <w:r>
                    <w:rPr>
                      <w:rFonts w:hint="default"/>
                      <w:color w:val="auto"/>
                      <w:szCs w:val="21"/>
                    </w:rPr>
                    <w:t>气及少量非甲烷总烃，采用</w:t>
                  </w:r>
                  <w:r>
                    <w:rPr>
                      <w:rFonts w:hint="eastAsia"/>
                      <w:color w:val="auto"/>
                      <w:szCs w:val="21"/>
                      <w:lang w:eastAsia="zh-CN"/>
                    </w:rPr>
                    <w:t>放喷装置中</w:t>
                  </w:r>
                  <w:r>
                    <w:rPr>
                      <w:rFonts w:hint="default"/>
                      <w:color w:val="auto"/>
                      <w:szCs w:val="21"/>
                    </w:rPr>
                    <w:t>的火炬就地燃烧，燃烧产物主要为二氧化</w:t>
                  </w:r>
                  <w:r>
                    <w:rPr>
                      <w:rFonts w:hint="eastAsia"/>
                      <w:color w:val="auto"/>
                      <w:szCs w:val="21"/>
                    </w:rPr>
                    <w:t>碳</w:t>
                  </w:r>
                  <w:r>
                    <w:rPr>
                      <w:rFonts w:hint="default"/>
                      <w:color w:val="auto"/>
                      <w:szCs w:val="21"/>
                    </w:rPr>
                    <w:t>和水蒸</w:t>
                  </w:r>
                  <w:r>
                    <w:rPr>
                      <w:rFonts w:hint="eastAsia"/>
                      <w:color w:val="auto"/>
                      <w:szCs w:val="21"/>
                    </w:rPr>
                    <w:t>气</w:t>
                  </w:r>
                  <w:r>
                    <w:rPr>
                      <w:rFonts w:hint="default"/>
                      <w:color w:val="auto"/>
                      <w:szCs w:val="21"/>
                    </w:rPr>
                    <w:t>，非甲烷总烃排放量较少。火炬为8m排气筒（配套防回火与自动点火装置），设置于井口50m以外。</w:t>
                  </w:r>
                </w:p>
              </w:tc>
            </w:tr>
            <w:tr w14:paraId="57BA02C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8" w:hRule="atLeast"/>
                <w:jc w:val="center"/>
              </w:trPr>
              <w:tc>
                <w:tcPr>
                  <w:tcW w:w="606" w:type="pct"/>
                  <w:vMerge w:val="continue"/>
                  <w:noWrap w:val="0"/>
                  <w:vAlign w:val="center"/>
                </w:tcPr>
                <w:p w14:paraId="7BB245F9">
                  <w:pPr>
                    <w:keepNext w:val="0"/>
                    <w:keepLines w:val="0"/>
                    <w:widowControl/>
                    <w:suppressLineNumbers w:val="0"/>
                    <w:spacing w:before="0" w:beforeAutospacing="0" w:after="0" w:afterAutospacing="0"/>
                    <w:ind w:left="0" w:right="0"/>
                    <w:jc w:val="left"/>
                    <w:rPr>
                      <w:rFonts w:hint="default"/>
                      <w:color w:val="auto"/>
                      <w:szCs w:val="21"/>
                    </w:rPr>
                  </w:pPr>
                </w:p>
              </w:tc>
              <w:tc>
                <w:tcPr>
                  <w:tcW w:w="867" w:type="pct"/>
                  <w:gridSpan w:val="2"/>
                  <w:noWrap w:val="0"/>
                  <w:vAlign w:val="center"/>
                </w:tcPr>
                <w:p w14:paraId="6D1E1CBC">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废水</w:t>
                  </w:r>
                </w:p>
              </w:tc>
              <w:tc>
                <w:tcPr>
                  <w:tcW w:w="3525" w:type="pct"/>
                  <w:noWrap w:val="0"/>
                  <w:vAlign w:val="center"/>
                </w:tcPr>
                <w:p w14:paraId="12F5C03F">
                  <w:pPr>
                    <w:keepNext w:val="0"/>
                    <w:keepLines w:val="0"/>
                    <w:suppressLineNumbers w:val="0"/>
                    <w:spacing w:before="0" w:beforeAutospacing="0" w:after="0" w:afterAutospacing="0"/>
                    <w:ind w:left="0" w:right="0"/>
                    <w:rPr>
                      <w:rFonts w:hint="default"/>
                      <w:color w:val="auto"/>
                    </w:rPr>
                  </w:pPr>
                  <w:r>
                    <w:rPr>
                      <w:rFonts w:hint="default"/>
                      <w:color w:val="auto"/>
                    </w:rPr>
                    <w:t>井场设置</w:t>
                  </w:r>
                  <w:r>
                    <w:rPr>
                      <w:rFonts w:hint="eastAsia"/>
                      <w:color w:val="auto"/>
                      <w:lang w:eastAsia="zh-CN"/>
                    </w:rPr>
                    <w:t>环保厕所</w:t>
                  </w:r>
                  <w:r>
                    <w:rPr>
                      <w:rFonts w:hint="default"/>
                      <w:color w:val="auto"/>
                    </w:rPr>
                    <w:t>，生活污水</w:t>
                  </w:r>
                  <w:r>
                    <w:rPr>
                      <w:rFonts w:hint="eastAsia"/>
                      <w:color w:val="auto"/>
                      <w:lang w:eastAsia="zh-CN"/>
                    </w:rPr>
                    <w:t>排入环保厕所</w:t>
                  </w:r>
                  <w:r>
                    <w:rPr>
                      <w:rFonts w:hint="default"/>
                      <w:color w:val="auto"/>
                    </w:rPr>
                    <w:t>，定期清掏。</w:t>
                  </w:r>
                </w:p>
                <w:p w14:paraId="3B4C3A95">
                  <w:pPr>
                    <w:keepNext w:val="0"/>
                    <w:keepLines w:val="0"/>
                    <w:suppressLineNumbers w:val="0"/>
                    <w:spacing w:before="0" w:beforeAutospacing="0" w:after="0" w:afterAutospacing="0"/>
                    <w:ind w:left="0" w:right="0"/>
                    <w:rPr>
                      <w:rFonts w:hint="default"/>
                      <w:color w:val="auto"/>
                    </w:rPr>
                  </w:pPr>
                  <w:r>
                    <w:rPr>
                      <w:rFonts w:hint="default"/>
                      <w:color w:val="auto"/>
                    </w:rPr>
                    <w:t>钻井泥浆经泥浆不落地工艺系统处理，</w:t>
                  </w:r>
                  <w:r>
                    <w:rPr>
                      <w:rFonts w:hint="default"/>
                      <w:color w:val="auto"/>
                      <w:lang w:eastAsia="zh-CN"/>
                    </w:rPr>
                    <w:t>在井场</w:t>
                  </w:r>
                  <w:r>
                    <w:rPr>
                      <w:rFonts w:hint="default"/>
                      <w:color w:val="auto"/>
                    </w:rPr>
                    <w:t>破胶脱稳后进行固液分离，废水</w:t>
                  </w:r>
                  <w:r>
                    <w:rPr>
                      <w:rFonts w:hint="default"/>
                      <w:bCs/>
                      <w:color w:val="auto"/>
                      <w:szCs w:val="21"/>
                    </w:rPr>
                    <w:t>收集至可移动废水罐临时贮存，</w:t>
                  </w:r>
                  <w:r>
                    <w:rPr>
                      <w:rFonts w:hint="default"/>
                      <w:color w:val="auto"/>
                    </w:rPr>
                    <w:t>由罐车拉运至</w:t>
                  </w:r>
                  <w:r>
                    <w:rPr>
                      <w:rFonts w:hint="default"/>
                      <w:bCs/>
                      <w:color w:val="auto"/>
                      <w:kern w:val="0"/>
                      <w:szCs w:val="21"/>
                    </w:rPr>
                    <w:t>吉兰泰联合站采出水处理系统</w:t>
                  </w:r>
                  <w:r>
                    <w:rPr>
                      <w:rFonts w:hint="eastAsia"/>
                      <w:bCs/>
                      <w:color w:val="auto"/>
                      <w:kern w:val="0"/>
                      <w:szCs w:val="21"/>
                      <w:lang w:eastAsia="zh-CN"/>
                    </w:rPr>
                    <w:t>（与本项目同属华北油田）</w:t>
                  </w:r>
                  <w:r>
                    <w:rPr>
                      <w:rFonts w:hint="default"/>
                      <w:color w:val="auto"/>
                    </w:rPr>
                    <w:t>。</w:t>
                  </w:r>
                </w:p>
              </w:tc>
            </w:tr>
            <w:tr w14:paraId="31C5CAB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1" w:hRule="atLeast"/>
                <w:jc w:val="center"/>
              </w:trPr>
              <w:tc>
                <w:tcPr>
                  <w:tcW w:w="606" w:type="pct"/>
                  <w:vMerge w:val="continue"/>
                  <w:noWrap w:val="0"/>
                  <w:vAlign w:val="center"/>
                </w:tcPr>
                <w:p w14:paraId="562DDDAB">
                  <w:pPr>
                    <w:keepNext w:val="0"/>
                    <w:keepLines w:val="0"/>
                    <w:widowControl/>
                    <w:suppressLineNumbers w:val="0"/>
                    <w:spacing w:before="0" w:beforeAutospacing="0" w:after="0" w:afterAutospacing="0"/>
                    <w:ind w:left="0" w:right="0"/>
                    <w:jc w:val="left"/>
                    <w:rPr>
                      <w:rFonts w:hint="default"/>
                      <w:color w:val="auto"/>
                      <w:szCs w:val="21"/>
                    </w:rPr>
                  </w:pPr>
                </w:p>
              </w:tc>
              <w:tc>
                <w:tcPr>
                  <w:tcW w:w="867" w:type="pct"/>
                  <w:gridSpan w:val="2"/>
                  <w:noWrap w:val="0"/>
                  <w:vAlign w:val="center"/>
                </w:tcPr>
                <w:p w14:paraId="630541DA">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噪声</w:t>
                  </w:r>
                </w:p>
              </w:tc>
              <w:tc>
                <w:tcPr>
                  <w:tcW w:w="3525" w:type="pct"/>
                  <w:noWrap w:val="0"/>
                  <w:vAlign w:val="center"/>
                </w:tcPr>
                <w:p w14:paraId="3D5C4C6D">
                  <w:pPr>
                    <w:keepNext w:val="0"/>
                    <w:keepLines w:val="0"/>
                    <w:suppressLineNumbers w:val="0"/>
                    <w:spacing w:before="0" w:beforeAutospacing="0" w:after="0" w:afterAutospacing="0"/>
                    <w:ind w:left="0" w:right="0"/>
                    <w:rPr>
                      <w:rFonts w:hint="default"/>
                      <w:color w:val="auto"/>
                      <w:szCs w:val="21"/>
                    </w:rPr>
                  </w:pPr>
                  <w:r>
                    <w:rPr>
                      <w:rFonts w:hint="eastAsia"/>
                      <w:color w:val="auto"/>
                      <w:szCs w:val="21"/>
                    </w:rPr>
                    <w:t>选用低噪声设备，采用基础减震、隔声等措施。</w:t>
                  </w:r>
                </w:p>
              </w:tc>
            </w:tr>
            <w:tr w14:paraId="70DD54F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254" w:hRule="atLeast"/>
                <w:jc w:val="center"/>
              </w:trPr>
              <w:tc>
                <w:tcPr>
                  <w:tcW w:w="606" w:type="pct"/>
                  <w:vMerge w:val="continue"/>
                  <w:noWrap w:val="0"/>
                  <w:vAlign w:val="center"/>
                </w:tcPr>
                <w:p w14:paraId="184EB3F1">
                  <w:pPr>
                    <w:keepNext w:val="0"/>
                    <w:keepLines w:val="0"/>
                    <w:widowControl/>
                    <w:suppressLineNumbers w:val="0"/>
                    <w:spacing w:before="0" w:beforeAutospacing="0" w:after="0" w:afterAutospacing="0"/>
                    <w:ind w:left="0" w:right="0"/>
                    <w:jc w:val="left"/>
                    <w:rPr>
                      <w:rFonts w:hint="default"/>
                      <w:color w:val="auto"/>
                      <w:szCs w:val="21"/>
                    </w:rPr>
                  </w:pPr>
                </w:p>
              </w:tc>
              <w:tc>
                <w:tcPr>
                  <w:tcW w:w="867" w:type="pct"/>
                  <w:gridSpan w:val="2"/>
                  <w:noWrap w:val="0"/>
                  <w:vAlign w:val="center"/>
                </w:tcPr>
                <w:p w14:paraId="7D9C2EE7">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固体废物</w:t>
                  </w:r>
                </w:p>
              </w:tc>
              <w:tc>
                <w:tcPr>
                  <w:tcW w:w="3525" w:type="pct"/>
                  <w:noWrap w:val="0"/>
                  <w:vAlign w:val="center"/>
                </w:tcPr>
                <w:p w14:paraId="245750A4">
                  <w:pPr>
                    <w:keepNext w:val="0"/>
                    <w:keepLines w:val="0"/>
                    <w:suppressLineNumbers w:val="0"/>
                    <w:spacing w:before="0" w:beforeAutospacing="0" w:after="0" w:afterAutospacing="0"/>
                    <w:ind w:left="0" w:right="0"/>
                    <w:rPr>
                      <w:rFonts w:hint="default"/>
                      <w:bCs/>
                      <w:color w:val="auto"/>
                      <w:szCs w:val="21"/>
                    </w:rPr>
                  </w:pPr>
                  <w:r>
                    <w:rPr>
                      <w:rFonts w:hint="default"/>
                      <w:bCs/>
                      <w:color w:val="auto"/>
                      <w:szCs w:val="21"/>
                    </w:rPr>
                    <w:t>井场设置垃圾桶，生活垃圾集中收集后，委托当地环卫部门处置。</w:t>
                  </w:r>
                </w:p>
                <w:p w14:paraId="5E47DF3C">
                  <w:pPr>
                    <w:keepNext w:val="0"/>
                    <w:keepLines w:val="0"/>
                    <w:suppressLineNumbers w:val="0"/>
                    <w:spacing w:before="0" w:beforeAutospacing="0" w:after="0" w:afterAutospacing="0"/>
                    <w:ind w:left="0" w:right="0"/>
                    <w:rPr>
                      <w:rFonts w:hint="eastAsia"/>
                      <w:color w:val="auto"/>
                    </w:rPr>
                  </w:pPr>
                  <w:r>
                    <w:rPr>
                      <w:rFonts w:hint="eastAsia"/>
                      <w:color w:val="auto"/>
                    </w:rPr>
                    <w:t>钻井泥浆经泥浆不落地工艺系统处理，</w:t>
                  </w:r>
                  <w:r>
                    <w:rPr>
                      <w:rFonts w:hint="eastAsia"/>
                      <w:color w:val="auto"/>
                      <w:lang w:eastAsia="zh-CN"/>
                    </w:rPr>
                    <w:t>在井场</w:t>
                  </w:r>
                  <w:r>
                    <w:rPr>
                      <w:rFonts w:hint="eastAsia"/>
                      <w:color w:val="auto"/>
                    </w:rPr>
                    <w:t>破胶脱稳后进行固液分离，固相为废弃钻井泥浆、岩屑，属于Ⅱ类一般工业固体废物，</w:t>
                  </w:r>
                  <w:r>
                    <w:rPr>
                      <w:rFonts w:hint="default"/>
                      <w:color w:val="auto"/>
                    </w:rPr>
                    <w:t>运至</w:t>
                  </w:r>
                  <w:r>
                    <w:rPr>
                      <w:rFonts w:hint="eastAsia"/>
                      <w:color w:val="auto"/>
                      <w:lang w:eastAsia="zh-CN"/>
                    </w:rPr>
                    <w:t>内蒙古联源热电有限公司固废处置场</w:t>
                  </w:r>
                  <w:r>
                    <w:rPr>
                      <w:rFonts w:hint="default"/>
                      <w:color w:val="auto"/>
                    </w:rPr>
                    <w:t>填埋。</w:t>
                  </w:r>
                </w:p>
                <w:p w14:paraId="47569543">
                  <w:pPr>
                    <w:keepNext w:val="0"/>
                    <w:keepLines w:val="0"/>
                    <w:suppressLineNumbers w:val="0"/>
                    <w:spacing w:before="0" w:beforeAutospacing="0" w:after="0" w:afterAutospacing="0"/>
                    <w:ind w:left="0" w:right="0"/>
                    <w:rPr>
                      <w:rFonts w:hint="default"/>
                      <w:color w:val="auto"/>
                    </w:rPr>
                  </w:pPr>
                  <w:r>
                    <w:rPr>
                      <w:rFonts w:hint="eastAsia"/>
                      <w:color w:val="auto"/>
                      <w:highlight w:val="none"/>
                    </w:rPr>
                    <w:t>落地油（事故状态下）和废机油暂存于</w:t>
                  </w:r>
                  <w:r>
                    <w:rPr>
                      <w:rFonts w:hint="eastAsia"/>
                      <w:color w:val="auto"/>
                      <w:highlight w:val="none"/>
                      <w:lang w:eastAsia="zh-CN"/>
                    </w:rPr>
                    <w:t>井场内的危废贮存点</w:t>
                  </w:r>
                  <w:r>
                    <w:rPr>
                      <w:rFonts w:hint="eastAsia"/>
                      <w:color w:val="auto"/>
                    </w:rPr>
                    <w:t>，</w:t>
                  </w:r>
                  <w:r>
                    <w:rPr>
                      <w:rFonts w:hint="eastAsia"/>
                      <w:color w:val="auto"/>
                      <w:highlight w:val="none"/>
                    </w:rPr>
                    <w:t>定期</w:t>
                  </w:r>
                  <w:r>
                    <w:rPr>
                      <w:rFonts w:hint="eastAsia"/>
                      <w:color w:val="auto"/>
                      <w:highlight w:val="none"/>
                      <w:lang w:eastAsia="zh-CN"/>
                    </w:rPr>
                    <w:t>交由</w:t>
                  </w:r>
                  <w:r>
                    <w:rPr>
                      <w:rFonts w:hint="eastAsia"/>
                      <w:color w:val="auto"/>
                      <w:kern w:val="0"/>
                      <w:szCs w:val="21"/>
                      <w:highlight w:val="none"/>
                      <w:lang w:eastAsia="zh-CN"/>
                    </w:rPr>
                    <w:t>有资质单位处置</w:t>
                  </w:r>
                  <w:r>
                    <w:rPr>
                      <w:rFonts w:hint="eastAsia"/>
                      <w:color w:val="auto"/>
                    </w:rPr>
                    <w:t>。</w:t>
                  </w:r>
                </w:p>
              </w:tc>
            </w:tr>
            <w:tr w14:paraId="388A5ED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4245" w:hRule="atLeast"/>
                <w:jc w:val="center"/>
              </w:trPr>
              <w:tc>
                <w:tcPr>
                  <w:tcW w:w="606" w:type="pct"/>
                  <w:vMerge w:val="continue"/>
                  <w:noWrap w:val="0"/>
                  <w:vAlign w:val="center"/>
                </w:tcPr>
                <w:p w14:paraId="27F36F2F">
                  <w:pPr>
                    <w:keepNext w:val="0"/>
                    <w:keepLines w:val="0"/>
                    <w:widowControl/>
                    <w:suppressLineNumbers w:val="0"/>
                    <w:spacing w:before="0" w:beforeAutospacing="0" w:after="0" w:afterAutospacing="0"/>
                    <w:ind w:left="0" w:right="0"/>
                    <w:jc w:val="left"/>
                    <w:rPr>
                      <w:rFonts w:hint="default"/>
                      <w:color w:val="auto"/>
                      <w:szCs w:val="21"/>
                    </w:rPr>
                  </w:pPr>
                </w:p>
              </w:tc>
              <w:tc>
                <w:tcPr>
                  <w:tcW w:w="867" w:type="pct"/>
                  <w:gridSpan w:val="2"/>
                  <w:noWrap w:val="0"/>
                  <w:vAlign w:val="center"/>
                </w:tcPr>
                <w:p w14:paraId="2097E74F">
                  <w:pPr>
                    <w:keepNext w:val="0"/>
                    <w:keepLines w:val="0"/>
                    <w:suppressLineNumbers w:val="0"/>
                    <w:spacing w:before="0" w:beforeAutospacing="0" w:after="0" w:afterAutospacing="0" w:line="0" w:lineRule="atLeast"/>
                    <w:ind w:left="0" w:right="0"/>
                    <w:jc w:val="center"/>
                    <w:rPr>
                      <w:rFonts w:hint="eastAsia"/>
                      <w:color w:val="auto"/>
                      <w:szCs w:val="21"/>
                    </w:rPr>
                  </w:pPr>
                  <w:r>
                    <w:rPr>
                      <w:rFonts w:hint="eastAsia"/>
                      <w:color w:val="auto"/>
                      <w:szCs w:val="21"/>
                    </w:rPr>
                    <w:t>防渗工程</w:t>
                  </w:r>
                </w:p>
              </w:tc>
              <w:tc>
                <w:tcPr>
                  <w:tcW w:w="3525" w:type="pct"/>
                  <w:noWrap w:val="0"/>
                  <w:vAlign w:val="center"/>
                </w:tcPr>
                <w:p w14:paraId="10798A51">
                  <w:pPr>
                    <w:keepNext w:val="0"/>
                    <w:keepLines w:val="0"/>
                    <w:suppressLineNumbers w:val="0"/>
                    <w:spacing w:before="0" w:beforeAutospacing="0" w:after="0" w:afterAutospacing="0" w:line="0" w:lineRule="atLeast"/>
                    <w:ind w:left="0" w:right="0"/>
                    <w:rPr>
                      <w:rFonts w:hint="eastAsia"/>
                      <w:b/>
                      <w:bCs/>
                      <w:color w:val="auto"/>
                      <w:szCs w:val="21"/>
                    </w:rPr>
                  </w:pPr>
                  <w:r>
                    <w:rPr>
                      <w:rFonts w:hint="eastAsia"/>
                      <w:b/>
                      <w:bCs/>
                      <w:color w:val="auto"/>
                      <w:szCs w:val="21"/>
                    </w:rPr>
                    <w:t>重点防渗区：</w:t>
                  </w:r>
                </w:p>
                <w:p w14:paraId="4D07F1EF">
                  <w:pPr>
                    <w:keepNext w:val="0"/>
                    <w:keepLines w:val="0"/>
                    <w:suppressLineNumbers w:val="0"/>
                    <w:spacing w:before="0" w:beforeAutospacing="0" w:after="0" w:afterAutospacing="0" w:line="0" w:lineRule="atLeast"/>
                    <w:ind w:left="0" w:right="0"/>
                    <w:rPr>
                      <w:rFonts w:hint="eastAsia"/>
                      <w:bCs/>
                      <w:color w:val="auto"/>
                      <w:szCs w:val="21"/>
                    </w:rPr>
                  </w:pPr>
                  <w:r>
                    <w:rPr>
                      <w:rFonts w:hint="eastAsia"/>
                      <w:bCs/>
                      <w:color w:val="auto"/>
                      <w:szCs w:val="21"/>
                    </w:rPr>
                    <w:t>钻井平台、泥浆不落地</w:t>
                  </w:r>
                  <w:r>
                    <w:rPr>
                      <w:rFonts w:hint="eastAsia"/>
                      <w:bCs/>
                      <w:color w:val="auto"/>
                      <w:szCs w:val="21"/>
                      <w:lang w:eastAsia="zh-CN"/>
                    </w:rPr>
                    <w:t>装置</w:t>
                  </w:r>
                  <w:r>
                    <w:rPr>
                      <w:rFonts w:hint="eastAsia"/>
                      <w:bCs/>
                      <w:color w:val="auto"/>
                      <w:szCs w:val="21"/>
                    </w:rPr>
                    <w:t>区、泥浆</w:t>
                  </w:r>
                  <w:r>
                    <w:rPr>
                      <w:rFonts w:hint="eastAsia"/>
                      <w:bCs/>
                      <w:color w:val="auto"/>
                      <w:szCs w:val="21"/>
                      <w:lang w:eastAsia="zh-CN"/>
                    </w:rPr>
                    <w:t>循环</w:t>
                  </w:r>
                  <w:r>
                    <w:rPr>
                      <w:rFonts w:hint="eastAsia"/>
                      <w:bCs/>
                      <w:color w:val="auto"/>
                      <w:szCs w:val="21"/>
                    </w:rPr>
                    <w:t>罐区、柴油罐区、</w:t>
                  </w:r>
                  <w:r>
                    <w:rPr>
                      <w:rFonts w:hint="eastAsia"/>
                      <w:bCs/>
                      <w:color w:val="auto"/>
                      <w:szCs w:val="21"/>
                      <w:lang w:eastAsia="zh-CN"/>
                    </w:rPr>
                    <w:t>危废贮存点</w:t>
                  </w:r>
                  <w:r>
                    <w:rPr>
                      <w:rFonts w:hint="eastAsia"/>
                      <w:bCs/>
                      <w:color w:val="auto"/>
                      <w:szCs w:val="21"/>
                    </w:rPr>
                    <w:t>等划分为重点防渗区</w:t>
                  </w:r>
                  <w:r>
                    <w:rPr>
                      <w:rFonts w:hint="default"/>
                      <w:bCs/>
                      <w:color w:val="auto"/>
                      <w:szCs w:val="21"/>
                    </w:rPr>
                    <w:t>，</w:t>
                  </w:r>
                  <w:r>
                    <w:rPr>
                      <w:rFonts w:hint="eastAsia"/>
                      <w:bCs/>
                      <w:color w:val="auto"/>
                      <w:szCs w:val="21"/>
                    </w:rPr>
                    <w:t>地面底部利用机械将衬层压实，四周加设高度为20cm的围堰，铺设双层2mm厚高密度聚乙烯防渗膜（覆盖围堰并外延0.5m以上），等效黏土防渗层Mb≥6.0m，K≤1</w:t>
                  </w:r>
                  <w:r>
                    <w:rPr>
                      <w:rFonts w:hint="default"/>
                      <w:color w:val="auto"/>
                      <w:szCs w:val="21"/>
                    </w:rPr>
                    <w:t>×</w:t>
                  </w:r>
                  <w:r>
                    <w:rPr>
                      <w:rFonts w:hint="eastAsia"/>
                      <w:bCs/>
                      <w:color w:val="auto"/>
                      <w:szCs w:val="21"/>
                    </w:rPr>
                    <w:t>10</w:t>
                  </w:r>
                  <w:r>
                    <w:rPr>
                      <w:rFonts w:hint="eastAsia"/>
                      <w:bCs/>
                      <w:color w:val="auto"/>
                      <w:szCs w:val="21"/>
                      <w:highlight w:val="none"/>
                      <w:vertAlign w:val="superscript"/>
                    </w:rPr>
                    <w:t>-</w:t>
                  </w:r>
                  <w:r>
                    <w:rPr>
                      <w:rFonts w:hint="eastAsia"/>
                      <w:bCs/>
                      <w:color w:val="auto"/>
                      <w:szCs w:val="21"/>
                      <w:vertAlign w:val="superscript"/>
                    </w:rPr>
                    <w:t>10</w:t>
                  </w:r>
                  <w:r>
                    <w:rPr>
                      <w:rFonts w:hint="eastAsia"/>
                      <w:bCs/>
                      <w:color w:val="auto"/>
                      <w:szCs w:val="21"/>
                    </w:rPr>
                    <w:t>cm/s。</w:t>
                  </w:r>
                </w:p>
                <w:p w14:paraId="7F7720F9">
                  <w:pPr>
                    <w:keepNext w:val="0"/>
                    <w:keepLines w:val="0"/>
                    <w:suppressLineNumbers w:val="0"/>
                    <w:spacing w:before="0" w:beforeAutospacing="0" w:after="0" w:afterAutospacing="0" w:line="0" w:lineRule="atLeast"/>
                    <w:ind w:left="0" w:right="0"/>
                    <w:rPr>
                      <w:rFonts w:hint="default"/>
                      <w:b/>
                      <w:bCs/>
                      <w:color w:val="auto"/>
                      <w:szCs w:val="21"/>
                    </w:rPr>
                  </w:pPr>
                  <w:r>
                    <w:rPr>
                      <w:rFonts w:hint="default"/>
                      <w:b/>
                      <w:bCs/>
                      <w:color w:val="auto"/>
                      <w:szCs w:val="21"/>
                    </w:rPr>
                    <w:t>一般防渗区：</w:t>
                  </w:r>
                </w:p>
                <w:p w14:paraId="1097FC54">
                  <w:pPr>
                    <w:keepNext w:val="0"/>
                    <w:keepLines w:val="0"/>
                    <w:suppressLineNumbers w:val="0"/>
                    <w:spacing w:before="0" w:beforeAutospacing="0" w:after="0" w:afterAutospacing="0" w:line="0" w:lineRule="atLeast"/>
                    <w:ind w:left="0" w:right="0"/>
                    <w:rPr>
                      <w:rFonts w:hint="eastAsia"/>
                      <w:bCs/>
                      <w:color w:val="auto"/>
                      <w:szCs w:val="21"/>
                    </w:rPr>
                  </w:pPr>
                  <w:r>
                    <w:rPr>
                      <w:rFonts w:hint="eastAsia"/>
                      <w:bCs/>
                      <w:color w:val="auto"/>
                      <w:szCs w:val="21"/>
                    </w:rPr>
                    <w:t>钻井液材料场、固废暂</w:t>
                  </w:r>
                  <w:r>
                    <w:rPr>
                      <w:rFonts w:hint="eastAsia"/>
                      <w:bCs/>
                      <w:color w:val="auto"/>
                      <w:szCs w:val="21"/>
                      <w:highlight w:val="none"/>
                    </w:rPr>
                    <w:t>存区等一般防渗区，地面利用机械将衬层压实，四周加设高度为20cm</w:t>
                  </w:r>
                  <w:r>
                    <w:rPr>
                      <w:rFonts w:hint="eastAsia"/>
                      <w:bCs/>
                      <w:color w:val="auto"/>
                      <w:szCs w:val="21"/>
                    </w:rPr>
                    <w:t>的围堰（固废暂存区围堰高度为</w:t>
                  </w:r>
                  <w:r>
                    <w:rPr>
                      <w:rFonts w:hint="default"/>
                      <w:bCs/>
                      <w:color w:val="auto"/>
                      <w:szCs w:val="21"/>
                    </w:rPr>
                    <w:t>50</w:t>
                  </w:r>
                  <w:r>
                    <w:rPr>
                      <w:rFonts w:hint="eastAsia"/>
                      <w:bCs/>
                      <w:color w:val="auto"/>
                      <w:szCs w:val="21"/>
                    </w:rPr>
                    <w:t>cm），铺设双层1.5mm厚高密度聚乙烯防渗膜（覆盖围堰并外延0.5m以上），等效黏土防渗层Mb≥1.5m，K≤1×10</w:t>
                  </w:r>
                  <w:r>
                    <w:rPr>
                      <w:rFonts w:hint="eastAsia"/>
                      <w:bCs/>
                      <w:color w:val="auto"/>
                      <w:szCs w:val="21"/>
                      <w:highlight w:val="none"/>
                      <w:vertAlign w:val="superscript"/>
                    </w:rPr>
                    <w:t>-</w:t>
                  </w:r>
                  <w:r>
                    <w:rPr>
                      <w:rFonts w:hint="eastAsia"/>
                      <w:bCs/>
                      <w:color w:val="auto"/>
                      <w:szCs w:val="21"/>
                      <w:vertAlign w:val="superscript"/>
                    </w:rPr>
                    <w:t>7</w:t>
                  </w:r>
                  <w:r>
                    <w:rPr>
                      <w:rFonts w:hint="eastAsia"/>
                      <w:bCs/>
                      <w:color w:val="auto"/>
                      <w:szCs w:val="21"/>
                    </w:rPr>
                    <w:t>cm/s。</w:t>
                  </w:r>
                </w:p>
                <w:p w14:paraId="482244BE">
                  <w:pPr>
                    <w:keepNext w:val="0"/>
                    <w:keepLines w:val="0"/>
                    <w:suppressLineNumbers w:val="0"/>
                    <w:spacing w:before="0" w:beforeAutospacing="0" w:after="0" w:afterAutospacing="0" w:line="0" w:lineRule="atLeast"/>
                    <w:ind w:left="0" w:right="0"/>
                    <w:rPr>
                      <w:rFonts w:hint="default"/>
                      <w:b/>
                      <w:bCs/>
                      <w:color w:val="auto"/>
                    </w:rPr>
                  </w:pPr>
                  <w:r>
                    <w:rPr>
                      <w:rFonts w:hint="default"/>
                      <w:b/>
                      <w:bCs/>
                      <w:color w:val="auto"/>
                    </w:rPr>
                    <w:t>简易防渗区：</w:t>
                  </w:r>
                </w:p>
                <w:p w14:paraId="3C77DF03">
                  <w:pPr>
                    <w:keepNext w:val="0"/>
                    <w:keepLines w:val="0"/>
                    <w:suppressLineNumbers w:val="0"/>
                    <w:spacing w:before="0" w:beforeAutospacing="0" w:after="0" w:afterAutospacing="0" w:line="0" w:lineRule="atLeast"/>
                    <w:ind w:left="0" w:right="0"/>
                    <w:rPr>
                      <w:rFonts w:hint="default"/>
                      <w:bCs/>
                      <w:color w:val="auto"/>
                      <w:szCs w:val="21"/>
                    </w:rPr>
                  </w:pPr>
                  <w:r>
                    <w:rPr>
                      <w:rFonts w:hint="default"/>
                      <w:bCs/>
                      <w:color w:val="auto"/>
                      <w:szCs w:val="21"/>
                    </w:rPr>
                    <w:t>办公室、值班室、机房、井场道路等采用砂石黏土碾压方式进行防渗。</w:t>
                  </w:r>
                </w:p>
              </w:tc>
            </w:tr>
            <w:tr w14:paraId="4AF9ED5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315" w:hRule="atLeast"/>
                <w:jc w:val="center"/>
              </w:trPr>
              <w:tc>
                <w:tcPr>
                  <w:tcW w:w="606" w:type="pct"/>
                  <w:vMerge w:val="continue"/>
                  <w:noWrap w:val="0"/>
                  <w:vAlign w:val="center"/>
                </w:tcPr>
                <w:p w14:paraId="78CD4762">
                  <w:pPr>
                    <w:keepNext w:val="0"/>
                    <w:keepLines w:val="0"/>
                    <w:widowControl/>
                    <w:suppressLineNumbers w:val="0"/>
                    <w:spacing w:before="0" w:beforeAutospacing="0" w:after="0" w:afterAutospacing="0"/>
                    <w:ind w:left="0" w:right="0"/>
                    <w:jc w:val="left"/>
                    <w:rPr>
                      <w:rFonts w:hint="default"/>
                      <w:color w:val="auto"/>
                      <w:szCs w:val="21"/>
                    </w:rPr>
                  </w:pPr>
                </w:p>
              </w:tc>
              <w:tc>
                <w:tcPr>
                  <w:tcW w:w="867" w:type="pct"/>
                  <w:gridSpan w:val="2"/>
                  <w:noWrap w:val="0"/>
                  <w:vAlign w:val="center"/>
                </w:tcPr>
                <w:p w14:paraId="33169CD1">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生态环境</w:t>
                  </w:r>
                </w:p>
              </w:tc>
              <w:tc>
                <w:tcPr>
                  <w:tcW w:w="3525" w:type="pct"/>
                  <w:noWrap w:val="0"/>
                  <w:vAlign w:val="center"/>
                </w:tcPr>
                <w:p w14:paraId="6EF2209D">
                  <w:pPr>
                    <w:keepNext w:val="0"/>
                    <w:keepLines w:val="0"/>
                    <w:suppressLineNumbers w:val="0"/>
                    <w:spacing w:before="0" w:beforeAutospacing="0" w:after="0" w:afterAutospacing="0"/>
                    <w:ind w:left="0" w:right="0"/>
                    <w:rPr>
                      <w:rFonts w:hint="eastAsia"/>
                      <w:color w:val="auto"/>
                    </w:rPr>
                  </w:pPr>
                  <w:r>
                    <w:rPr>
                      <w:rFonts w:hint="eastAsia"/>
                      <w:color w:val="auto"/>
                      <w:lang w:eastAsia="zh-CN"/>
                    </w:rPr>
                    <w:t>井场、进场道路：</w:t>
                  </w:r>
                  <w:r>
                    <w:rPr>
                      <w:rFonts w:hint="default"/>
                      <w:color w:val="auto"/>
                    </w:rPr>
                    <w:t>勘探施工前将</w:t>
                  </w:r>
                  <w:r>
                    <w:rPr>
                      <w:rFonts w:hint="eastAsia"/>
                      <w:color w:val="auto"/>
                      <w:lang w:eastAsia="zh-CN"/>
                    </w:rPr>
                    <w:t>临时占地进行</w:t>
                  </w:r>
                  <w:r>
                    <w:rPr>
                      <w:rFonts w:hint="default"/>
                      <w:color w:val="auto"/>
                    </w:rPr>
                    <w:t>表层剥离，剥离厚度为0.30m</w:t>
                  </w:r>
                  <w:r>
                    <w:rPr>
                      <w:rFonts w:hint="eastAsia"/>
                      <w:color w:val="auto"/>
                    </w:rPr>
                    <w:t>，</w:t>
                  </w:r>
                  <w:r>
                    <w:rPr>
                      <w:rFonts w:hint="eastAsia"/>
                      <w:color w:val="auto"/>
                      <w:lang w:eastAsia="zh-CN"/>
                    </w:rPr>
                    <w:t>勘探施工结束后循序回填。</w:t>
                  </w:r>
                  <w:r>
                    <w:rPr>
                      <w:rFonts w:hint="default"/>
                      <w:color w:val="auto"/>
                    </w:rPr>
                    <w:t>在井场临时占地范围内</w:t>
                  </w:r>
                  <w:r>
                    <w:rPr>
                      <w:rFonts w:hint="eastAsia"/>
                      <w:color w:val="auto"/>
                    </w:rPr>
                    <w:t>设置</w:t>
                  </w:r>
                  <w:r>
                    <w:rPr>
                      <w:rFonts w:hint="default"/>
                      <w:color w:val="auto"/>
                    </w:rPr>
                    <w:t>表土堆</w:t>
                  </w:r>
                  <w:r>
                    <w:rPr>
                      <w:rFonts w:hint="eastAsia"/>
                      <w:color w:val="auto"/>
                      <w:lang w:eastAsia="zh-CN"/>
                    </w:rPr>
                    <w:t>存</w:t>
                  </w:r>
                  <w:r>
                    <w:rPr>
                      <w:rFonts w:hint="default"/>
                      <w:color w:val="auto"/>
                    </w:rPr>
                    <w:t>区</w:t>
                  </w:r>
                  <w:r>
                    <w:rPr>
                      <w:rFonts w:hint="eastAsia"/>
                      <w:color w:val="auto"/>
                    </w:rPr>
                    <w:t>。</w:t>
                  </w:r>
                </w:p>
                <w:p w14:paraId="4F5E8F8D">
                  <w:pPr>
                    <w:keepNext w:val="0"/>
                    <w:keepLines w:val="0"/>
                    <w:suppressLineNumbers w:val="0"/>
                    <w:spacing w:before="0" w:beforeAutospacing="0" w:after="0" w:afterAutospacing="0"/>
                    <w:ind w:left="0" w:right="0"/>
                    <w:rPr>
                      <w:rFonts w:hint="eastAsia"/>
                      <w:color w:val="auto"/>
                      <w:lang w:eastAsia="zh-CN"/>
                    </w:rPr>
                  </w:pPr>
                  <w:r>
                    <w:rPr>
                      <w:rFonts w:hint="eastAsia"/>
                      <w:color w:val="auto"/>
                      <w:lang w:eastAsia="zh-CN"/>
                    </w:rPr>
                    <w:t>表土堆存区：本工程实施表土剥离，剥离厚度为0.30m，土壤剥离、开挖、堆放，在土壤堆存期间，为了防止水力与风力的侵蚀，用盖土网覆盖，对施工场地临时堆表土进行拦挡防护，勘探施工结束后循序回填，翻耕复垦。</w:t>
                  </w:r>
                </w:p>
                <w:p w14:paraId="629F69D0">
                  <w:pPr>
                    <w:keepNext w:val="0"/>
                    <w:keepLines w:val="0"/>
                    <w:suppressLineNumbers w:val="0"/>
                    <w:spacing w:before="0" w:beforeAutospacing="0" w:after="0" w:afterAutospacing="0"/>
                    <w:ind w:left="0" w:right="0"/>
                    <w:rPr>
                      <w:rFonts w:hint="eastAsia"/>
                      <w:color w:val="auto"/>
                      <w:lang w:eastAsia="zh-CN"/>
                    </w:rPr>
                  </w:pPr>
                  <w:r>
                    <w:rPr>
                      <w:rFonts w:hint="eastAsia"/>
                      <w:color w:val="auto"/>
                      <w:lang w:eastAsia="zh-CN"/>
                    </w:rPr>
                    <w:t>原料堆存区、柴油储罐区、危废暂存区、固废临暂存区、泥浆不落地处理装置区、办公生活区：本工程实施表土剥离，剥离厚度为0.30m，土壤剥离、开挖、堆放；勘探施工结束后先拆除设备，再循序回填。</w:t>
                  </w:r>
                </w:p>
                <w:p w14:paraId="150DDFF3">
                  <w:pPr>
                    <w:keepNext w:val="0"/>
                    <w:keepLines w:val="0"/>
                    <w:suppressLineNumbers w:val="0"/>
                    <w:spacing w:before="0" w:beforeAutospacing="0" w:after="0" w:afterAutospacing="0"/>
                    <w:ind w:left="0" w:right="0"/>
                    <w:rPr>
                      <w:rFonts w:hint="default"/>
                      <w:color w:val="auto"/>
                    </w:rPr>
                  </w:pPr>
                  <w:r>
                    <w:rPr>
                      <w:rFonts w:hint="default"/>
                      <w:color w:val="auto"/>
                    </w:rPr>
                    <w:t>勘探施工结束后</w:t>
                  </w:r>
                  <w:r>
                    <w:rPr>
                      <w:rFonts w:hint="eastAsia"/>
                      <w:color w:val="auto"/>
                      <w:lang w:eastAsia="zh-CN"/>
                    </w:rPr>
                    <w:t>临时占地</w:t>
                  </w:r>
                  <w:r>
                    <w:rPr>
                      <w:rFonts w:hint="default"/>
                      <w:color w:val="auto"/>
                    </w:rPr>
                    <w:t>回填土必须覆土，最后将表层比较肥沃的土铺在最上层。</w:t>
                  </w:r>
                  <w:r>
                    <w:rPr>
                      <w:rFonts w:hint="eastAsia"/>
                      <w:color w:val="auto"/>
                    </w:rPr>
                    <w:t>按照</w:t>
                  </w:r>
                  <w:r>
                    <w:rPr>
                      <w:rFonts w:hint="default"/>
                      <w:color w:val="auto"/>
                    </w:rPr>
                    <w:t>复垦计划</w:t>
                  </w:r>
                  <w:r>
                    <w:rPr>
                      <w:rFonts w:hint="eastAsia"/>
                      <w:color w:val="auto"/>
                    </w:rPr>
                    <w:t>，</w:t>
                  </w:r>
                  <w:r>
                    <w:rPr>
                      <w:rFonts w:hint="default"/>
                      <w:color w:val="auto"/>
                    </w:rPr>
                    <w:t>对临时占地进行植被恢复工作，根据因地制宜的原则视具体情况实施。</w:t>
                  </w:r>
                </w:p>
              </w:tc>
            </w:tr>
          </w:tbl>
          <w:p w14:paraId="4D59844A">
            <w:pPr>
              <w:keepNext w:val="0"/>
              <w:keepLines w:val="0"/>
              <w:suppressLineNumbers w:val="0"/>
              <w:adjustRightInd w:val="0"/>
              <w:snapToGrid w:val="0"/>
              <w:spacing w:before="0" w:beforeAutospacing="0" w:after="0" w:afterAutospacing="0" w:line="360" w:lineRule="auto"/>
              <w:ind w:left="0" w:right="0" w:firstLine="482" w:firstLineChars="200"/>
              <w:rPr>
                <w:rFonts w:hint="default"/>
                <w:b/>
                <w:color w:val="auto"/>
                <w:sz w:val="24"/>
              </w:rPr>
            </w:pPr>
            <w:r>
              <w:rPr>
                <w:rFonts w:hint="eastAsia"/>
                <w:b/>
                <w:color w:val="auto"/>
                <w:sz w:val="24"/>
              </w:rPr>
              <w:t>1</w:t>
            </w:r>
            <w:r>
              <w:rPr>
                <w:rFonts w:hint="default"/>
                <w:b/>
                <w:color w:val="auto"/>
                <w:sz w:val="24"/>
              </w:rPr>
              <w:t>、项目主要设备</w:t>
            </w:r>
          </w:p>
          <w:p w14:paraId="531E9103">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（1）钻井设备</w:t>
            </w:r>
          </w:p>
          <w:p w14:paraId="1B9EA54D">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依据</w:t>
            </w:r>
            <w:r>
              <w:rPr>
                <w:rFonts w:hint="eastAsia"/>
                <w:color w:val="auto"/>
                <w:sz w:val="24"/>
                <w:lang w:eastAsia="zh-CN"/>
              </w:rPr>
              <w:t>本工程</w:t>
            </w:r>
            <w:r>
              <w:rPr>
                <w:rFonts w:hint="default"/>
                <w:color w:val="auto"/>
                <w:sz w:val="24"/>
              </w:rPr>
              <w:t>勘探井工程设计，勘探井钻机主要设备包括钻机、井架、提升系统、转盘、循环系统、普通钻机动力系统、发电机组、钻机控制系统、固控系统、井控系统等。</w:t>
            </w:r>
            <w:r>
              <w:rPr>
                <w:rFonts w:hint="eastAsia"/>
                <w:color w:val="auto"/>
                <w:sz w:val="24"/>
                <w:lang w:eastAsia="zh-CN"/>
              </w:rPr>
              <w:t>本工程</w:t>
            </w:r>
            <w:r>
              <w:rPr>
                <w:rFonts w:hint="default"/>
                <w:color w:val="auto"/>
                <w:sz w:val="24"/>
              </w:rPr>
              <w:t>选用ZJ70DB系列钻机，项目主要设备见下表。</w:t>
            </w:r>
          </w:p>
          <w:p w14:paraId="528FAC8E">
            <w:pPr>
              <w:keepNext w:val="0"/>
              <w:keepLines w:val="0"/>
              <w:suppressLineNumbers w:val="0"/>
              <w:spacing w:before="0" w:beforeAutospacing="0" w:after="0" w:afterAutospacing="0"/>
              <w:ind w:left="0" w:right="0"/>
              <w:jc w:val="center"/>
              <w:rPr>
                <w:rFonts w:hint="eastAsia" w:eastAsia="宋体"/>
                <w:b/>
                <w:color w:val="auto"/>
                <w:sz w:val="24"/>
                <w:lang w:eastAsia="zh-CN"/>
              </w:rPr>
            </w:pPr>
            <w:r>
              <w:rPr>
                <w:rFonts w:hint="default"/>
                <w:b/>
                <w:color w:val="auto"/>
                <w:sz w:val="24"/>
              </w:rPr>
              <w:t>表</w:t>
            </w:r>
            <w:r>
              <w:rPr>
                <w:rFonts w:hint="eastAsia"/>
                <w:b/>
                <w:color w:val="auto"/>
                <w:sz w:val="24"/>
              </w:rPr>
              <w:t>2</w:t>
            </w:r>
            <w:r>
              <w:rPr>
                <w:rFonts w:hint="default"/>
                <w:b/>
                <w:color w:val="auto"/>
                <w:sz w:val="24"/>
              </w:rPr>
              <w:t>-</w:t>
            </w:r>
            <w:r>
              <w:rPr>
                <w:rFonts w:hint="eastAsia"/>
                <w:b/>
                <w:color w:val="auto"/>
                <w:sz w:val="24"/>
              </w:rPr>
              <w:t xml:space="preserve">2 </w:t>
            </w:r>
            <w:r>
              <w:rPr>
                <w:rFonts w:hint="default"/>
                <w:b/>
                <w:color w:val="auto"/>
                <w:sz w:val="24"/>
              </w:rPr>
              <w:t>项目</w:t>
            </w:r>
            <w:r>
              <w:rPr>
                <w:rFonts w:hint="eastAsia"/>
                <w:b/>
                <w:color w:val="auto"/>
                <w:sz w:val="24"/>
              </w:rPr>
              <w:t>ZJ70DB系列钻机</w:t>
            </w:r>
            <w:r>
              <w:rPr>
                <w:rFonts w:hint="default"/>
                <w:b/>
                <w:color w:val="auto"/>
                <w:sz w:val="24"/>
              </w:rPr>
              <w:t>主要设备一览表</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555"/>
              <w:gridCol w:w="717"/>
              <w:gridCol w:w="2070"/>
              <w:gridCol w:w="2308"/>
              <w:gridCol w:w="896"/>
              <w:gridCol w:w="1824"/>
            </w:tblGrid>
            <w:tr w14:paraId="016B26B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noWrap w:val="0"/>
                  <w:vAlign w:val="center"/>
                </w:tcPr>
                <w:p w14:paraId="542FC43B">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序号</w:t>
                  </w:r>
                </w:p>
              </w:tc>
              <w:tc>
                <w:tcPr>
                  <w:tcW w:w="1664" w:type="pct"/>
                  <w:gridSpan w:val="2"/>
                  <w:noWrap w:val="0"/>
                  <w:vAlign w:val="center"/>
                </w:tcPr>
                <w:p w14:paraId="531808FF">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名称</w:t>
                  </w:r>
                </w:p>
              </w:tc>
              <w:tc>
                <w:tcPr>
                  <w:tcW w:w="1378" w:type="pct"/>
                  <w:noWrap w:val="0"/>
                  <w:vAlign w:val="center"/>
                </w:tcPr>
                <w:p w14:paraId="7559231A">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型号</w:t>
                  </w:r>
                </w:p>
              </w:tc>
              <w:tc>
                <w:tcPr>
                  <w:tcW w:w="535" w:type="pct"/>
                  <w:noWrap w:val="0"/>
                  <w:vAlign w:val="center"/>
                </w:tcPr>
                <w:p w14:paraId="6E075D58">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数量</w:t>
                  </w:r>
                </w:p>
              </w:tc>
              <w:tc>
                <w:tcPr>
                  <w:tcW w:w="1089" w:type="pct"/>
                  <w:noWrap w:val="0"/>
                  <w:vAlign w:val="center"/>
                </w:tcPr>
                <w:p w14:paraId="49ED790E">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备注</w:t>
                  </w:r>
                </w:p>
              </w:tc>
            </w:tr>
            <w:tr w14:paraId="4C87FDE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noWrap w:val="0"/>
                  <w:vAlign w:val="center"/>
                </w:tcPr>
                <w:p w14:paraId="004D52B3">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w:t>
                  </w:r>
                </w:p>
              </w:tc>
              <w:tc>
                <w:tcPr>
                  <w:tcW w:w="1664" w:type="pct"/>
                  <w:gridSpan w:val="2"/>
                  <w:noWrap w:val="0"/>
                  <w:vAlign w:val="center"/>
                </w:tcPr>
                <w:p w14:paraId="6C521AE8">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钻机</w:t>
                  </w:r>
                </w:p>
              </w:tc>
              <w:tc>
                <w:tcPr>
                  <w:tcW w:w="1378" w:type="pct"/>
                  <w:noWrap w:val="0"/>
                  <w:vAlign w:val="center"/>
                </w:tcPr>
                <w:p w14:paraId="027F515E">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70DB</w:t>
                  </w:r>
                </w:p>
              </w:tc>
              <w:tc>
                <w:tcPr>
                  <w:tcW w:w="535" w:type="pct"/>
                  <w:noWrap w:val="0"/>
                  <w:vAlign w:val="center"/>
                </w:tcPr>
                <w:p w14:paraId="48AD567A">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w:t>
                  </w:r>
                </w:p>
              </w:tc>
              <w:tc>
                <w:tcPr>
                  <w:tcW w:w="1089" w:type="pct"/>
                  <w:noWrap w:val="0"/>
                  <w:vAlign w:val="center"/>
                </w:tcPr>
                <w:p w14:paraId="731868FF">
                  <w:pPr>
                    <w:keepNext w:val="0"/>
                    <w:keepLines w:val="0"/>
                    <w:suppressLineNumbers w:val="0"/>
                    <w:spacing w:before="0" w:beforeAutospacing="0" w:after="0" w:afterAutospacing="0" w:line="0" w:lineRule="atLeast"/>
                    <w:ind w:left="0" w:right="0"/>
                    <w:jc w:val="center"/>
                    <w:rPr>
                      <w:rFonts w:hint="default"/>
                      <w:color w:val="auto"/>
                      <w:szCs w:val="21"/>
                    </w:rPr>
                  </w:pPr>
                </w:p>
              </w:tc>
            </w:tr>
            <w:tr w14:paraId="5FF07EF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noWrap w:val="0"/>
                  <w:vAlign w:val="center"/>
                </w:tcPr>
                <w:p w14:paraId="33B24B29">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2</w:t>
                  </w:r>
                </w:p>
              </w:tc>
              <w:tc>
                <w:tcPr>
                  <w:tcW w:w="1664" w:type="pct"/>
                  <w:gridSpan w:val="2"/>
                  <w:noWrap w:val="0"/>
                  <w:vAlign w:val="center"/>
                </w:tcPr>
                <w:p w14:paraId="5DEFD776">
                  <w:pPr>
                    <w:keepNext w:val="0"/>
                    <w:keepLines w:val="0"/>
                    <w:suppressLineNumbers w:val="0"/>
                    <w:snapToGrid w:val="0"/>
                    <w:spacing w:before="0" w:beforeAutospacing="0" w:after="0" w:afterAutospacing="0" w:line="0" w:lineRule="atLeast"/>
                    <w:ind w:left="0" w:right="0"/>
                    <w:jc w:val="center"/>
                    <w:rPr>
                      <w:rFonts w:hint="default"/>
                      <w:color w:val="auto"/>
                      <w:szCs w:val="21"/>
                    </w:rPr>
                  </w:pPr>
                  <w:r>
                    <w:rPr>
                      <w:rFonts w:hint="default"/>
                      <w:color w:val="auto"/>
                      <w:szCs w:val="21"/>
                    </w:rPr>
                    <w:t>井架</w:t>
                  </w:r>
                </w:p>
              </w:tc>
              <w:tc>
                <w:tcPr>
                  <w:tcW w:w="1378" w:type="pct"/>
                  <w:noWrap w:val="0"/>
                  <w:vAlign w:val="center"/>
                </w:tcPr>
                <w:p w14:paraId="3060CDFA">
                  <w:pPr>
                    <w:keepNext w:val="0"/>
                    <w:keepLines w:val="0"/>
                    <w:suppressLineNumbers w:val="0"/>
                    <w:tabs>
                      <w:tab w:val="left" w:pos="105"/>
                      <w:tab w:val="left" w:pos="420"/>
                      <w:tab w:val="left" w:pos="1680"/>
                      <w:tab w:val="left" w:pos="1890"/>
                      <w:tab w:val="left" w:pos="1995"/>
                    </w:tabs>
                    <w:snapToGrid w:val="0"/>
                    <w:spacing w:before="0" w:beforeAutospacing="0" w:after="0" w:afterAutospacing="0" w:line="0" w:lineRule="atLeast"/>
                    <w:ind w:left="0" w:right="0"/>
                    <w:jc w:val="center"/>
                    <w:rPr>
                      <w:rFonts w:hint="default"/>
                      <w:color w:val="auto"/>
                      <w:szCs w:val="21"/>
                    </w:rPr>
                  </w:pPr>
                  <w:r>
                    <w:rPr>
                      <w:rFonts w:hint="default"/>
                      <w:color w:val="auto"/>
                      <w:szCs w:val="21"/>
                    </w:rPr>
                    <w:t>70DB</w:t>
                  </w:r>
                </w:p>
              </w:tc>
              <w:tc>
                <w:tcPr>
                  <w:tcW w:w="535" w:type="pct"/>
                  <w:noWrap w:val="0"/>
                  <w:vAlign w:val="center"/>
                </w:tcPr>
                <w:p w14:paraId="3208E87F">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w:t>
                  </w:r>
                </w:p>
              </w:tc>
              <w:tc>
                <w:tcPr>
                  <w:tcW w:w="1089" w:type="pct"/>
                  <w:noWrap w:val="0"/>
                  <w:vAlign w:val="center"/>
                </w:tcPr>
                <w:p w14:paraId="5B480632">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底座高度：10.5m</w:t>
                  </w:r>
                </w:p>
              </w:tc>
            </w:tr>
            <w:tr w14:paraId="15D1293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vMerge w:val="restart"/>
                  <w:noWrap w:val="0"/>
                  <w:vAlign w:val="center"/>
                </w:tcPr>
                <w:p w14:paraId="4F3FD784">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3</w:t>
                  </w:r>
                </w:p>
              </w:tc>
              <w:tc>
                <w:tcPr>
                  <w:tcW w:w="428" w:type="pct"/>
                  <w:vMerge w:val="restart"/>
                  <w:noWrap w:val="0"/>
                  <w:vAlign w:val="center"/>
                </w:tcPr>
                <w:p w14:paraId="2CC52F42">
                  <w:pPr>
                    <w:keepNext w:val="0"/>
                    <w:keepLines w:val="0"/>
                    <w:suppressLineNumbers w:val="0"/>
                    <w:snapToGrid w:val="0"/>
                    <w:spacing w:before="0" w:beforeAutospacing="0" w:after="0" w:afterAutospacing="0" w:line="0" w:lineRule="atLeast"/>
                    <w:ind w:left="0" w:right="0"/>
                    <w:jc w:val="center"/>
                    <w:rPr>
                      <w:rFonts w:hint="default"/>
                      <w:color w:val="auto"/>
                      <w:szCs w:val="21"/>
                    </w:rPr>
                  </w:pPr>
                  <w:r>
                    <w:rPr>
                      <w:rFonts w:hint="default"/>
                      <w:color w:val="auto"/>
                      <w:szCs w:val="21"/>
                    </w:rPr>
                    <w:t>提升系统</w:t>
                  </w:r>
                </w:p>
              </w:tc>
              <w:tc>
                <w:tcPr>
                  <w:tcW w:w="1235" w:type="pct"/>
                  <w:noWrap w:val="0"/>
                  <w:vAlign w:val="center"/>
                </w:tcPr>
                <w:p w14:paraId="4B97E3CF">
                  <w:pPr>
                    <w:keepNext w:val="0"/>
                    <w:keepLines w:val="0"/>
                    <w:suppressLineNumbers w:val="0"/>
                    <w:snapToGrid w:val="0"/>
                    <w:spacing w:before="0" w:beforeAutospacing="0" w:after="0" w:afterAutospacing="0" w:line="0" w:lineRule="atLeast"/>
                    <w:ind w:left="0" w:right="0"/>
                    <w:jc w:val="center"/>
                    <w:rPr>
                      <w:rFonts w:hint="default"/>
                      <w:color w:val="auto"/>
                      <w:szCs w:val="21"/>
                    </w:rPr>
                  </w:pPr>
                  <w:r>
                    <w:rPr>
                      <w:rFonts w:hint="default"/>
                      <w:color w:val="auto"/>
                      <w:szCs w:val="21"/>
                    </w:rPr>
                    <w:t>绞车</w:t>
                  </w:r>
                </w:p>
              </w:tc>
              <w:tc>
                <w:tcPr>
                  <w:tcW w:w="1378" w:type="pct"/>
                  <w:noWrap w:val="0"/>
                  <w:vAlign w:val="center"/>
                </w:tcPr>
                <w:p w14:paraId="311F2EC3">
                  <w:pPr>
                    <w:keepNext w:val="0"/>
                    <w:keepLines w:val="0"/>
                    <w:suppressLineNumbers w:val="0"/>
                    <w:tabs>
                      <w:tab w:val="left" w:pos="105"/>
                      <w:tab w:val="left" w:pos="420"/>
                      <w:tab w:val="left" w:pos="1680"/>
                      <w:tab w:val="left" w:pos="1890"/>
                      <w:tab w:val="left" w:pos="1995"/>
                    </w:tabs>
                    <w:snapToGrid w:val="0"/>
                    <w:spacing w:before="0" w:beforeAutospacing="0" w:after="0" w:afterAutospacing="0" w:line="0" w:lineRule="atLeast"/>
                    <w:ind w:left="0" w:right="0"/>
                    <w:jc w:val="center"/>
                    <w:rPr>
                      <w:rFonts w:hint="default"/>
                      <w:color w:val="auto"/>
                      <w:szCs w:val="21"/>
                    </w:rPr>
                  </w:pPr>
                  <w:r>
                    <w:rPr>
                      <w:rFonts w:hint="default"/>
                      <w:color w:val="auto"/>
                      <w:szCs w:val="21"/>
                    </w:rPr>
                    <w:t>JC70DB</w:t>
                  </w:r>
                </w:p>
              </w:tc>
              <w:tc>
                <w:tcPr>
                  <w:tcW w:w="535" w:type="pct"/>
                  <w:noWrap w:val="0"/>
                  <w:vAlign w:val="center"/>
                </w:tcPr>
                <w:p w14:paraId="515AE0A5">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w:t>
                  </w:r>
                </w:p>
              </w:tc>
              <w:tc>
                <w:tcPr>
                  <w:tcW w:w="1089" w:type="pct"/>
                  <w:noWrap w:val="0"/>
                  <w:vAlign w:val="center"/>
                </w:tcPr>
                <w:p w14:paraId="01757186">
                  <w:pPr>
                    <w:keepNext w:val="0"/>
                    <w:keepLines w:val="0"/>
                    <w:suppressLineNumbers w:val="0"/>
                    <w:spacing w:before="0" w:beforeAutospacing="0" w:after="0" w:afterAutospacing="0" w:line="0" w:lineRule="atLeast"/>
                    <w:ind w:left="0" w:right="0"/>
                    <w:jc w:val="center"/>
                    <w:rPr>
                      <w:rFonts w:hint="default"/>
                      <w:color w:val="auto"/>
                      <w:szCs w:val="21"/>
                    </w:rPr>
                  </w:pPr>
                </w:p>
              </w:tc>
            </w:tr>
            <w:tr w14:paraId="66EA21D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vMerge w:val="continue"/>
                  <w:noWrap w:val="0"/>
                  <w:vAlign w:val="center"/>
                </w:tcPr>
                <w:p w14:paraId="5C194439">
                  <w:pPr>
                    <w:keepNext w:val="0"/>
                    <w:keepLines w:val="0"/>
                    <w:suppressLineNumbers w:val="0"/>
                    <w:spacing w:before="0" w:beforeAutospacing="0" w:after="0" w:afterAutospacing="0" w:line="0" w:lineRule="atLeast"/>
                    <w:ind w:left="0" w:right="0"/>
                    <w:jc w:val="center"/>
                    <w:rPr>
                      <w:rFonts w:hint="default"/>
                      <w:color w:val="auto"/>
                      <w:szCs w:val="21"/>
                    </w:rPr>
                  </w:pPr>
                </w:p>
              </w:tc>
              <w:tc>
                <w:tcPr>
                  <w:tcW w:w="428" w:type="pct"/>
                  <w:vMerge w:val="continue"/>
                  <w:noWrap w:val="0"/>
                  <w:vAlign w:val="center"/>
                </w:tcPr>
                <w:p w14:paraId="23225BC6">
                  <w:pPr>
                    <w:keepNext w:val="0"/>
                    <w:keepLines w:val="0"/>
                    <w:suppressLineNumbers w:val="0"/>
                    <w:spacing w:before="0" w:beforeAutospacing="0" w:after="0" w:afterAutospacing="0" w:line="0" w:lineRule="atLeast"/>
                    <w:ind w:left="0" w:right="0"/>
                    <w:jc w:val="center"/>
                    <w:rPr>
                      <w:rFonts w:hint="default"/>
                      <w:color w:val="auto"/>
                      <w:szCs w:val="21"/>
                    </w:rPr>
                  </w:pPr>
                </w:p>
              </w:tc>
              <w:tc>
                <w:tcPr>
                  <w:tcW w:w="1235" w:type="pct"/>
                  <w:noWrap w:val="0"/>
                  <w:vAlign w:val="center"/>
                </w:tcPr>
                <w:p w14:paraId="4DB60BE3">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天车</w:t>
                  </w:r>
                </w:p>
              </w:tc>
              <w:tc>
                <w:tcPr>
                  <w:tcW w:w="1378" w:type="pct"/>
                  <w:noWrap w:val="0"/>
                  <w:vAlign w:val="center"/>
                </w:tcPr>
                <w:p w14:paraId="0D5917DE">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TC450</w:t>
                  </w:r>
                </w:p>
              </w:tc>
              <w:tc>
                <w:tcPr>
                  <w:tcW w:w="535" w:type="pct"/>
                  <w:noWrap w:val="0"/>
                  <w:vAlign w:val="center"/>
                </w:tcPr>
                <w:p w14:paraId="2A184F68">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w:t>
                  </w:r>
                </w:p>
              </w:tc>
              <w:tc>
                <w:tcPr>
                  <w:tcW w:w="1089" w:type="pct"/>
                  <w:noWrap w:val="0"/>
                  <w:vAlign w:val="center"/>
                </w:tcPr>
                <w:p w14:paraId="0E2039F2">
                  <w:pPr>
                    <w:keepNext w:val="0"/>
                    <w:keepLines w:val="0"/>
                    <w:suppressLineNumbers w:val="0"/>
                    <w:spacing w:before="0" w:beforeAutospacing="0" w:after="0" w:afterAutospacing="0" w:line="0" w:lineRule="atLeast"/>
                    <w:ind w:left="0" w:right="0"/>
                    <w:jc w:val="center"/>
                    <w:rPr>
                      <w:rFonts w:hint="default"/>
                      <w:color w:val="auto"/>
                      <w:szCs w:val="21"/>
                    </w:rPr>
                  </w:pPr>
                </w:p>
              </w:tc>
            </w:tr>
            <w:tr w14:paraId="4104210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vMerge w:val="continue"/>
                  <w:noWrap w:val="0"/>
                  <w:vAlign w:val="center"/>
                </w:tcPr>
                <w:p w14:paraId="10D5FDC0">
                  <w:pPr>
                    <w:keepNext w:val="0"/>
                    <w:keepLines w:val="0"/>
                    <w:suppressLineNumbers w:val="0"/>
                    <w:spacing w:before="0" w:beforeAutospacing="0" w:after="0" w:afterAutospacing="0" w:line="0" w:lineRule="atLeast"/>
                    <w:ind w:left="0" w:right="0"/>
                    <w:jc w:val="center"/>
                    <w:rPr>
                      <w:rFonts w:hint="default"/>
                      <w:color w:val="auto"/>
                      <w:szCs w:val="21"/>
                    </w:rPr>
                  </w:pPr>
                </w:p>
              </w:tc>
              <w:tc>
                <w:tcPr>
                  <w:tcW w:w="428" w:type="pct"/>
                  <w:vMerge w:val="continue"/>
                  <w:noWrap w:val="0"/>
                  <w:vAlign w:val="center"/>
                </w:tcPr>
                <w:p w14:paraId="450100EE">
                  <w:pPr>
                    <w:keepNext w:val="0"/>
                    <w:keepLines w:val="0"/>
                    <w:suppressLineNumbers w:val="0"/>
                    <w:spacing w:before="0" w:beforeAutospacing="0" w:after="0" w:afterAutospacing="0" w:line="0" w:lineRule="atLeast"/>
                    <w:ind w:left="0" w:right="0"/>
                    <w:jc w:val="center"/>
                    <w:rPr>
                      <w:rFonts w:hint="default"/>
                      <w:color w:val="auto"/>
                      <w:szCs w:val="21"/>
                    </w:rPr>
                  </w:pPr>
                </w:p>
              </w:tc>
              <w:tc>
                <w:tcPr>
                  <w:tcW w:w="1235" w:type="pct"/>
                  <w:noWrap w:val="0"/>
                  <w:vAlign w:val="center"/>
                </w:tcPr>
                <w:p w14:paraId="5A1DE6E5">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游动滑车</w:t>
                  </w:r>
                </w:p>
              </w:tc>
              <w:tc>
                <w:tcPr>
                  <w:tcW w:w="1378" w:type="pct"/>
                  <w:noWrap w:val="0"/>
                  <w:vAlign w:val="center"/>
                </w:tcPr>
                <w:p w14:paraId="38F4DDC0">
                  <w:pPr>
                    <w:keepNext w:val="0"/>
                    <w:keepLines w:val="0"/>
                    <w:suppressLineNumbers w:val="0"/>
                    <w:spacing w:before="0" w:beforeAutospacing="0" w:after="0" w:afterAutospacing="0" w:line="0" w:lineRule="atLeast"/>
                    <w:ind w:left="0" w:right="0"/>
                    <w:jc w:val="center"/>
                    <w:rPr>
                      <w:rFonts w:hint="default"/>
                      <w:color w:val="auto"/>
                      <w:szCs w:val="21"/>
                    </w:rPr>
                  </w:pPr>
                  <w:r>
                    <w:rPr>
                      <w:rFonts w:hint="eastAsia"/>
                      <w:color w:val="auto"/>
                      <w:szCs w:val="21"/>
                    </w:rPr>
                    <w:t>T</w:t>
                  </w:r>
                  <w:r>
                    <w:rPr>
                      <w:rFonts w:hint="default"/>
                      <w:color w:val="auto"/>
                      <w:szCs w:val="21"/>
                    </w:rPr>
                    <w:t>C450</w:t>
                  </w:r>
                </w:p>
              </w:tc>
              <w:tc>
                <w:tcPr>
                  <w:tcW w:w="535" w:type="pct"/>
                  <w:noWrap w:val="0"/>
                  <w:vAlign w:val="center"/>
                </w:tcPr>
                <w:p w14:paraId="2D526ABF">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w:t>
                  </w:r>
                </w:p>
              </w:tc>
              <w:tc>
                <w:tcPr>
                  <w:tcW w:w="1089" w:type="pct"/>
                  <w:noWrap w:val="0"/>
                  <w:vAlign w:val="center"/>
                </w:tcPr>
                <w:p w14:paraId="0CDD9561">
                  <w:pPr>
                    <w:keepNext w:val="0"/>
                    <w:keepLines w:val="0"/>
                    <w:suppressLineNumbers w:val="0"/>
                    <w:spacing w:before="0" w:beforeAutospacing="0" w:after="0" w:afterAutospacing="0" w:line="0" w:lineRule="atLeast"/>
                    <w:ind w:left="0" w:right="0"/>
                    <w:jc w:val="center"/>
                    <w:rPr>
                      <w:rFonts w:hint="default"/>
                      <w:color w:val="auto"/>
                      <w:szCs w:val="21"/>
                    </w:rPr>
                  </w:pPr>
                </w:p>
              </w:tc>
            </w:tr>
            <w:tr w14:paraId="032F3EB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97" w:hRule="atLeast"/>
                <w:jc w:val="center"/>
              </w:trPr>
              <w:tc>
                <w:tcPr>
                  <w:tcW w:w="332" w:type="pct"/>
                  <w:vMerge w:val="continue"/>
                  <w:noWrap w:val="0"/>
                  <w:vAlign w:val="center"/>
                </w:tcPr>
                <w:p w14:paraId="4A33D1A0">
                  <w:pPr>
                    <w:keepNext w:val="0"/>
                    <w:keepLines w:val="0"/>
                    <w:suppressLineNumbers w:val="0"/>
                    <w:spacing w:before="0" w:beforeAutospacing="0" w:after="0" w:afterAutospacing="0" w:line="0" w:lineRule="atLeast"/>
                    <w:ind w:left="0" w:right="0"/>
                    <w:jc w:val="center"/>
                    <w:rPr>
                      <w:rFonts w:hint="default"/>
                      <w:color w:val="auto"/>
                      <w:szCs w:val="21"/>
                    </w:rPr>
                  </w:pPr>
                </w:p>
              </w:tc>
              <w:tc>
                <w:tcPr>
                  <w:tcW w:w="428" w:type="pct"/>
                  <w:vMerge w:val="continue"/>
                  <w:noWrap w:val="0"/>
                  <w:vAlign w:val="center"/>
                </w:tcPr>
                <w:p w14:paraId="7C39673C">
                  <w:pPr>
                    <w:keepNext w:val="0"/>
                    <w:keepLines w:val="0"/>
                    <w:suppressLineNumbers w:val="0"/>
                    <w:spacing w:before="0" w:beforeAutospacing="0" w:after="0" w:afterAutospacing="0" w:line="0" w:lineRule="atLeast"/>
                    <w:ind w:left="0" w:right="0"/>
                    <w:jc w:val="center"/>
                    <w:rPr>
                      <w:rFonts w:hint="default"/>
                      <w:color w:val="auto"/>
                      <w:szCs w:val="21"/>
                    </w:rPr>
                  </w:pPr>
                </w:p>
              </w:tc>
              <w:tc>
                <w:tcPr>
                  <w:tcW w:w="1235" w:type="pct"/>
                  <w:noWrap w:val="0"/>
                  <w:vAlign w:val="center"/>
                </w:tcPr>
                <w:p w14:paraId="791C1EB1">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大钩</w:t>
                  </w:r>
                </w:p>
              </w:tc>
              <w:tc>
                <w:tcPr>
                  <w:tcW w:w="1378" w:type="pct"/>
                  <w:noWrap w:val="0"/>
                  <w:vAlign w:val="center"/>
                </w:tcPr>
                <w:p w14:paraId="237C7427">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D</w:t>
                  </w:r>
                  <w:r>
                    <w:rPr>
                      <w:rFonts w:hint="eastAsia"/>
                      <w:color w:val="auto"/>
                      <w:szCs w:val="21"/>
                    </w:rPr>
                    <w:t>G</w:t>
                  </w:r>
                  <w:r>
                    <w:rPr>
                      <w:rFonts w:hint="default"/>
                      <w:color w:val="auto"/>
                      <w:szCs w:val="21"/>
                    </w:rPr>
                    <w:t>450</w:t>
                  </w:r>
                </w:p>
              </w:tc>
              <w:tc>
                <w:tcPr>
                  <w:tcW w:w="535" w:type="pct"/>
                  <w:noWrap w:val="0"/>
                  <w:vAlign w:val="center"/>
                </w:tcPr>
                <w:p w14:paraId="49C6A22E">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w:t>
                  </w:r>
                </w:p>
              </w:tc>
              <w:tc>
                <w:tcPr>
                  <w:tcW w:w="1089" w:type="pct"/>
                  <w:noWrap w:val="0"/>
                  <w:vAlign w:val="center"/>
                </w:tcPr>
                <w:p w14:paraId="1084D38E">
                  <w:pPr>
                    <w:keepNext w:val="0"/>
                    <w:keepLines w:val="0"/>
                    <w:suppressLineNumbers w:val="0"/>
                    <w:spacing w:before="0" w:beforeAutospacing="0" w:after="0" w:afterAutospacing="0" w:line="0" w:lineRule="atLeast"/>
                    <w:ind w:left="0" w:right="0"/>
                    <w:jc w:val="center"/>
                    <w:rPr>
                      <w:rFonts w:hint="default"/>
                      <w:color w:val="auto"/>
                      <w:szCs w:val="21"/>
                    </w:rPr>
                  </w:pPr>
                </w:p>
              </w:tc>
            </w:tr>
            <w:tr w14:paraId="5A5E65E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97" w:hRule="atLeast"/>
                <w:jc w:val="center"/>
              </w:trPr>
              <w:tc>
                <w:tcPr>
                  <w:tcW w:w="332" w:type="pct"/>
                  <w:vMerge w:val="continue"/>
                  <w:noWrap w:val="0"/>
                  <w:vAlign w:val="center"/>
                </w:tcPr>
                <w:p w14:paraId="547FF47B">
                  <w:pPr>
                    <w:keepNext w:val="0"/>
                    <w:keepLines w:val="0"/>
                    <w:suppressLineNumbers w:val="0"/>
                    <w:spacing w:before="0" w:beforeAutospacing="0" w:after="0" w:afterAutospacing="0" w:line="0" w:lineRule="atLeast"/>
                    <w:ind w:left="0" w:right="0"/>
                    <w:jc w:val="center"/>
                    <w:rPr>
                      <w:rFonts w:hint="default"/>
                      <w:color w:val="auto"/>
                      <w:szCs w:val="21"/>
                    </w:rPr>
                  </w:pPr>
                </w:p>
              </w:tc>
              <w:tc>
                <w:tcPr>
                  <w:tcW w:w="428" w:type="pct"/>
                  <w:vMerge w:val="continue"/>
                  <w:noWrap w:val="0"/>
                  <w:vAlign w:val="center"/>
                </w:tcPr>
                <w:p w14:paraId="0687E26D">
                  <w:pPr>
                    <w:keepNext w:val="0"/>
                    <w:keepLines w:val="0"/>
                    <w:suppressLineNumbers w:val="0"/>
                    <w:spacing w:before="0" w:beforeAutospacing="0" w:after="0" w:afterAutospacing="0" w:line="0" w:lineRule="atLeast"/>
                    <w:ind w:left="0" w:right="0"/>
                    <w:jc w:val="center"/>
                    <w:rPr>
                      <w:rFonts w:hint="default"/>
                      <w:color w:val="auto"/>
                      <w:szCs w:val="21"/>
                    </w:rPr>
                  </w:pPr>
                </w:p>
              </w:tc>
              <w:tc>
                <w:tcPr>
                  <w:tcW w:w="1235" w:type="pct"/>
                  <w:noWrap w:val="0"/>
                  <w:vAlign w:val="center"/>
                </w:tcPr>
                <w:p w14:paraId="5EBA5474">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水龙头</w:t>
                  </w:r>
                </w:p>
              </w:tc>
              <w:tc>
                <w:tcPr>
                  <w:tcW w:w="1378" w:type="pct"/>
                  <w:noWrap w:val="0"/>
                  <w:vAlign w:val="center"/>
                </w:tcPr>
                <w:p w14:paraId="5FA28C45">
                  <w:pPr>
                    <w:keepNext w:val="0"/>
                    <w:keepLines w:val="0"/>
                    <w:suppressLineNumbers w:val="0"/>
                    <w:spacing w:before="0" w:beforeAutospacing="0" w:after="0" w:afterAutospacing="0" w:line="0" w:lineRule="atLeast"/>
                    <w:ind w:left="0" w:right="0"/>
                    <w:jc w:val="center"/>
                    <w:rPr>
                      <w:rFonts w:hint="default"/>
                      <w:color w:val="auto"/>
                      <w:szCs w:val="21"/>
                    </w:rPr>
                  </w:pPr>
                  <w:r>
                    <w:rPr>
                      <w:rFonts w:hint="eastAsia"/>
                      <w:color w:val="auto"/>
                      <w:szCs w:val="21"/>
                    </w:rPr>
                    <w:t>SL</w:t>
                  </w:r>
                  <w:r>
                    <w:rPr>
                      <w:rFonts w:hint="default"/>
                      <w:color w:val="auto"/>
                      <w:szCs w:val="21"/>
                    </w:rPr>
                    <w:t>-450-5</w:t>
                  </w:r>
                </w:p>
              </w:tc>
              <w:tc>
                <w:tcPr>
                  <w:tcW w:w="535" w:type="pct"/>
                  <w:noWrap w:val="0"/>
                  <w:vAlign w:val="center"/>
                </w:tcPr>
                <w:p w14:paraId="1219C1BD">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w:t>
                  </w:r>
                </w:p>
              </w:tc>
              <w:tc>
                <w:tcPr>
                  <w:tcW w:w="1089" w:type="pct"/>
                  <w:noWrap w:val="0"/>
                  <w:vAlign w:val="center"/>
                </w:tcPr>
                <w:p w14:paraId="2C84C061">
                  <w:pPr>
                    <w:keepNext w:val="0"/>
                    <w:keepLines w:val="0"/>
                    <w:suppressLineNumbers w:val="0"/>
                    <w:spacing w:before="0" w:beforeAutospacing="0" w:after="0" w:afterAutospacing="0" w:line="0" w:lineRule="atLeast"/>
                    <w:ind w:left="0" w:right="0"/>
                    <w:jc w:val="center"/>
                    <w:rPr>
                      <w:rFonts w:hint="default"/>
                      <w:color w:val="auto"/>
                      <w:szCs w:val="21"/>
                    </w:rPr>
                  </w:pPr>
                </w:p>
              </w:tc>
            </w:tr>
            <w:tr w14:paraId="2FFEDC1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noWrap w:val="0"/>
                  <w:vAlign w:val="center"/>
                </w:tcPr>
                <w:p w14:paraId="784C8C3E">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4</w:t>
                  </w:r>
                </w:p>
              </w:tc>
              <w:tc>
                <w:tcPr>
                  <w:tcW w:w="1664" w:type="pct"/>
                  <w:gridSpan w:val="2"/>
                  <w:noWrap w:val="0"/>
                  <w:vAlign w:val="center"/>
                </w:tcPr>
                <w:p w14:paraId="5BE0CB94">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顶部驱动装置</w:t>
                  </w:r>
                </w:p>
              </w:tc>
              <w:tc>
                <w:tcPr>
                  <w:tcW w:w="1378" w:type="pct"/>
                  <w:noWrap w:val="0"/>
                  <w:vAlign w:val="center"/>
                </w:tcPr>
                <w:p w14:paraId="4C446F07">
                  <w:pPr>
                    <w:keepNext w:val="0"/>
                    <w:keepLines w:val="0"/>
                    <w:suppressLineNumbers w:val="0"/>
                    <w:spacing w:before="0" w:beforeAutospacing="0" w:after="0" w:afterAutospacing="0" w:line="0" w:lineRule="atLeast"/>
                    <w:ind w:left="0" w:right="0"/>
                    <w:jc w:val="center"/>
                    <w:rPr>
                      <w:rFonts w:hint="default"/>
                      <w:color w:val="auto"/>
                      <w:szCs w:val="21"/>
                    </w:rPr>
                  </w:pPr>
                </w:p>
              </w:tc>
              <w:tc>
                <w:tcPr>
                  <w:tcW w:w="535" w:type="pct"/>
                  <w:noWrap w:val="0"/>
                  <w:vAlign w:val="center"/>
                </w:tcPr>
                <w:p w14:paraId="620C691C">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w:t>
                  </w:r>
                </w:p>
              </w:tc>
              <w:tc>
                <w:tcPr>
                  <w:tcW w:w="1089" w:type="pct"/>
                  <w:noWrap w:val="0"/>
                  <w:vAlign w:val="center"/>
                </w:tcPr>
                <w:p w14:paraId="729D33D8">
                  <w:pPr>
                    <w:keepNext w:val="0"/>
                    <w:keepLines w:val="0"/>
                    <w:suppressLineNumbers w:val="0"/>
                    <w:spacing w:before="0" w:beforeAutospacing="0" w:after="0" w:afterAutospacing="0" w:line="0" w:lineRule="atLeast"/>
                    <w:ind w:left="0" w:right="0"/>
                    <w:jc w:val="center"/>
                    <w:rPr>
                      <w:rFonts w:hint="default"/>
                      <w:color w:val="auto"/>
                      <w:szCs w:val="21"/>
                    </w:rPr>
                  </w:pPr>
                </w:p>
              </w:tc>
            </w:tr>
            <w:tr w14:paraId="1CFC74E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noWrap w:val="0"/>
                  <w:vAlign w:val="center"/>
                </w:tcPr>
                <w:p w14:paraId="43CA26BB">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5</w:t>
                  </w:r>
                </w:p>
              </w:tc>
              <w:tc>
                <w:tcPr>
                  <w:tcW w:w="1664" w:type="pct"/>
                  <w:gridSpan w:val="2"/>
                  <w:noWrap w:val="0"/>
                  <w:vAlign w:val="center"/>
                </w:tcPr>
                <w:p w14:paraId="326B4DAD">
                  <w:pPr>
                    <w:keepNext w:val="0"/>
                    <w:keepLines w:val="0"/>
                    <w:suppressLineNumbers w:val="0"/>
                    <w:snapToGrid w:val="0"/>
                    <w:spacing w:before="0" w:beforeAutospacing="0" w:after="0" w:afterAutospacing="0" w:line="0" w:lineRule="atLeast"/>
                    <w:ind w:left="0" w:right="0"/>
                    <w:jc w:val="center"/>
                    <w:rPr>
                      <w:rFonts w:hint="default"/>
                      <w:color w:val="auto"/>
                      <w:szCs w:val="21"/>
                    </w:rPr>
                  </w:pPr>
                  <w:r>
                    <w:rPr>
                      <w:rFonts w:hint="default"/>
                      <w:color w:val="auto"/>
                      <w:szCs w:val="21"/>
                    </w:rPr>
                    <w:t>转盘</w:t>
                  </w:r>
                </w:p>
              </w:tc>
              <w:tc>
                <w:tcPr>
                  <w:tcW w:w="1378" w:type="pct"/>
                  <w:noWrap w:val="0"/>
                  <w:vAlign w:val="center"/>
                </w:tcPr>
                <w:p w14:paraId="2EECCC75">
                  <w:pPr>
                    <w:keepNext w:val="0"/>
                    <w:keepLines w:val="0"/>
                    <w:suppressLineNumbers w:val="0"/>
                    <w:tabs>
                      <w:tab w:val="left" w:pos="105"/>
                      <w:tab w:val="left" w:pos="420"/>
                      <w:tab w:val="left" w:pos="1680"/>
                      <w:tab w:val="left" w:pos="1890"/>
                      <w:tab w:val="left" w:pos="1995"/>
                    </w:tabs>
                    <w:snapToGrid w:val="0"/>
                    <w:spacing w:before="0" w:beforeAutospacing="0" w:after="0" w:afterAutospacing="0" w:line="0" w:lineRule="atLeast"/>
                    <w:ind w:left="0" w:right="0"/>
                    <w:jc w:val="center"/>
                    <w:rPr>
                      <w:rFonts w:hint="default"/>
                      <w:color w:val="auto"/>
                      <w:szCs w:val="21"/>
                    </w:rPr>
                  </w:pPr>
                  <w:r>
                    <w:rPr>
                      <w:rFonts w:hint="default"/>
                      <w:color w:val="auto"/>
                      <w:szCs w:val="21"/>
                    </w:rPr>
                    <w:t>ZP375</w:t>
                  </w:r>
                </w:p>
              </w:tc>
              <w:tc>
                <w:tcPr>
                  <w:tcW w:w="535" w:type="pct"/>
                  <w:noWrap w:val="0"/>
                  <w:vAlign w:val="center"/>
                </w:tcPr>
                <w:p w14:paraId="65DDDD7D">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cr/>
                  </w:r>
                </w:p>
              </w:tc>
              <w:tc>
                <w:tcPr>
                  <w:tcW w:w="1089" w:type="pct"/>
                  <w:noWrap w:val="0"/>
                  <w:vAlign w:val="center"/>
                </w:tcPr>
                <w:p w14:paraId="39AC8A62">
                  <w:pPr>
                    <w:keepNext w:val="0"/>
                    <w:keepLines w:val="0"/>
                    <w:suppressLineNumbers w:val="0"/>
                    <w:spacing w:before="0" w:beforeAutospacing="0" w:after="0" w:afterAutospacing="0" w:line="0" w:lineRule="atLeast"/>
                    <w:ind w:left="0" w:right="0"/>
                    <w:jc w:val="center"/>
                    <w:rPr>
                      <w:rFonts w:hint="default"/>
                      <w:color w:val="auto"/>
                      <w:szCs w:val="21"/>
                    </w:rPr>
                  </w:pPr>
                </w:p>
              </w:tc>
            </w:tr>
            <w:tr w14:paraId="0BB565E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vMerge w:val="restart"/>
                  <w:noWrap w:val="0"/>
                  <w:vAlign w:val="center"/>
                </w:tcPr>
                <w:p w14:paraId="393A00B8">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6</w:t>
                  </w:r>
                </w:p>
              </w:tc>
              <w:tc>
                <w:tcPr>
                  <w:tcW w:w="428" w:type="pct"/>
                  <w:vMerge w:val="restart"/>
                  <w:noWrap w:val="0"/>
                  <w:vAlign w:val="center"/>
                </w:tcPr>
                <w:p w14:paraId="1A5B966A">
                  <w:pPr>
                    <w:keepNext w:val="0"/>
                    <w:keepLines w:val="0"/>
                    <w:suppressLineNumbers w:val="0"/>
                    <w:snapToGrid w:val="0"/>
                    <w:spacing w:before="0" w:beforeAutospacing="0" w:after="0" w:afterAutospacing="0" w:line="0" w:lineRule="atLeast"/>
                    <w:ind w:left="0" w:right="0"/>
                    <w:jc w:val="center"/>
                    <w:rPr>
                      <w:rFonts w:hint="default"/>
                      <w:color w:val="auto"/>
                      <w:szCs w:val="21"/>
                    </w:rPr>
                  </w:pPr>
                  <w:r>
                    <w:rPr>
                      <w:rFonts w:hint="default"/>
                      <w:color w:val="auto"/>
                      <w:szCs w:val="21"/>
                    </w:rPr>
                    <w:t>循环系统</w:t>
                  </w:r>
                </w:p>
              </w:tc>
              <w:tc>
                <w:tcPr>
                  <w:tcW w:w="1235" w:type="pct"/>
                  <w:noWrap w:val="0"/>
                  <w:vAlign w:val="center"/>
                </w:tcPr>
                <w:p w14:paraId="0BFBADBD">
                  <w:pPr>
                    <w:keepNext w:val="0"/>
                    <w:keepLines w:val="0"/>
                    <w:suppressLineNumbers w:val="0"/>
                    <w:snapToGrid w:val="0"/>
                    <w:spacing w:before="0" w:beforeAutospacing="0" w:after="0" w:afterAutospacing="0" w:line="0" w:lineRule="atLeast"/>
                    <w:ind w:left="0" w:right="0"/>
                    <w:jc w:val="center"/>
                    <w:rPr>
                      <w:rFonts w:hint="default"/>
                      <w:color w:val="auto"/>
                      <w:szCs w:val="21"/>
                    </w:rPr>
                  </w:pPr>
                  <w:r>
                    <w:rPr>
                      <w:rFonts w:hint="default"/>
                      <w:color w:val="auto"/>
                      <w:szCs w:val="21"/>
                    </w:rPr>
                    <w:t>钻井泵1#</w:t>
                  </w:r>
                </w:p>
              </w:tc>
              <w:tc>
                <w:tcPr>
                  <w:tcW w:w="1378" w:type="pct"/>
                  <w:noWrap w:val="0"/>
                  <w:vAlign w:val="center"/>
                </w:tcPr>
                <w:p w14:paraId="76E05840">
                  <w:pPr>
                    <w:keepNext w:val="0"/>
                    <w:keepLines w:val="0"/>
                    <w:suppressLineNumbers w:val="0"/>
                    <w:tabs>
                      <w:tab w:val="left" w:pos="105"/>
                      <w:tab w:val="left" w:pos="420"/>
                      <w:tab w:val="left" w:pos="1680"/>
                      <w:tab w:val="left" w:pos="1890"/>
                      <w:tab w:val="left" w:pos="1995"/>
                    </w:tabs>
                    <w:snapToGrid w:val="0"/>
                    <w:spacing w:before="0" w:beforeAutospacing="0" w:after="0" w:afterAutospacing="0" w:line="0" w:lineRule="atLeast"/>
                    <w:ind w:left="0" w:right="0"/>
                    <w:jc w:val="center"/>
                    <w:rPr>
                      <w:rFonts w:hint="default"/>
                      <w:color w:val="auto"/>
                      <w:szCs w:val="21"/>
                    </w:rPr>
                  </w:pPr>
                  <w:r>
                    <w:rPr>
                      <w:rFonts w:hint="default"/>
                      <w:color w:val="auto"/>
                      <w:szCs w:val="21"/>
                    </w:rPr>
                    <w:t>F-1600</w:t>
                  </w:r>
                </w:p>
              </w:tc>
              <w:tc>
                <w:tcPr>
                  <w:tcW w:w="535" w:type="pct"/>
                  <w:noWrap w:val="0"/>
                  <w:vAlign w:val="center"/>
                </w:tcPr>
                <w:p w14:paraId="275D248B">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w:t>
                  </w:r>
                </w:p>
              </w:tc>
              <w:tc>
                <w:tcPr>
                  <w:tcW w:w="1089" w:type="pct"/>
                  <w:noWrap w:val="0"/>
                  <w:vAlign w:val="center"/>
                </w:tcPr>
                <w:p w14:paraId="256E4FCC">
                  <w:pPr>
                    <w:keepNext w:val="0"/>
                    <w:keepLines w:val="0"/>
                    <w:suppressLineNumbers w:val="0"/>
                    <w:spacing w:before="0" w:beforeAutospacing="0" w:after="0" w:afterAutospacing="0" w:line="0" w:lineRule="atLeast"/>
                    <w:ind w:left="0" w:right="0"/>
                    <w:jc w:val="center"/>
                    <w:rPr>
                      <w:rFonts w:hint="default"/>
                      <w:color w:val="auto"/>
                      <w:szCs w:val="21"/>
                    </w:rPr>
                  </w:pPr>
                </w:p>
              </w:tc>
            </w:tr>
            <w:tr w14:paraId="5BA4C34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vMerge w:val="continue"/>
                  <w:noWrap w:val="0"/>
                  <w:vAlign w:val="center"/>
                </w:tcPr>
                <w:p w14:paraId="4BBD1702">
                  <w:pPr>
                    <w:keepNext w:val="0"/>
                    <w:keepLines w:val="0"/>
                    <w:suppressLineNumbers w:val="0"/>
                    <w:spacing w:before="0" w:beforeAutospacing="0" w:after="0" w:afterAutospacing="0" w:line="0" w:lineRule="atLeast"/>
                    <w:ind w:left="0" w:right="0"/>
                    <w:jc w:val="center"/>
                    <w:rPr>
                      <w:rFonts w:hint="default"/>
                      <w:color w:val="auto"/>
                      <w:szCs w:val="21"/>
                    </w:rPr>
                  </w:pPr>
                </w:p>
              </w:tc>
              <w:tc>
                <w:tcPr>
                  <w:tcW w:w="428" w:type="pct"/>
                  <w:vMerge w:val="continue"/>
                  <w:noWrap w:val="0"/>
                  <w:vAlign w:val="center"/>
                </w:tcPr>
                <w:p w14:paraId="296B4816">
                  <w:pPr>
                    <w:keepNext w:val="0"/>
                    <w:keepLines w:val="0"/>
                    <w:suppressLineNumbers w:val="0"/>
                    <w:spacing w:before="0" w:beforeAutospacing="0" w:after="0" w:afterAutospacing="0" w:line="0" w:lineRule="atLeast"/>
                    <w:ind w:left="0" w:right="0"/>
                    <w:jc w:val="center"/>
                    <w:rPr>
                      <w:rFonts w:hint="default"/>
                      <w:color w:val="auto"/>
                      <w:szCs w:val="21"/>
                    </w:rPr>
                  </w:pPr>
                </w:p>
              </w:tc>
              <w:tc>
                <w:tcPr>
                  <w:tcW w:w="1235" w:type="pct"/>
                  <w:noWrap w:val="0"/>
                  <w:vAlign w:val="center"/>
                </w:tcPr>
                <w:p w14:paraId="4020F13A">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钻井泵2#</w:t>
                  </w:r>
                </w:p>
              </w:tc>
              <w:tc>
                <w:tcPr>
                  <w:tcW w:w="1378" w:type="pct"/>
                  <w:noWrap w:val="0"/>
                  <w:vAlign w:val="center"/>
                </w:tcPr>
                <w:p w14:paraId="1932337D">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F-1600</w:t>
                  </w:r>
                </w:p>
              </w:tc>
              <w:tc>
                <w:tcPr>
                  <w:tcW w:w="535" w:type="pct"/>
                  <w:noWrap w:val="0"/>
                  <w:vAlign w:val="center"/>
                </w:tcPr>
                <w:p w14:paraId="7F6D5267">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w:t>
                  </w:r>
                </w:p>
              </w:tc>
              <w:tc>
                <w:tcPr>
                  <w:tcW w:w="1089" w:type="pct"/>
                  <w:noWrap w:val="0"/>
                  <w:vAlign w:val="center"/>
                </w:tcPr>
                <w:p w14:paraId="12606426">
                  <w:pPr>
                    <w:keepNext w:val="0"/>
                    <w:keepLines w:val="0"/>
                    <w:suppressLineNumbers w:val="0"/>
                    <w:spacing w:before="0" w:beforeAutospacing="0" w:after="0" w:afterAutospacing="0" w:line="0" w:lineRule="atLeast"/>
                    <w:ind w:left="0" w:right="0"/>
                    <w:jc w:val="center"/>
                    <w:rPr>
                      <w:rFonts w:hint="default"/>
                      <w:color w:val="auto"/>
                      <w:szCs w:val="21"/>
                    </w:rPr>
                  </w:pPr>
                </w:p>
              </w:tc>
            </w:tr>
            <w:tr w14:paraId="4E7EA71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vMerge w:val="continue"/>
                  <w:noWrap w:val="0"/>
                  <w:vAlign w:val="center"/>
                </w:tcPr>
                <w:p w14:paraId="63B0F437">
                  <w:pPr>
                    <w:keepNext w:val="0"/>
                    <w:keepLines w:val="0"/>
                    <w:suppressLineNumbers w:val="0"/>
                    <w:spacing w:before="0" w:beforeAutospacing="0" w:after="0" w:afterAutospacing="0" w:line="0" w:lineRule="atLeast"/>
                    <w:ind w:left="0" w:right="0"/>
                    <w:jc w:val="center"/>
                    <w:rPr>
                      <w:rFonts w:hint="default"/>
                      <w:color w:val="auto"/>
                      <w:szCs w:val="21"/>
                    </w:rPr>
                  </w:pPr>
                </w:p>
              </w:tc>
              <w:tc>
                <w:tcPr>
                  <w:tcW w:w="428" w:type="pct"/>
                  <w:vMerge w:val="continue"/>
                  <w:noWrap w:val="0"/>
                  <w:vAlign w:val="center"/>
                </w:tcPr>
                <w:p w14:paraId="33550A52">
                  <w:pPr>
                    <w:keepNext w:val="0"/>
                    <w:keepLines w:val="0"/>
                    <w:suppressLineNumbers w:val="0"/>
                    <w:spacing w:before="0" w:beforeAutospacing="0" w:after="0" w:afterAutospacing="0" w:line="0" w:lineRule="atLeast"/>
                    <w:ind w:left="0" w:right="0"/>
                    <w:jc w:val="center"/>
                    <w:rPr>
                      <w:rFonts w:hint="default"/>
                      <w:color w:val="auto"/>
                      <w:szCs w:val="21"/>
                    </w:rPr>
                  </w:pPr>
                </w:p>
              </w:tc>
              <w:tc>
                <w:tcPr>
                  <w:tcW w:w="1235" w:type="pct"/>
                  <w:noWrap w:val="0"/>
                  <w:vAlign w:val="center"/>
                </w:tcPr>
                <w:p w14:paraId="02AE5DAF">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钻井泵3#</w:t>
                  </w:r>
                </w:p>
              </w:tc>
              <w:tc>
                <w:tcPr>
                  <w:tcW w:w="1378" w:type="pct"/>
                  <w:noWrap w:val="0"/>
                  <w:vAlign w:val="center"/>
                </w:tcPr>
                <w:p w14:paraId="2EEBC4B1">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F-</w:t>
                  </w:r>
                  <w:r>
                    <w:rPr>
                      <w:rFonts w:hint="eastAsia"/>
                      <w:color w:val="auto"/>
                      <w:szCs w:val="21"/>
                    </w:rPr>
                    <w:t>1</w:t>
                  </w:r>
                  <w:r>
                    <w:rPr>
                      <w:rFonts w:hint="default"/>
                      <w:color w:val="auto"/>
                      <w:szCs w:val="21"/>
                    </w:rPr>
                    <w:t>600</w:t>
                  </w:r>
                </w:p>
              </w:tc>
              <w:tc>
                <w:tcPr>
                  <w:tcW w:w="535" w:type="pct"/>
                  <w:noWrap w:val="0"/>
                  <w:vAlign w:val="center"/>
                </w:tcPr>
                <w:p w14:paraId="67AB1A61">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w:t>
                  </w:r>
                </w:p>
              </w:tc>
              <w:tc>
                <w:tcPr>
                  <w:tcW w:w="1089" w:type="pct"/>
                  <w:noWrap w:val="0"/>
                  <w:vAlign w:val="center"/>
                </w:tcPr>
                <w:p w14:paraId="4A51ECAC">
                  <w:pPr>
                    <w:keepNext w:val="0"/>
                    <w:keepLines w:val="0"/>
                    <w:suppressLineNumbers w:val="0"/>
                    <w:spacing w:before="0" w:beforeAutospacing="0" w:after="0" w:afterAutospacing="0" w:line="0" w:lineRule="atLeast"/>
                    <w:ind w:left="0" w:right="0"/>
                    <w:jc w:val="center"/>
                    <w:rPr>
                      <w:rFonts w:hint="default"/>
                      <w:color w:val="auto"/>
                      <w:szCs w:val="21"/>
                    </w:rPr>
                  </w:pPr>
                </w:p>
              </w:tc>
            </w:tr>
            <w:tr w14:paraId="356E50C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vMerge w:val="continue"/>
                  <w:noWrap w:val="0"/>
                  <w:vAlign w:val="center"/>
                </w:tcPr>
                <w:p w14:paraId="29261589">
                  <w:pPr>
                    <w:keepNext w:val="0"/>
                    <w:keepLines w:val="0"/>
                    <w:suppressLineNumbers w:val="0"/>
                    <w:spacing w:before="0" w:beforeAutospacing="0" w:after="0" w:afterAutospacing="0" w:line="0" w:lineRule="atLeast"/>
                    <w:ind w:left="0" w:right="0"/>
                    <w:jc w:val="center"/>
                    <w:rPr>
                      <w:rFonts w:hint="default"/>
                      <w:color w:val="auto"/>
                      <w:szCs w:val="21"/>
                    </w:rPr>
                  </w:pPr>
                </w:p>
              </w:tc>
              <w:tc>
                <w:tcPr>
                  <w:tcW w:w="428" w:type="pct"/>
                  <w:vMerge w:val="continue"/>
                  <w:noWrap w:val="0"/>
                  <w:vAlign w:val="center"/>
                </w:tcPr>
                <w:p w14:paraId="7459A387">
                  <w:pPr>
                    <w:keepNext w:val="0"/>
                    <w:keepLines w:val="0"/>
                    <w:suppressLineNumbers w:val="0"/>
                    <w:spacing w:before="0" w:beforeAutospacing="0" w:after="0" w:afterAutospacing="0" w:line="0" w:lineRule="atLeast"/>
                    <w:ind w:left="0" w:right="0"/>
                    <w:jc w:val="center"/>
                    <w:rPr>
                      <w:rFonts w:hint="default"/>
                      <w:color w:val="auto"/>
                      <w:szCs w:val="21"/>
                    </w:rPr>
                  </w:pPr>
                </w:p>
              </w:tc>
              <w:tc>
                <w:tcPr>
                  <w:tcW w:w="1235" w:type="pct"/>
                  <w:noWrap w:val="0"/>
                  <w:vAlign w:val="center"/>
                </w:tcPr>
                <w:p w14:paraId="70A188B1">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钻井液循环罐</w:t>
                  </w:r>
                </w:p>
              </w:tc>
              <w:tc>
                <w:tcPr>
                  <w:tcW w:w="1378" w:type="pct"/>
                  <w:noWrap w:val="0"/>
                  <w:vAlign w:val="center"/>
                </w:tcPr>
                <w:p w14:paraId="24833B46">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ZJ70DB</w:t>
                  </w:r>
                </w:p>
              </w:tc>
              <w:tc>
                <w:tcPr>
                  <w:tcW w:w="535" w:type="pct"/>
                  <w:noWrap w:val="0"/>
                  <w:vAlign w:val="center"/>
                </w:tcPr>
                <w:p w14:paraId="4DAD91CA">
                  <w:pPr>
                    <w:keepNext w:val="0"/>
                    <w:keepLines w:val="0"/>
                    <w:suppressLineNumbers w:val="0"/>
                    <w:spacing w:before="0" w:beforeAutospacing="0" w:after="0" w:afterAutospacing="0" w:line="0" w:lineRule="atLeast"/>
                    <w:ind w:left="0" w:right="0"/>
                    <w:jc w:val="center"/>
                    <w:rPr>
                      <w:rFonts w:hint="default"/>
                      <w:color w:val="auto"/>
                      <w:szCs w:val="21"/>
                    </w:rPr>
                  </w:pPr>
                  <w:r>
                    <w:rPr>
                      <w:rFonts w:hint="eastAsia"/>
                      <w:color w:val="auto"/>
                      <w:szCs w:val="21"/>
                    </w:rPr>
                    <w:t>6</w:t>
                  </w:r>
                </w:p>
              </w:tc>
              <w:tc>
                <w:tcPr>
                  <w:tcW w:w="1089" w:type="pct"/>
                  <w:noWrap w:val="0"/>
                  <w:vAlign w:val="center"/>
                </w:tcPr>
                <w:p w14:paraId="02FAADBB">
                  <w:pPr>
                    <w:keepNext w:val="0"/>
                    <w:keepLines w:val="0"/>
                    <w:suppressLineNumbers w:val="0"/>
                    <w:spacing w:before="0" w:beforeAutospacing="0" w:after="0" w:afterAutospacing="0" w:line="0" w:lineRule="atLeast"/>
                    <w:ind w:left="0" w:right="0"/>
                    <w:jc w:val="center"/>
                    <w:rPr>
                      <w:rFonts w:hint="default"/>
                      <w:color w:val="auto"/>
                      <w:szCs w:val="21"/>
                    </w:rPr>
                  </w:pPr>
                </w:p>
              </w:tc>
            </w:tr>
            <w:tr w14:paraId="52E82BD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vMerge w:val="continue"/>
                  <w:noWrap w:val="0"/>
                  <w:vAlign w:val="center"/>
                </w:tcPr>
                <w:p w14:paraId="1AEA6BDE">
                  <w:pPr>
                    <w:keepNext w:val="0"/>
                    <w:keepLines w:val="0"/>
                    <w:suppressLineNumbers w:val="0"/>
                    <w:spacing w:before="0" w:beforeAutospacing="0" w:after="0" w:afterAutospacing="0" w:line="0" w:lineRule="atLeast"/>
                    <w:ind w:left="0" w:right="0"/>
                    <w:jc w:val="center"/>
                    <w:rPr>
                      <w:rFonts w:hint="default"/>
                      <w:color w:val="auto"/>
                      <w:szCs w:val="21"/>
                    </w:rPr>
                  </w:pPr>
                </w:p>
              </w:tc>
              <w:tc>
                <w:tcPr>
                  <w:tcW w:w="428" w:type="pct"/>
                  <w:vMerge w:val="continue"/>
                  <w:noWrap w:val="0"/>
                  <w:vAlign w:val="center"/>
                </w:tcPr>
                <w:p w14:paraId="1969196E">
                  <w:pPr>
                    <w:keepNext w:val="0"/>
                    <w:keepLines w:val="0"/>
                    <w:suppressLineNumbers w:val="0"/>
                    <w:spacing w:before="0" w:beforeAutospacing="0" w:after="0" w:afterAutospacing="0" w:line="0" w:lineRule="atLeast"/>
                    <w:ind w:left="0" w:right="0"/>
                    <w:jc w:val="center"/>
                    <w:rPr>
                      <w:rFonts w:hint="default"/>
                      <w:color w:val="auto"/>
                      <w:szCs w:val="21"/>
                    </w:rPr>
                  </w:pPr>
                </w:p>
              </w:tc>
              <w:tc>
                <w:tcPr>
                  <w:tcW w:w="1235" w:type="pct"/>
                  <w:noWrap w:val="0"/>
                  <w:vAlign w:val="center"/>
                </w:tcPr>
                <w:p w14:paraId="0AFF146E">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搅拌器</w:t>
                  </w:r>
                </w:p>
              </w:tc>
              <w:tc>
                <w:tcPr>
                  <w:tcW w:w="1378" w:type="pct"/>
                  <w:noWrap w:val="0"/>
                  <w:vAlign w:val="center"/>
                </w:tcPr>
                <w:p w14:paraId="2511B1FC">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NJ5.5、NJ7.5、NJ15</w:t>
                  </w:r>
                </w:p>
              </w:tc>
              <w:tc>
                <w:tcPr>
                  <w:tcW w:w="535" w:type="pct"/>
                  <w:noWrap w:val="0"/>
                  <w:vAlign w:val="center"/>
                </w:tcPr>
                <w:p w14:paraId="1C0E2AB6">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12</w:t>
                  </w:r>
                </w:p>
              </w:tc>
              <w:tc>
                <w:tcPr>
                  <w:tcW w:w="1089" w:type="pct"/>
                  <w:noWrap w:val="0"/>
                  <w:vAlign w:val="center"/>
                </w:tcPr>
                <w:p w14:paraId="3867A9B1">
                  <w:pPr>
                    <w:keepNext w:val="0"/>
                    <w:keepLines w:val="0"/>
                    <w:suppressLineNumbers w:val="0"/>
                    <w:spacing w:before="0" w:beforeAutospacing="0" w:after="0" w:afterAutospacing="0" w:line="0" w:lineRule="atLeast"/>
                    <w:ind w:left="0" w:right="0"/>
                    <w:jc w:val="center"/>
                    <w:rPr>
                      <w:rFonts w:hint="default"/>
                      <w:color w:val="auto"/>
                      <w:szCs w:val="21"/>
                    </w:rPr>
                  </w:pPr>
                </w:p>
              </w:tc>
            </w:tr>
            <w:tr w14:paraId="7E8C352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97" w:hRule="atLeast"/>
                <w:jc w:val="center"/>
              </w:trPr>
              <w:tc>
                <w:tcPr>
                  <w:tcW w:w="332" w:type="pct"/>
                  <w:vMerge w:val="restart"/>
                  <w:noWrap w:val="0"/>
                  <w:vAlign w:val="center"/>
                </w:tcPr>
                <w:p w14:paraId="6452D634">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7</w:t>
                  </w:r>
                </w:p>
              </w:tc>
              <w:tc>
                <w:tcPr>
                  <w:tcW w:w="428" w:type="pct"/>
                  <w:vMerge w:val="restart"/>
                  <w:noWrap w:val="0"/>
                  <w:vAlign w:val="center"/>
                </w:tcPr>
                <w:p w14:paraId="7A206207">
                  <w:pPr>
                    <w:keepNext w:val="0"/>
                    <w:keepLines w:val="0"/>
                    <w:suppressLineNumbers w:val="0"/>
                    <w:snapToGrid w:val="0"/>
                    <w:spacing w:before="0" w:beforeAutospacing="0" w:after="0" w:afterAutospacing="0" w:line="0" w:lineRule="atLeast"/>
                    <w:ind w:left="0" w:right="0"/>
                    <w:jc w:val="center"/>
                    <w:rPr>
                      <w:rFonts w:hint="default"/>
                      <w:color w:val="auto"/>
                      <w:szCs w:val="21"/>
                    </w:rPr>
                  </w:pPr>
                  <w:r>
                    <w:rPr>
                      <w:rFonts w:hint="default"/>
                      <w:color w:val="auto"/>
                      <w:szCs w:val="21"/>
                    </w:rPr>
                    <w:t>发电机</w:t>
                  </w:r>
                </w:p>
                <w:p w14:paraId="2653284D">
                  <w:pPr>
                    <w:keepNext w:val="0"/>
                    <w:keepLines w:val="0"/>
                    <w:suppressLineNumbers w:val="0"/>
                    <w:snapToGrid w:val="0"/>
                    <w:spacing w:before="0" w:beforeAutospacing="0" w:after="0" w:afterAutospacing="0" w:line="0" w:lineRule="atLeast"/>
                    <w:ind w:left="0" w:right="0"/>
                    <w:jc w:val="center"/>
                    <w:rPr>
                      <w:rFonts w:hint="default"/>
                      <w:color w:val="auto"/>
                      <w:szCs w:val="21"/>
                    </w:rPr>
                  </w:pPr>
                  <w:r>
                    <w:rPr>
                      <w:rFonts w:hint="default"/>
                      <w:color w:val="auto"/>
                      <w:szCs w:val="21"/>
                    </w:rPr>
                    <w:t>组</w:t>
                  </w:r>
                </w:p>
              </w:tc>
              <w:tc>
                <w:tcPr>
                  <w:tcW w:w="1235" w:type="pct"/>
                  <w:noWrap w:val="0"/>
                  <w:vAlign w:val="center"/>
                </w:tcPr>
                <w:p w14:paraId="26DEE495">
                  <w:pPr>
                    <w:keepNext w:val="0"/>
                    <w:keepLines w:val="0"/>
                    <w:suppressLineNumbers w:val="0"/>
                    <w:snapToGrid w:val="0"/>
                    <w:spacing w:before="0" w:beforeAutospacing="0" w:after="0" w:afterAutospacing="0" w:line="0" w:lineRule="atLeast"/>
                    <w:ind w:left="0" w:right="0"/>
                    <w:jc w:val="center"/>
                    <w:rPr>
                      <w:rFonts w:hint="default"/>
                      <w:color w:val="auto"/>
                      <w:szCs w:val="21"/>
                    </w:rPr>
                  </w:pPr>
                  <w:r>
                    <w:rPr>
                      <w:rFonts w:hint="default"/>
                      <w:color w:val="auto"/>
                      <w:szCs w:val="21"/>
                    </w:rPr>
                    <w:t>发电机1#-2#</w:t>
                  </w:r>
                </w:p>
              </w:tc>
              <w:tc>
                <w:tcPr>
                  <w:tcW w:w="1378" w:type="pct"/>
                  <w:noWrap w:val="0"/>
                  <w:vAlign w:val="center"/>
                </w:tcPr>
                <w:p w14:paraId="67386962">
                  <w:pPr>
                    <w:keepNext w:val="0"/>
                    <w:keepLines w:val="0"/>
                    <w:suppressLineNumbers w:val="0"/>
                    <w:tabs>
                      <w:tab w:val="left" w:pos="1680"/>
                    </w:tabs>
                    <w:snapToGrid w:val="0"/>
                    <w:spacing w:before="0" w:beforeAutospacing="0" w:after="0" w:afterAutospacing="0" w:line="0" w:lineRule="atLeast"/>
                    <w:ind w:left="0" w:right="0"/>
                    <w:jc w:val="center"/>
                    <w:rPr>
                      <w:rFonts w:hint="default"/>
                      <w:color w:val="auto"/>
                      <w:szCs w:val="21"/>
                    </w:rPr>
                  </w:pPr>
                  <w:r>
                    <w:rPr>
                      <w:rFonts w:hint="default"/>
                      <w:color w:val="auto"/>
                      <w:szCs w:val="21"/>
                    </w:rPr>
                    <w:t>CAT3512B-1310</w:t>
                  </w:r>
                </w:p>
              </w:tc>
              <w:tc>
                <w:tcPr>
                  <w:tcW w:w="535" w:type="pct"/>
                  <w:noWrap w:val="0"/>
                  <w:vAlign w:val="center"/>
                </w:tcPr>
                <w:p w14:paraId="7D80197E">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2</w:t>
                  </w:r>
                </w:p>
              </w:tc>
              <w:tc>
                <w:tcPr>
                  <w:tcW w:w="1089" w:type="pct"/>
                  <w:noWrap w:val="0"/>
                  <w:vAlign w:val="center"/>
                </w:tcPr>
                <w:p w14:paraId="30FAB732">
                  <w:pPr>
                    <w:keepNext w:val="0"/>
                    <w:keepLines w:val="0"/>
                    <w:suppressLineNumbers w:val="0"/>
                    <w:spacing w:before="0" w:beforeAutospacing="0" w:after="0" w:afterAutospacing="0" w:line="0" w:lineRule="atLeast"/>
                    <w:ind w:left="0" w:right="0"/>
                    <w:jc w:val="center"/>
                    <w:rPr>
                      <w:rFonts w:hint="default"/>
                      <w:color w:val="auto"/>
                      <w:szCs w:val="21"/>
                    </w:rPr>
                  </w:pPr>
                </w:p>
              </w:tc>
            </w:tr>
            <w:tr w14:paraId="678F62C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vMerge w:val="continue"/>
                  <w:noWrap w:val="0"/>
                  <w:vAlign w:val="center"/>
                </w:tcPr>
                <w:p w14:paraId="2420F91B">
                  <w:pPr>
                    <w:keepNext w:val="0"/>
                    <w:keepLines w:val="0"/>
                    <w:suppressLineNumbers w:val="0"/>
                    <w:spacing w:before="0" w:beforeAutospacing="0" w:after="0" w:afterAutospacing="0" w:line="0" w:lineRule="atLeast"/>
                    <w:ind w:left="0" w:right="0"/>
                    <w:jc w:val="center"/>
                    <w:rPr>
                      <w:rFonts w:hint="default"/>
                      <w:color w:val="auto"/>
                      <w:szCs w:val="21"/>
                    </w:rPr>
                  </w:pPr>
                </w:p>
              </w:tc>
              <w:tc>
                <w:tcPr>
                  <w:tcW w:w="428" w:type="pct"/>
                  <w:vMerge w:val="continue"/>
                  <w:noWrap w:val="0"/>
                  <w:vAlign w:val="center"/>
                </w:tcPr>
                <w:p w14:paraId="6688484C">
                  <w:pPr>
                    <w:keepNext w:val="0"/>
                    <w:keepLines w:val="0"/>
                    <w:suppressLineNumbers w:val="0"/>
                    <w:spacing w:before="0" w:beforeAutospacing="0" w:after="0" w:afterAutospacing="0" w:line="0" w:lineRule="atLeast"/>
                    <w:ind w:left="0" w:right="0"/>
                    <w:jc w:val="center"/>
                    <w:rPr>
                      <w:rFonts w:hint="default"/>
                      <w:color w:val="auto"/>
                      <w:szCs w:val="21"/>
                    </w:rPr>
                  </w:pPr>
                </w:p>
              </w:tc>
              <w:tc>
                <w:tcPr>
                  <w:tcW w:w="1235" w:type="pct"/>
                  <w:noWrap w:val="0"/>
                  <w:vAlign w:val="center"/>
                </w:tcPr>
                <w:p w14:paraId="619DDFC8">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辅助发电机</w:t>
                  </w:r>
                </w:p>
              </w:tc>
              <w:tc>
                <w:tcPr>
                  <w:tcW w:w="1378" w:type="pct"/>
                  <w:noWrap w:val="0"/>
                  <w:vAlign w:val="center"/>
                </w:tcPr>
                <w:p w14:paraId="52BD5358">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CATERPILLAR500KVA</w:t>
                  </w:r>
                </w:p>
              </w:tc>
              <w:tc>
                <w:tcPr>
                  <w:tcW w:w="535" w:type="pct"/>
                  <w:noWrap w:val="0"/>
                  <w:vAlign w:val="center"/>
                </w:tcPr>
                <w:p w14:paraId="06FA3D35">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w:t>
                  </w:r>
                </w:p>
              </w:tc>
              <w:tc>
                <w:tcPr>
                  <w:tcW w:w="1089" w:type="pct"/>
                  <w:noWrap w:val="0"/>
                  <w:vAlign w:val="center"/>
                </w:tcPr>
                <w:p w14:paraId="420CE797">
                  <w:pPr>
                    <w:keepNext w:val="0"/>
                    <w:keepLines w:val="0"/>
                    <w:suppressLineNumbers w:val="0"/>
                    <w:spacing w:before="0" w:beforeAutospacing="0" w:after="0" w:afterAutospacing="0" w:line="0" w:lineRule="atLeast"/>
                    <w:ind w:left="0" w:right="0"/>
                    <w:jc w:val="center"/>
                    <w:rPr>
                      <w:rFonts w:hint="default"/>
                      <w:color w:val="auto"/>
                      <w:szCs w:val="21"/>
                    </w:rPr>
                  </w:pPr>
                </w:p>
              </w:tc>
            </w:tr>
            <w:tr w14:paraId="6BF7737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vMerge w:val="continue"/>
                  <w:noWrap w:val="0"/>
                  <w:vAlign w:val="center"/>
                </w:tcPr>
                <w:p w14:paraId="4EDF516A">
                  <w:pPr>
                    <w:keepNext w:val="0"/>
                    <w:keepLines w:val="0"/>
                    <w:suppressLineNumbers w:val="0"/>
                    <w:spacing w:before="0" w:beforeAutospacing="0" w:after="0" w:afterAutospacing="0" w:line="0" w:lineRule="atLeast"/>
                    <w:ind w:left="0" w:right="0"/>
                    <w:jc w:val="center"/>
                    <w:rPr>
                      <w:rFonts w:hint="default"/>
                      <w:color w:val="auto"/>
                      <w:szCs w:val="21"/>
                    </w:rPr>
                  </w:pPr>
                </w:p>
              </w:tc>
              <w:tc>
                <w:tcPr>
                  <w:tcW w:w="428" w:type="pct"/>
                  <w:vMerge w:val="continue"/>
                  <w:noWrap w:val="0"/>
                  <w:vAlign w:val="center"/>
                </w:tcPr>
                <w:p w14:paraId="52D39021">
                  <w:pPr>
                    <w:keepNext w:val="0"/>
                    <w:keepLines w:val="0"/>
                    <w:suppressLineNumbers w:val="0"/>
                    <w:spacing w:before="0" w:beforeAutospacing="0" w:after="0" w:afterAutospacing="0" w:line="0" w:lineRule="atLeast"/>
                    <w:ind w:left="0" w:right="0"/>
                    <w:jc w:val="center"/>
                    <w:rPr>
                      <w:rFonts w:hint="default"/>
                      <w:color w:val="auto"/>
                      <w:szCs w:val="21"/>
                    </w:rPr>
                  </w:pPr>
                </w:p>
              </w:tc>
              <w:tc>
                <w:tcPr>
                  <w:tcW w:w="1235" w:type="pct"/>
                  <w:noWrap w:val="0"/>
                  <w:vAlign w:val="center"/>
                </w:tcPr>
                <w:p w14:paraId="5299CF7C">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MCC房</w:t>
                  </w:r>
                </w:p>
              </w:tc>
              <w:tc>
                <w:tcPr>
                  <w:tcW w:w="1378" w:type="pct"/>
                  <w:noWrap w:val="0"/>
                  <w:vAlign w:val="center"/>
                </w:tcPr>
                <w:p w14:paraId="57175D1B">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600V/400V</w:t>
                  </w:r>
                  <w:r>
                    <w:rPr>
                      <w:rFonts w:hint="eastAsia"/>
                      <w:color w:val="auto"/>
                      <w:szCs w:val="21"/>
                    </w:rPr>
                    <w:t>/230</w:t>
                  </w:r>
                  <w:r>
                    <w:rPr>
                      <w:rFonts w:hint="default"/>
                      <w:color w:val="auto"/>
                      <w:szCs w:val="21"/>
                    </w:rPr>
                    <w:t>V</w:t>
                  </w:r>
                </w:p>
              </w:tc>
              <w:tc>
                <w:tcPr>
                  <w:tcW w:w="535" w:type="pct"/>
                  <w:noWrap w:val="0"/>
                  <w:vAlign w:val="center"/>
                </w:tcPr>
                <w:p w14:paraId="4BF9A7D0">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w:t>
                  </w:r>
                </w:p>
              </w:tc>
              <w:tc>
                <w:tcPr>
                  <w:tcW w:w="1089" w:type="pct"/>
                  <w:noWrap w:val="0"/>
                  <w:vAlign w:val="center"/>
                </w:tcPr>
                <w:p w14:paraId="393FE602">
                  <w:pPr>
                    <w:keepNext w:val="0"/>
                    <w:keepLines w:val="0"/>
                    <w:suppressLineNumbers w:val="0"/>
                    <w:spacing w:before="0" w:beforeAutospacing="0" w:after="0" w:afterAutospacing="0" w:line="0" w:lineRule="atLeast"/>
                    <w:ind w:left="0" w:right="0"/>
                    <w:jc w:val="center"/>
                    <w:rPr>
                      <w:rFonts w:hint="default"/>
                      <w:color w:val="auto"/>
                      <w:szCs w:val="21"/>
                    </w:rPr>
                  </w:pPr>
                </w:p>
              </w:tc>
            </w:tr>
            <w:tr w14:paraId="5C9473B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97" w:hRule="atLeast"/>
                <w:jc w:val="center"/>
              </w:trPr>
              <w:tc>
                <w:tcPr>
                  <w:tcW w:w="332" w:type="pct"/>
                  <w:vMerge w:val="restart"/>
                  <w:noWrap w:val="0"/>
                  <w:vAlign w:val="center"/>
                </w:tcPr>
                <w:p w14:paraId="5109F91F">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8</w:t>
                  </w:r>
                </w:p>
              </w:tc>
              <w:tc>
                <w:tcPr>
                  <w:tcW w:w="428" w:type="pct"/>
                  <w:vMerge w:val="restart"/>
                  <w:noWrap w:val="0"/>
                  <w:vAlign w:val="center"/>
                </w:tcPr>
                <w:p w14:paraId="4E82F154">
                  <w:pPr>
                    <w:keepNext w:val="0"/>
                    <w:keepLines w:val="0"/>
                    <w:suppressLineNumbers w:val="0"/>
                    <w:snapToGrid w:val="0"/>
                    <w:spacing w:before="0" w:beforeAutospacing="0" w:after="0" w:afterAutospacing="0" w:line="0" w:lineRule="atLeast"/>
                    <w:ind w:left="0" w:right="0"/>
                    <w:jc w:val="center"/>
                    <w:rPr>
                      <w:rFonts w:hint="default"/>
                      <w:color w:val="auto"/>
                      <w:szCs w:val="21"/>
                    </w:rPr>
                  </w:pPr>
                  <w:r>
                    <w:rPr>
                      <w:rFonts w:hint="default"/>
                      <w:color w:val="auto"/>
                      <w:szCs w:val="21"/>
                    </w:rPr>
                    <w:t>钻机控制系统</w:t>
                  </w:r>
                </w:p>
              </w:tc>
              <w:tc>
                <w:tcPr>
                  <w:tcW w:w="1235" w:type="pct"/>
                  <w:noWrap w:val="0"/>
                  <w:vAlign w:val="center"/>
                </w:tcPr>
                <w:p w14:paraId="44E40244">
                  <w:pPr>
                    <w:keepNext w:val="0"/>
                    <w:keepLines w:val="0"/>
                    <w:suppressLineNumbers w:val="0"/>
                    <w:snapToGrid w:val="0"/>
                    <w:spacing w:before="0" w:beforeAutospacing="0" w:after="0" w:afterAutospacing="0" w:line="0" w:lineRule="atLeast"/>
                    <w:ind w:left="0" w:right="0"/>
                    <w:jc w:val="center"/>
                    <w:rPr>
                      <w:rFonts w:hint="default"/>
                      <w:color w:val="auto"/>
                      <w:szCs w:val="21"/>
                    </w:rPr>
                  </w:pPr>
                  <w:r>
                    <w:rPr>
                      <w:rFonts w:hint="default"/>
                      <w:color w:val="auto"/>
                      <w:szCs w:val="21"/>
                    </w:rPr>
                    <w:t>自动压风机</w:t>
                  </w:r>
                </w:p>
              </w:tc>
              <w:tc>
                <w:tcPr>
                  <w:tcW w:w="1378" w:type="pct"/>
                  <w:noWrap w:val="0"/>
                  <w:vAlign w:val="center"/>
                </w:tcPr>
                <w:p w14:paraId="7881ECAF">
                  <w:pPr>
                    <w:keepNext w:val="0"/>
                    <w:keepLines w:val="0"/>
                    <w:suppressLineNumbers w:val="0"/>
                    <w:tabs>
                      <w:tab w:val="left" w:pos="1680"/>
                    </w:tabs>
                    <w:snapToGrid w:val="0"/>
                    <w:spacing w:before="0" w:beforeAutospacing="0" w:after="0" w:afterAutospacing="0" w:line="0" w:lineRule="atLeast"/>
                    <w:ind w:left="0" w:right="0"/>
                    <w:jc w:val="center"/>
                    <w:rPr>
                      <w:rFonts w:hint="default"/>
                      <w:color w:val="auto"/>
                      <w:szCs w:val="21"/>
                    </w:rPr>
                  </w:pPr>
                  <w:r>
                    <w:rPr>
                      <w:rFonts w:hint="default"/>
                      <w:color w:val="auto"/>
                      <w:szCs w:val="21"/>
                    </w:rPr>
                    <w:t>2V-6.5/1</w:t>
                  </w:r>
                  <w:r>
                    <w:rPr>
                      <w:rFonts w:hint="eastAsia"/>
                      <w:color w:val="auto"/>
                      <w:szCs w:val="21"/>
                    </w:rPr>
                    <w:t>2</w:t>
                  </w:r>
                </w:p>
              </w:tc>
              <w:tc>
                <w:tcPr>
                  <w:tcW w:w="535" w:type="pct"/>
                  <w:noWrap w:val="0"/>
                  <w:vAlign w:val="center"/>
                </w:tcPr>
                <w:p w14:paraId="3F2426D0">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w:t>
                  </w:r>
                </w:p>
              </w:tc>
              <w:tc>
                <w:tcPr>
                  <w:tcW w:w="1089" w:type="pct"/>
                  <w:noWrap w:val="0"/>
                  <w:vAlign w:val="center"/>
                </w:tcPr>
                <w:p w14:paraId="0BAAAC07">
                  <w:pPr>
                    <w:keepNext w:val="0"/>
                    <w:keepLines w:val="0"/>
                    <w:suppressLineNumbers w:val="0"/>
                    <w:spacing w:before="0" w:beforeAutospacing="0" w:after="0" w:afterAutospacing="0" w:line="0" w:lineRule="atLeast"/>
                    <w:ind w:left="0" w:right="0"/>
                    <w:jc w:val="center"/>
                    <w:rPr>
                      <w:rFonts w:hint="default"/>
                      <w:color w:val="auto"/>
                      <w:szCs w:val="21"/>
                    </w:rPr>
                  </w:pPr>
                </w:p>
              </w:tc>
            </w:tr>
            <w:tr w14:paraId="22C52C1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vMerge w:val="continue"/>
                  <w:noWrap w:val="0"/>
                  <w:vAlign w:val="center"/>
                </w:tcPr>
                <w:p w14:paraId="63132AE6">
                  <w:pPr>
                    <w:keepNext w:val="0"/>
                    <w:keepLines w:val="0"/>
                    <w:suppressLineNumbers w:val="0"/>
                    <w:spacing w:before="0" w:beforeAutospacing="0" w:after="0" w:afterAutospacing="0" w:line="0" w:lineRule="atLeast"/>
                    <w:ind w:left="0" w:right="0"/>
                    <w:jc w:val="center"/>
                    <w:rPr>
                      <w:rFonts w:hint="default"/>
                      <w:color w:val="auto"/>
                      <w:szCs w:val="21"/>
                    </w:rPr>
                  </w:pPr>
                </w:p>
              </w:tc>
              <w:tc>
                <w:tcPr>
                  <w:tcW w:w="428" w:type="pct"/>
                  <w:vMerge w:val="continue"/>
                  <w:noWrap w:val="0"/>
                  <w:vAlign w:val="center"/>
                </w:tcPr>
                <w:p w14:paraId="5A4BA241">
                  <w:pPr>
                    <w:keepNext w:val="0"/>
                    <w:keepLines w:val="0"/>
                    <w:suppressLineNumbers w:val="0"/>
                    <w:spacing w:before="0" w:beforeAutospacing="0" w:after="0" w:afterAutospacing="0" w:line="0" w:lineRule="atLeast"/>
                    <w:ind w:left="0" w:right="0"/>
                    <w:jc w:val="center"/>
                    <w:rPr>
                      <w:rFonts w:hint="default"/>
                      <w:color w:val="auto"/>
                      <w:szCs w:val="21"/>
                    </w:rPr>
                  </w:pPr>
                </w:p>
              </w:tc>
              <w:tc>
                <w:tcPr>
                  <w:tcW w:w="1235" w:type="pct"/>
                  <w:noWrap w:val="0"/>
                  <w:vAlign w:val="center"/>
                </w:tcPr>
                <w:p w14:paraId="16D6CAE6">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电动压风机</w:t>
                  </w:r>
                </w:p>
              </w:tc>
              <w:tc>
                <w:tcPr>
                  <w:tcW w:w="1378" w:type="pct"/>
                  <w:noWrap w:val="0"/>
                  <w:vAlign w:val="center"/>
                </w:tcPr>
                <w:p w14:paraId="70B7493F">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OSCA-5</w:t>
                  </w:r>
                  <w:r>
                    <w:rPr>
                      <w:rFonts w:hint="eastAsia"/>
                      <w:color w:val="auto"/>
                      <w:szCs w:val="21"/>
                    </w:rPr>
                    <w:t>0</w:t>
                  </w:r>
                  <w:r>
                    <w:rPr>
                      <w:rFonts w:hint="default"/>
                      <w:color w:val="auto"/>
                      <w:szCs w:val="21"/>
                    </w:rPr>
                    <w:t>A</w:t>
                  </w:r>
                </w:p>
              </w:tc>
              <w:tc>
                <w:tcPr>
                  <w:tcW w:w="535" w:type="pct"/>
                  <w:noWrap w:val="0"/>
                  <w:vAlign w:val="center"/>
                </w:tcPr>
                <w:p w14:paraId="20E25C1C">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2</w:t>
                  </w:r>
                </w:p>
              </w:tc>
              <w:tc>
                <w:tcPr>
                  <w:tcW w:w="1089" w:type="pct"/>
                  <w:noWrap w:val="0"/>
                  <w:vAlign w:val="center"/>
                </w:tcPr>
                <w:p w14:paraId="4EB2C670">
                  <w:pPr>
                    <w:keepNext w:val="0"/>
                    <w:keepLines w:val="0"/>
                    <w:suppressLineNumbers w:val="0"/>
                    <w:spacing w:before="0" w:beforeAutospacing="0" w:after="0" w:afterAutospacing="0" w:line="0" w:lineRule="atLeast"/>
                    <w:ind w:left="0" w:right="0"/>
                    <w:jc w:val="center"/>
                    <w:rPr>
                      <w:rFonts w:hint="default"/>
                      <w:color w:val="auto"/>
                      <w:szCs w:val="21"/>
                    </w:rPr>
                  </w:pPr>
                </w:p>
              </w:tc>
            </w:tr>
            <w:tr w14:paraId="73C2B8D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vMerge w:val="continue"/>
                  <w:noWrap w:val="0"/>
                  <w:vAlign w:val="center"/>
                </w:tcPr>
                <w:p w14:paraId="314AD8CB">
                  <w:pPr>
                    <w:keepNext w:val="0"/>
                    <w:keepLines w:val="0"/>
                    <w:suppressLineNumbers w:val="0"/>
                    <w:spacing w:before="0" w:beforeAutospacing="0" w:after="0" w:afterAutospacing="0" w:line="0" w:lineRule="atLeast"/>
                    <w:ind w:left="0" w:right="0"/>
                    <w:jc w:val="center"/>
                    <w:rPr>
                      <w:rFonts w:hint="default"/>
                      <w:color w:val="auto"/>
                      <w:szCs w:val="21"/>
                    </w:rPr>
                  </w:pPr>
                </w:p>
              </w:tc>
              <w:tc>
                <w:tcPr>
                  <w:tcW w:w="428" w:type="pct"/>
                  <w:vMerge w:val="continue"/>
                  <w:noWrap w:val="0"/>
                  <w:vAlign w:val="center"/>
                </w:tcPr>
                <w:p w14:paraId="2C12AD39">
                  <w:pPr>
                    <w:keepNext w:val="0"/>
                    <w:keepLines w:val="0"/>
                    <w:suppressLineNumbers w:val="0"/>
                    <w:spacing w:before="0" w:beforeAutospacing="0" w:after="0" w:afterAutospacing="0" w:line="0" w:lineRule="atLeast"/>
                    <w:ind w:left="0" w:right="0"/>
                    <w:jc w:val="center"/>
                    <w:rPr>
                      <w:rFonts w:hint="default"/>
                      <w:color w:val="auto"/>
                      <w:szCs w:val="21"/>
                    </w:rPr>
                  </w:pPr>
                </w:p>
              </w:tc>
              <w:tc>
                <w:tcPr>
                  <w:tcW w:w="1235" w:type="pct"/>
                  <w:noWrap w:val="0"/>
                  <w:vAlign w:val="center"/>
                </w:tcPr>
                <w:p w14:paraId="5B174267">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气源净化装置</w:t>
                  </w:r>
                </w:p>
              </w:tc>
              <w:tc>
                <w:tcPr>
                  <w:tcW w:w="1378" w:type="pct"/>
                  <w:noWrap w:val="0"/>
                  <w:vAlign w:val="center"/>
                </w:tcPr>
                <w:p w14:paraId="067A0ABC">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Z7</w:t>
                  </w:r>
                  <w:r>
                    <w:rPr>
                      <w:rFonts w:hint="eastAsia"/>
                      <w:color w:val="auto"/>
                      <w:szCs w:val="21"/>
                    </w:rPr>
                    <w:t>0</w:t>
                  </w:r>
                </w:p>
              </w:tc>
              <w:tc>
                <w:tcPr>
                  <w:tcW w:w="535" w:type="pct"/>
                  <w:noWrap w:val="0"/>
                  <w:vAlign w:val="center"/>
                </w:tcPr>
                <w:p w14:paraId="000DE580">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w:t>
                  </w:r>
                </w:p>
              </w:tc>
              <w:tc>
                <w:tcPr>
                  <w:tcW w:w="1089" w:type="pct"/>
                  <w:noWrap w:val="0"/>
                  <w:vAlign w:val="center"/>
                </w:tcPr>
                <w:p w14:paraId="4A26C22F">
                  <w:pPr>
                    <w:keepNext w:val="0"/>
                    <w:keepLines w:val="0"/>
                    <w:suppressLineNumbers w:val="0"/>
                    <w:spacing w:before="0" w:beforeAutospacing="0" w:after="0" w:afterAutospacing="0" w:line="0" w:lineRule="atLeast"/>
                    <w:ind w:left="0" w:right="0"/>
                    <w:jc w:val="center"/>
                    <w:rPr>
                      <w:rFonts w:hint="default"/>
                      <w:color w:val="auto"/>
                      <w:szCs w:val="21"/>
                    </w:rPr>
                  </w:pPr>
                </w:p>
              </w:tc>
            </w:tr>
            <w:tr w14:paraId="29981E1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vMerge w:val="continue"/>
                  <w:noWrap w:val="0"/>
                  <w:vAlign w:val="center"/>
                </w:tcPr>
                <w:p w14:paraId="3C5F2653">
                  <w:pPr>
                    <w:keepNext w:val="0"/>
                    <w:keepLines w:val="0"/>
                    <w:suppressLineNumbers w:val="0"/>
                    <w:spacing w:before="0" w:beforeAutospacing="0" w:after="0" w:afterAutospacing="0" w:line="0" w:lineRule="atLeast"/>
                    <w:ind w:left="0" w:right="0"/>
                    <w:jc w:val="center"/>
                    <w:rPr>
                      <w:rFonts w:hint="default"/>
                      <w:color w:val="auto"/>
                      <w:szCs w:val="21"/>
                    </w:rPr>
                  </w:pPr>
                </w:p>
              </w:tc>
              <w:tc>
                <w:tcPr>
                  <w:tcW w:w="428" w:type="pct"/>
                  <w:vMerge w:val="continue"/>
                  <w:noWrap w:val="0"/>
                  <w:vAlign w:val="center"/>
                </w:tcPr>
                <w:p w14:paraId="73FDBB3B">
                  <w:pPr>
                    <w:keepNext w:val="0"/>
                    <w:keepLines w:val="0"/>
                    <w:suppressLineNumbers w:val="0"/>
                    <w:spacing w:before="0" w:beforeAutospacing="0" w:after="0" w:afterAutospacing="0" w:line="0" w:lineRule="atLeast"/>
                    <w:ind w:left="0" w:right="0"/>
                    <w:jc w:val="center"/>
                    <w:rPr>
                      <w:rFonts w:hint="default"/>
                      <w:color w:val="auto"/>
                      <w:szCs w:val="21"/>
                    </w:rPr>
                  </w:pPr>
                </w:p>
              </w:tc>
              <w:tc>
                <w:tcPr>
                  <w:tcW w:w="1235" w:type="pct"/>
                  <w:noWrap w:val="0"/>
                  <w:vAlign w:val="center"/>
                </w:tcPr>
                <w:p w14:paraId="3C64E643">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刹车系统</w:t>
                  </w:r>
                </w:p>
              </w:tc>
              <w:tc>
                <w:tcPr>
                  <w:tcW w:w="1378" w:type="pct"/>
                  <w:noWrap w:val="0"/>
                  <w:vAlign w:val="center"/>
                </w:tcPr>
                <w:p w14:paraId="3C866E7E">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PS-70</w:t>
                  </w:r>
                </w:p>
              </w:tc>
              <w:tc>
                <w:tcPr>
                  <w:tcW w:w="535" w:type="pct"/>
                  <w:noWrap w:val="0"/>
                  <w:vAlign w:val="center"/>
                </w:tcPr>
                <w:p w14:paraId="601B3BD6">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w:t>
                  </w:r>
                </w:p>
              </w:tc>
              <w:tc>
                <w:tcPr>
                  <w:tcW w:w="1089" w:type="pct"/>
                  <w:noWrap w:val="0"/>
                  <w:vAlign w:val="center"/>
                </w:tcPr>
                <w:p w14:paraId="0A3C1F9F">
                  <w:pPr>
                    <w:keepNext w:val="0"/>
                    <w:keepLines w:val="0"/>
                    <w:suppressLineNumbers w:val="0"/>
                    <w:spacing w:before="0" w:beforeAutospacing="0" w:after="0" w:afterAutospacing="0" w:line="0" w:lineRule="atLeast"/>
                    <w:ind w:left="0" w:right="0"/>
                    <w:jc w:val="center"/>
                    <w:rPr>
                      <w:rFonts w:hint="default"/>
                      <w:color w:val="auto"/>
                      <w:szCs w:val="21"/>
                    </w:rPr>
                  </w:pPr>
                </w:p>
              </w:tc>
            </w:tr>
            <w:tr w14:paraId="187DECD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vMerge w:val="continue"/>
                  <w:noWrap w:val="0"/>
                  <w:vAlign w:val="center"/>
                </w:tcPr>
                <w:p w14:paraId="77FCF694">
                  <w:pPr>
                    <w:keepNext w:val="0"/>
                    <w:keepLines w:val="0"/>
                    <w:suppressLineNumbers w:val="0"/>
                    <w:spacing w:before="0" w:beforeAutospacing="0" w:after="0" w:afterAutospacing="0" w:line="0" w:lineRule="atLeast"/>
                    <w:ind w:left="0" w:right="0"/>
                    <w:jc w:val="center"/>
                    <w:rPr>
                      <w:rFonts w:hint="default"/>
                      <w:color w:val="auto"/>
                      <w:szCs w:val="21"/>
                    </w:rPr>
                  </w:pPr>
                </w:p>
              </w:tc>
              <w:tc>
                <w:tcPr>
                  <w:tcW w:w="428" w:type="pct"/>
                  <w:vMerge w:val="continue"/>
                  <w:noWrap w:val="0"/>
                  <w:vAlign w:val="center"/>
                </w:tcPr>
                <w:p w14:paraId="164EADFE">
                  <w:pPr>
                    <w:keepNext w:val="0"/>
                    <w:keepLines w:val="0"/>
                    <w:suppressLineNumbers w:val="0"/>
                    <w:spacing w:before="0" w:beforeAutospacing="0" w:after="0" w:afterAutospacing="0" w:line="0" w:lineRule="atLeast"/>
                    <w:ind w:left="0" w:right="0"/>
                    <w:jc w:val="center"/>
                    <w:rPr>
                      <w:rFonts w:hint="default"/>
                      <w:color w:val="auto"/>
                      <w:szCs w:val="21"/>
                    </w:rPr>
                  </w:pPr>
                </w:p>
              </w:tc>
              <w:tc>
                <w:tcPr>
                  <w:tcW w:w="1235" w:type="pct"/>
                  <w:noWrap w:val="0"/>
                  <w:vAlign w:val="center"/>
                </w:tcPr>
                <w:p w14:paraId="4B0DBBB7">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辅助刹车</w:t>
                  </w:r>
                </w:p>
              </w:tc>
              <w:tc>
                <w:tcPr>
                  <w:tcW w:w="1378" w:type="pct"/>
                  <w:noWrap w:val="0"/>
                  <w:vAlign w:val="center"/>
                </w:tcPr>
                <w:p w14:paraId="7E19474F">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D</w:t>
                  </w:r>
                  <w:r>
                    <w:rPr>
                      <w:rFonts w:hint="eastAsia"/>
                      <w:color w:val="auto"/>
                      <w:szCs w:val="21"/>
                    </w:rPr>
                    <w:t>S</w:t>
                  </w:r>
                  <w:r>
                    <w:rPr>
                      <w:rFonts w:hint="default"/>
                      <w:color w:val="auto"/>
                      <w:szCs w:val="21"/>
                    </w:rPr>
                    <w:t>F</w:t>
                  </w:r>
                  <w:r>
                    <w:rPr>
                      <w:rFonts w:hint="eastAsia"/>
                      <w:color w:val="auto"/>
                      <w:szCs w:val="21"/>
                    </w:rPr>
                    <w:t>7</w:t>
                  </w:r>
                  <w:r>
                    <w:rPr>
                      <w:rFonts w:hint="default"/>
                      <w:color w:val="auto"/>
                      <w:szCs w:val="21"/>
                    </w:rPr>
                    <w:t>0</w:t>
                  </w:r>
                </w:p>
              </w:tc>
              <w:tc>
                <w:tcPr>
                  <w:tcW w:w="535" w:type="pct"/>
                  <w:noWrap w:val="0"/>
                  <w:vAlign w:val="center"/>
                </w:tcPr>
                <w:p w14:paraId="1F14F27E">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w:t>
                  </w:r>
                </w:p>
              </w:tc>
              <w:tc>
                <w:tcPr>
                  <w:tcW w:w="1089" w:type="pct"/>
                  <w:noWrap w:val="0"/>
                  <w:vAlign w:val="center"/>
                </w:tcPr>
                <w:p w14:paraId="61857F37">
                  <w:pPr>
                    <w:keepNext w:val="0"/>
                    <w:keepLines w:val="0"/>
                    <w:suppressLineNumbers w:val="0"/>
                    <w:spacing w:before="0" w:beforeAutospacing="0" w:after="0" w:afterAutospacing="0" w:line="0" w:lineRule="atLeast"/>
                    <w:ind w:left="0" w:right="0"/>
                    <w:jc w:val="center"/>
                    <w:rPr>
                      <w:rFonts w:hint="default"/>
                      <w:color w:val="auto"/>
                      <w:szCs w:val="21"/>
                    </w:rPr>
                  </w:pPr>
                </w:p>
              </w:tc>
            </w:tr>
            <w:tr w14:paraId="74BAED1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vMerge w:val="restart"/>
                  <w:noWrap w:val="0"/>
                  <w:vAlign w:val="center"/>
                </w:tcPr>
                <w:p w14:paraId="36BA566E">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9</w:t>
                  </w:r>
                </w:p>
              </w:tc>
              <w:tc>
                <w:tcPr>
                  <w:tcW w:w="428" w:type="pct"/>
                  <w:vMerge w:val="restart"/>
                  <w:noWrap w:val="0"/>
                  <w:vAlign w:val="center"/>
                </w:tcPr>
                <w:p w14:paraId="1D137F3B">
                  <w:pPr>
                    <w:keepNext w:val="0"/>
                    <w:keepLines w:val="0"/>
                    <w:suppressLineNumbers w:val="0"/>
                    <w:snapToGrid w:val="0"/>
                    <w:spacing w:before="0" w:beforeAutospacing="0" w:after="0" w:afterAutospacing="0" w:line="0" w:lineRule="atLeast"/>
                    <w:ind w:left="0" w:right="0"/>
                    <w:jc w:val="center"/>
                    <w:rPr>
                      <w:rFonts w:hint="eastAsia" w:eastAsia="宋体"/>
                      <w:color w:val="auto"/>
                      <w:szCs w:val="21"/>
                      <w:lang w:eastAsia="zh-CN"/>
                    </w:rPr>
                  </w:pPr>
                  <w:r>
                    <w:rPr>
                      <w:rFonts w:hint="default"/>
                      <w:color w:val="auto"/>
                      <w:szCs w:val="21"/>
                    </w:rPr>
                    <w:t>固控</w:t>
                  </w:r>
                  <w:r>
                    <w:rPr>
                      <w:rFonts w:hint="eastAsia"/>
                      <w:color w:val="auto"/>
                      <w:szCs w:val="21"/>
                      <w:highlight w:val="none"/>
                      <w:lang w:eastAsia="zh-CN"/>
                    </w:rPr>
                    <w:t>系统</w:t>
                  </w:r>
                  <w:r>
                    <w:rPr>
                      <w:rFonts w:hint="eastAsia"/>
                      <w:color w:val="auto"/>
                      <w:szCs w:val="21"/>
                      <w:lang w:eastAsia="zh-CN"/>
                    </w:rPr>
                    <w:t>振动筛</w:t>
                  </w:r>
                </w:p>
              </w:tc>
              <w:tc>
                <w:tcPr>
                  <w:tcW w:w="1235" w:type="pct"/>
                  <w:noWrap w:val="0"/>
                  <w:vAlign w:val="center"/>
                </w:tcPr>
                <w:p w14:paraId="483A2E2B">
                  <w:pPr>
                    <w:keepNext w:val="0"/>
                    <w:keepLines w:val="0"/>
                    <w:suppressLineNumbers w:val="0"/>
                    <w:snapToGrid w:val="0"/>
                    <w:spacing w:before="0" w:beforeAutospacing="0" w:after="0" w:afterAutospacing="0" w:line="0" w:lineRule="atLeast"/>
                    <w:ind w:left="0" w:right="0"/>
                    <w:jc w:val="center"/>
                    <w:rPr>
                      <w:rFonts w:hint="default"/>
                      <w:color w:val="auto"/>
                      <w:szCs w:val="21"/>
                    </w:rPr>
                  </w:pPr>
                  <w:r>
                    <w:rPr>
                      <w:rFonts w:hint="default"/>
                      <w:color w:val="auto"/>
                      <w:szCs w:val="21"/>
                      <w:highlight w:val="none"/>
                    </w:rPr>
                    <w:t>震</w:t>
                  </w:r>
                  <w:r>
                    <w:rPr>
                      <w:rFonts w:hint="default"/>
                      <w:color w:val="auto"/>
                      <w:szCs w:val="21"/>
                    </w:rPr>
                    <w:t>动筛1#</w:t>
                  </w:r>
                </w:p>
              </w:tc>
              <w:tc>
                <w:tcPr>
                  <w:tcW w:w="1378" w:type="pct"/>
                  <w:noWrap w:val="0"/>
                  <w:vAlign w:val="center"/>
                </w:tcPr>
                <w:p w14:paraId="1C71C5D7">
                  <w:pPr>
                    <w:keepNext w:val="0"/>
                    <w:keepLines w:val="0"/>
                    <w:suppressLineNumbers w:val="0"/>
                    <w:tabs>
                      <w:tab w:val="left" w:pos="1680"/>
                    </w:tabs>
                    <w:snapToGrid w:val="0"/>
                    <w:spacing w:before="0" w:beforeAutospacing="0" w:after="0" w:afterAutospacing="0" w:line="0" w:lineRule="atLeast"/>
                    <w:ind w:left="0" w:right="0"/>
                    <w:jc w:val="center"/>
                    <w:rPr>
                      <w:rFonts w:hint="default"/>
                      <w:color w:val="auto"/>
                      <w:szCs w:val="21"/>
                    </w:rPr>
                  </w:pPr>
                  <w:r>
                    <w:rPr>
                      <w:rFonts w:hint="default"/>
                      <w:color w:val="auto"/>
                      <w:szCs w:val="21"/>
                    </w:rPr>
                    <w:t>S230-3</w:t>
                  </w:r>
                </w:p>
              </w:tc>
              <w:tc>
                <w:tcPr>
                  <w:tcW w:w="535" w:type="pct"/>
                  <w:noWrap w:val="0"/>
                  <w:vAlign w:val="center"/>
                </w:tcPr>
                <w:p w14:paraId="22CE9C4D">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w:t>
                  </w:r>
                </w:p>
              </w:tc>
              <w:tc>
                <w:tcPr>
                  <w:tcW w:w="1089" w:type="pct"/>
                  <w:noWrap w:val="0"/>
                  <w:vAlign w:val="center"/>
                </w:tcPr>
                <w:p w14:paraId="1E3E261C">
                  <w:pPr>
                    <w:keepNext w:val="0"/>
                    <w:keepLines w:val="0"/>
                    <w:suppressLineNumbers w:val="0"/>
                    <w:spacing w:before="0" w:beforeAutospacing="0" w:after="0" w:afterAutospacing="0" w:line="0" w:lineRule="atLeast"/>
                    <w:ind w:left="0" w:right="0"/>
                    <w:jc w:val="center"/>
                    <w:rPr>
                      <w:rFonts w:hint="default"/>
                      <w:color w:val="auto"/>
                      <w:szCs w:val="21"/>
                    </w:rPr>
                  </w:pPr>
                </w:p>
              </w:tc>
            </w:tr>
            <w:tr w14:paraId="236088F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vMerge w:val="continue"/>
                  <w:noWrap w:val="0"/>
                  <w:vAlign w:val="center"/>
                </w:tcPr>
                <w:p w14:paraId="1DCCE238">
                  <w:pPr>
                    <w:keepNext w:val="0"/>
                    <w:keepLines w:val="0"/>
                    <w:suppressLineNumbers w:val="0"/>
                    <w:spacing w:before="0" w:beforeAutospacing="0" w:after="0" w:afterAutospacing="0" w:line="0" w:lineRule="atLeast"/>
                    <w:ind w:left="0" w:right="0"/>
                    <w:jc w:val="center"/>
                    <w:rPr>
                      <w:rFonts w:hint="default"/>
                      <w:color w:val="auto"/>
                      <w:szCs w:val="21"/>
                    </w:rPr>
                  </w:pPr>
                </w:p>
              </w:tc>
              <w:tc>
                <w:tcPr>
                  <w:tcW w:w="428" w:type="pct"/>
                  <w:vMerge w:val="continue"/>
                  <w:noWrap w:val="0"/>
                  <w:vAlign w:val="center"/>
                </w:tcPr>
                <w:p w14:paraId="2E91D61E">
                  <w:pPr>
                    <w:keepNext w:val="0"/>
                    <w:keepLines w:val="0"/>
                    <w:suppressLineNumbers w:val="0"/>
                    <w:spacing w:before="0" w:beforeAutospacing="0" w:after="0" w:afterAutospacing="0" w:line="0" w:lineRule="atLeast"/>
                    <w:ind w:left="0" w:right="0"/>
                    <w:jc w:val="center"/>
                    <w:rPr>
                      <w:rFonts w:hint="eastAsia" w:eastAsia="宋体"/>
                      <w:color w:val="auto"/>
                      <w:szCs w:val="21"/>
                      <w:lang w:eastAsia="zh-CN"/>
                    </w:rPr>
                  </w:pPr>
                  <w:r>
                    <w:rPr>
                      <w:rFonts w:hint="eastAsia"/>
                      <w:color w:val="auto"/>
                      <w:szCs w:val="21"/>
                      <w:highlight w:val="none"/>
                      <w:lang w:eastAsia="zh-CN"/>
                    </w:rPr>
                    <w:t>振动筛振动筛</w:t>
                  </w:r>
                </w:p>
              </w:tc>
              <w:tc>
                <w:tcPr>
                  <w:tcW w:w="1235" w:type="pct"/>
                  <w:noWrap w:val="0"/>
                  <w:vAlign w:val="center"/>
                </w:tcPr>
                <w:p w14:paraId="2FE091E0">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highlight w:val="none"/>
                    </w:rPr>
                    <w:t>震</w:t>
                  </w:r>
                  <w:r>
                    <w:rPr>
                      <w:rFonts w:hint="default"/>
                      <w:color w:val="auto"/>
                      <w:szCs w:val="21"/>
                    </w:rPr>
                    <w:t>动筛2#</w:t>
                  </w:r>
                </w:p>
              </w:tc>
              <w:tc>
                <w:tcPr>
                  <w:tcW w:w="1378" w:type="pct"/>
                  <w:noWrap w:val="0"/>
                  <w:vAlign w:val="center"/>
                </w:tcPr>
                <w:p w14:paraId="3F9B02A5">
                  <w:pPr>
                    <w:keepNext w:val="0"/>
                    <w:keepLines w:val="0"/>
                    <w:suppressLineNumbers w:val="0"/>
                    <w:tabs>
                      <w:tab w:val="left" w:pos="1680"/>
                    </w:tabs>
                    <w:snapToGrid w:val="0"/>
                    <w:spacing w:before="0" w:beforeAutospacing="0" w:after="0" w:afterAutospacing="0" w:line="0" w:lineRule="atLeast"/>
                    <w:ind w:left="0" w:right="0"/>
                    <w:jc w:val="center"/>
                    <w:rPr>
                      <w:rFonts w:hint="default"/>
                      <w:color w:val="auto"/>
                      <w:szCs w:val="21"/>
                    </w:rPr>
                  </w:pPr>
                  <w:r>
                    <w:rPr>
                      <w:rFonts w:hint="default"/>
                      <w:color w:val="auto"/>
                      <w:szCs w:val="21"/>
                    </w:rPr>
                    <w:t>S230-3</w:t>
                  </w:r>
                </w:p>
              </w:tc>
              <w:tc>
                <w:tcPr>
                  <w:tcW w:w="535" w:type="pct"/>
                  <w:noWrap w:val="0"/>
                  <w:vAlign w:val="center"/>
                </w:tcPr>
                <w:p w14:paraId="190040D1">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w:t>
                  </w:r>
                </w:p>
              </w:tc>
              <w:tc>
                <w:tcPr>
                  <w:tcW w:w="1089" w:type="pct"/>
                  <w:noWrap w:val="0"/>
                  <w:vAlign w:val="center"/>
                </w:tcPr>
                <w:p w14:paraId="19EBFF44">
                  <w:pPr>
                    <w:keepNext w:val="0"/>
                    <w:keepLines w:val="0"/>
                    <w:suppressLineNumbers w:val="0"/>
                    <w:spacing w:before="0" w:beforeAutospacing="0" w:after="0" w:afterAutospacing="0" w:line="0" w:lineRule="atLeast"/>
                    <w:ind w:left="0" w:right="0"/>
                    <w:jc w:val="center"/>
                    <w:rPr>
                      <w:rFonts w:hint="default"/>
                      <w:color w:val="auto"/>
                      <w:szCs w:val="21"/>
                    </w:rPr>
                  </w:pPr>
                </w:p>
              </w:tc>
            </w:tr>
            <w:tr w14:paraId="4856442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vMerge w:val="continue"/>
                  <w:noWrap w:val="0"/>
                  <w:vAlign w:val="center"/>
                </w:tcPr>
                <w:p w14:paraId="24F52F1E">
                  <w:pPr>
                    <w:keepNext w:val="0"/>
                    <w:keepLines w:val="0"/>
                    <w:suppressLineNumbers w:val="0"/>
                    <w:spacing w:before="0" w:beforeAutospacing="0" w:after="0" w:afterAutospacing="0" w:line="0" w:lineRule="atLeast"/>
                    <w:ind w:left="0" w:right="0"/>
                    <w:jc w:val="center"/>
                    <w:rPr>
                      <w:rFonts w:hint="default"/>
                      <w:color w:val="auto"/>
                      <w:szCs w:val="21"/>
                    </w:rPr>
                  </w:pPr>
                </w:p>
              </w:tc>
              <w:tc>
                <w:tcPr>
                  <w:tcW w:w="428" w:type="pct"/>
                  <w:vMerge w:val="continue"/>
                  <w:noWrap w:val="0"/>
                  <w:vAlign w:val="center"/>
                </w:tcPr>
                <w:p w14:paraId="482C741A">
                  <w:pPr>
                    <w:keepNext w:val="0"/>
                    <w:keepLines w:val="0"/>
                    <w:suppressLineNumbers w:val="0"/>
                    <w:spacing w:before="0" w:beforeAutospacing="0" w:after="0" w:afterAutospacing="0" w:line="0" w:lineRule="atLeast"/>
                    <w:ind w:left="0" w:right="0"/>
                    <w:jc w:val="center"/>
                    <w:rPr>
                      <w:rFonts w:hint="eastAsia" w:eastAsia="宋体"/>
                      <w:color w:val="auto"/>
                      <w:szCs w:val="21"/>
                      <w:lang w:eastAsia="zh-CN"/>
                    </w:rPr>
                  </w:pPr>
                  <w:r>
                    <w:rPr>
                      <w:rFonts w:hint="eastAsia"/>
                      <w:color w:val="auto"/>
                      <w:szCs w:val="21"/>
                      <w:highlight w:val="none"/>
                      <w:lang w:eastAsia="zh-CN"/>
                    </w:rPr>
                    <w:t>振动筛振动筛</w:t>
                  </w:r>
                </w:p>
              </w:tc>
              <w:tc>
                <w:tcPr>
                  <w:tcW w:w="1235" w:type="pct"/>
                  <w:noWrap w:val="0"/>
                  <w:vAlign w:val="center"/>
                </w:tcPr>
                <w:p w14:paraId="6065305A">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highlight w:val="none"/>
                    </w:rPr>
                    <w:t>震</w:t>
                  </w:r>
                  <w:r>
                    <w:rPr>
                      <w:rFonts w:hint="default"/>
                      <w:color w:val="auto"/>
                      <w:szCs w:val="21"/>
                    </w:rPr>
                    <w:t>动筛3#</w:t>
                  </w:r>
                </w:p>
              </w:tc>
              <w:tc>
                <w:tcPr>
                  <w:tcW w:w="1378" w:type="pct"/>
                  <w:noWrap w:val="0"/>
                  <w:vAlign w:val="center"/>
                </w:tcPr>
                <w:p w14:paraId="68112C49">
                  <w:pPr>
                    <w:keepNext w:val="0"/>
                    <w:keepLines w:val="0"/>
                    <w:suppressLineNumbers w:val="0"/>
                    <w:snapToGrid w:val="0"/>
                    <w:spacing w:before="0" w:beforeAutospacing="0" w:after="0" w:afterAutospacing="0" w:line="0" w:lineRule="atLeast"/>
                    <w:ind w:left="0" w:right="0"/>
                    <w:jc w:val="center"/>
                    <w:rPr>
                      <w:rFonts w:hint="default"/>
                      <w:color w:val="auto"/>
                      <w:szCs w:val="21"/>
                    </w:rPr>
                  </w:pPr>
                  <w:r>
                    <w:rPr>
                      <w:rFonts w:hint="default"/>
                      <w:color w:val="auto"/>
                      <w:szCs w:val="21"/>
                    </w:rPr>
                    <w:t>S230-3</w:t>
                  </w:r>
                </w:p>
              </w:tc>
              <w:tc>
                <w:tcPr>
                  <w:tcW w:w="535" w:type="pct"/>
                  <w:noWrap w:val="0"/>
                  <w:vAlign w:val="center"/>
                </w:tcPr>
                <w:p w14:paraId="3640ECFB">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w:t>
                  </w:r>
                </w:p>
              </w:tc>
              <w:tc>
                <w:tcPr>
                  <w:tcW w:w="1089" w:type="pct"/>
                  <w:noWrap w:val="0"/>
                  <w:vAlign w:val="center"/>
                </w:tcPr>
                <w:p w14:paraId="3AA0E556">
                  <w:pPr>
                    <w:keepNext w:val="0"/>
                    <w:keepLines w:val="0"/>
                    <w:suppressLineNumbers w:val="0"/>
                    <w:spacing w:before="0" w:beforeAutospacing="0" w:after="0" w:afterAutospacing="0" w:line="0" w:lineRule="atLeast"/>
                    <w:ind w:left="0" w:right="0"/>
                    <w:jc w:val="center"/>
                    <w:rPr>
                      <w:rFonts w:hint="default"/>
                      <w:color w:val="auto"/>
                      <w:szCs w:val="21"/>
                    </w:rPr>
                  </w:pPr>
                </w:p>
              </w:tc>
            </w:tr>
            <w:tr w14:paraId="7DD7EBE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vMerge w:val="continue"/>
                  <w:noWrap w:val="0"/>
                  <w:vAlign w:val="center"/>
                </w:tcPr>
                <w:p w14:paraId="204D758E">
                  <w:pPr>
                    <w:keepNext w:val="0"/>
                    <w:keepLines w:val="0"/>
                    <w:suppressLineNumbers w:val="0"/>
                    <w:spacing w:before="0" w:beforeAutospacing="0" w:after="0" w:afterAutospacing="0" w:line="0" w:lineRule="atLeast"/>
                    <w:ind w:left="0" w:right="0"/>
                    <w:jc w:val="center"/>
                    <w:rPr>
                      <w:rFonts w:hint="default"/>
                      <w:color w:val="auto"/>
                      <w:szCs w:val="21"/>
                    </w:rPr>
                  </w:pPr>
                </w:p>
              </w:tc>
              <w:tc>
                <w:tcPr>
                  <w:tcW w:w="428" w:type="pct"/>
                  <w:vMerge w:val="continue"/>
                  <w:noWrap w:val="0"/>
                  <w:vAlign w:val="center"/>
                </w:tcPr>
                <w:p w14:paraId="3C7469E8">
                  <w:pPr>
                    <w:keepNext w:val="0"/>
                    <w:keepLines w:val="0"/>
                    <w:suppressLineNumbers w:val="0"/>
                    <w:spacing w:before="0" w:beforeAutospacing="0" w:after="0" w:afterAutospacing="0" w:line="0" w:lineRule="atLeast"/>
                    <w:ind w:left="0" w:right="0"/>
                    <w:jc w:val="center"/>
                    <w:rPr>
                      <w:rFonts w:hint="default"/>
                      <w:color w:val="auto"/>
                      <w:szCs w:val="21"/>
                    </w:rPr>
                  </w:pPr>
                </w:p>
              </w:tc>
              <w:tc>
                <w:tcPr>
                  <w:tcW w:w="1235" w:type="pct"/>
                  <w:noWrap w:val="0"/>
                  <w:vAlign w:val="center"/>
                </w:tcPr>
                <w:p w14:paraId="10481F62">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真空除气器</w:t>
                  </w:r>
                </w:p>
              </w:tc>
              <w:tc>
                <w:tcPr>
                  <w:tcW w:w="1378" w:type="pct"/>
                  <w:noWrap w:val="0"/>
                  <w:vAlign w:val="center"/>
                </w:tcPr>
                <w:p w14:paraId="4E77B642">
                  <w:pPr>
                    <w:keepNext w:val="0"/>
                    <w:keepLines w:val="0"/>
                    <w:suppressLineNumbers w:val="0"/>
                    <w:tabs>
                      <w:tab w:val="left" w:pos="1680"/>
                    </w:tabs>
                    <w:snapToGrid w:val="0"/>
                    <w:spacing w:before="0" w:beforeAutospacing="0" w:after="0" w:afterAutospacing="0" w:line="0" w:lineRule="atLeast"/>
                    <w:ind w:left="0" w:right="0"/>
                    <w:jc w:val="center"/>
                    <w:rPr>
                      <w:rFonts w:hint="default"/>
                      <w:color w:val="auto"/>
                      <w:szCs w:val="21"/>
                    </w:rPr>
                  </w:pPr>
                  <w:r>
                    <w:rPr>
                      <w:rFonts w:hint="default"/>
                      <w:color w:val="auto"/>
                      <w:szCs w:val="21"/>
                    </w:rPr>
                    <w:t>ZCQW1/4</w:t>
                  </w:r>
                </w:p>
              </w:tc>
              <w:tc>
                <w:tcPr>
                  <w:tcW w:w="535" w:type="pct"/>
                  <w:noWrap w:val="0"/>
                  <w:vAlign w:val="center"/>
                </w:tcPr>
                <w:p w14:paraId="46B31985">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2</w:t>
                  </w:r>
                </w:p>
              </w:tc>
              <w:tc>
                <w:tcPr>
                  <w:tcW w:w="1089" w:type="pct"/>
                  <w:noWrap w:val="0"/>
                  <w:vAlign w:val="center"/>
                </w:tcPr>
                <w:p w14:paraId="1C8DE158">
                  <w:pPr>
                    <w:keepNext w:val="0"/>
                    <w:keepLines w:val="0"/>
                    <w:suppressLineNumbers w:val="0"/>
                    <w:spacing w:before="0" w:beforeAutospacing="0" w:after="0" w:afterAutospacing="0" w:line="0" w:lineRule="atLeast"/>
                    <w:ind w:left="0" w:right="0"/>
                    <w:jc w:val="center"/>
                    <w:rPr>
                      <w:rFonts w:hint="default"/>
                      <w:color w:val="auto"/>
                      <w:szCs w:val="21"/>
                    </w:rPr>
                  </w:pPr>
                </w:p>
              </w:tc>
            </w:tr>
            <w:tr w14:paraId="410CFB9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vMerge w:val="continue"/>
                  <w:noWrap w:val="0"/>
                  <w:vAlign w:val="center"/>
                </w:tcPr>
                <w:p w14:paraId="31D58F44">
                  <w:pPr>
                    <w:keepNext w:val="0"/>
                    <w:keepLines w:val="0"/>
                    <w:suppressLineNumbers w:val="0"/>
                    <w:spacing w:before="0" w:beforeAutospacing="0" w:after="0" w:afterAutospacing="0" w:line="0" w:lineRule="atLeast"/>
                    <w:ind w:left="0" w:right="0"/>
                    <w:jc w:val="center"/>
                    <w:rPr>
                      <w:rFonts w:hint="default"/>
                      <w:color w:val="auto"/>
                      <w:szCs w:val="21"/>
                    </w:rPr>
                  </w:pPr>
                </w:p>
              </w:tc>
              <w:tc>
                <w:tcPr>
                  <w:tcW w:w="428" w:type="pct"/>
                  <w:vMerge w:val="continue"/>
                  <w:noWrap w:val="0"/>
                  <w:vAlign w:val="center"/>
                </w:tcPr>
                <w:p w14:paraId="550CE28E">
                  <w:pPr>
                    <w:keepNext w:val="0"/>
                    <w:keepLines w:val="0"/>
                    <w:suppressLineNumbers w:val="0"/>
                    <w:spacing w:before="0" w:beforeAutospacing="0" w:after="0" w:afterAutospacing="0" w:line="0" w:lineRule="atLeast"/>
                    <w:ind w:left="0" w:right="0"/>
                    <w:jc w:val="center"/>
                    <w:rPr>
                      <w:rFonts w:hint="default"/>
                      <w:color w:val="auto"/>
                      <w:szCs w:val="21"/>
                    </w:rPr>
                  </w:pPr>
                </w:p>
              </w:tc>
              <w:tc>
                <w:tcPr>
                  <w:tcW w:w="1235" w:type="pct"/>
                  <w:noWrap w:val="0"/>
                  <w:vAlign w:val="center"/>
                </w:tcPr>
                <w:p w14:paraId="68A87DAA">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除砂</w:t>
                  </w:r>
                  <w:r>
                    <w:rPr>
                      <w:rFonts w:hint="default"/>
                      <w:color w:val="auto"/>
                      <w:szCs w:val="21"/>
                      <w:highlight w:val="none"/>
                    </w:rPr>
                    <w:t>-</w:t>
                  </w:r>
                  <w:r>
                    <w:rPr>
                      <w:rFonts w:hint="default"/>
                      <w:color w:val="auto"/>
                      <w:szCs w:val="21"/>
                    </w:rPr>
                    <w:t>除泥一体机</w:t>
                  </w:r>
                </w:p>
              </w:tc>
              <w:tc>
                <w:tcPr>
                  <w:tcW w:w="1378" w:type="pct"/>
                  <w:noWrap w:val="0"/>
                  <w:vAlign w:val="center"/>
                </w:tcPr>
                <w:p w14:paraId="299BBAC6">
                  <w:pPr>
                    <w:keepNext w:val="0"/>
                    <w:keepLines w:val="0"/>
                    <w:suppressLineNumbers w:val="0"/>
                    <w:tabs>
                      <w:tab w:val="left" w:pos="1680"/>
                    </w:tabs>
                    <w:snapToGrid w:val="0"/>
                    <w:spacing w:before="0" w:beforeAutospacing="0" w:after="0" w:afterAutospacing="0" w:line="0" w:lineRule="atLeast"/>
                    <w:ind w:left="1" w:leftChars="-6" w:right="0" w:hanging="14" w:hangingChars="7"/>
                    <w:jc w:val="center"/>
                    <w:rPr>
                      <w:rFonts w:hint="default"/>
                      <w:color w:val="auto"/>
                      <w:szCs w:val="21"/>
                    </w:rPr>
                  </w:pPr>
                  <w:r>
                    <w:rPr>
                      <w:rFonts w:hint="default"/>
                      <w:color w:val="auto"/>
                      <w:szCs w:val="21"/>
                    </w:rPr>
                    <w:t>XQJS-300×2F</w:t>
                  </w:r>
                </w:p>
              </w:tc>
              <w:tc>
                <w:tcPr>
                  <w:tcW w:w="535" w:type="pct"/>
                  <w:noWrap w:val="0"/>
                  <w:vAlign w:val="center"/>
                </w:tcPr>
                <w:p w14:paraId="389DEB49">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2</w:t>
                  </w:r>
                </w:p>
              </w:tc>
              <w:tc>
                <w:tcPr>
                  <w:tcW w:w="1089" w:type="pct"/>
                  <w:noWrap w:val="0"/>
                  <w:vAlign w:val="center"/>
                </w:tcPr>
                <w:p w14:paraId="1BE1C65F">
                  <w:pPr>
                    <w:keepNext w:val="0"/>
                    <w:keepLines w:val="0"/>
                    <w:suppressLineNumbers w:val="0"/>
                    <w:spacing w:before="0" w:beforeAutospacing="0" w:after="0" w:afterAutospacing="0" w:line="0" w:lineRule="atLeast"/>
                    <w:ind w:left="0" w:right="0"/>
                    <w:jc w:val="center"/>
                    <w:rPr>
                      <w:rFonts w:hint="default"/>
                      <w:color w:val="auto"/>
                      <w:szCs w:val="21"/>
                    </w:rPr>
                  </w:pPr>
                </w:p>
              </w:tc>
            </w:tr>
            <w:tr w14:paraId="13C31E7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vMerge w:val="continue"/>
                  <w:noWrap w:val="0"/>
                  <w:vAlign w:val="center"/>
                </w:tcPr>
                <w:p w14:paraId="546E53DB">
                  <w:pPr>
                    <w:keepNext w:val="0"/>
                    <w:keepLines w:val="0"/>
                    <w:suppressLineNumbers w:val="0"/>
                    <w:spacing w:before="0" w:beforeAutospacing="0" w:after="0" w:afterAutospacing="0" w:line="0" w:lineRule="atLeast"/>
                    <w:ind w:left="0" w:right="0"/>
                    <w:jc w:val="center"/>
                    <w:rPr>
                      <w:rFonts w:hint="default"/>
                      <w:color w:val="auto"/>
                      <w:szCs w:val="21"/>
                    </w:rPr>
                  </w:pPr>
                </w:p>
              </w:tc>
              <w:tc>
                <w:tcPr>
                  <w:tcW w:w="428" w:type="pct"/>
                  <w:vMerge w:val="continue"/>
                  <w:noWrap w:val="0"/>
                  <w:vAlign w:val="center"/>
                </w:tcPr>
                <w:p w14:paraId="3B6E17F2">
                  <w:pPr>
                    <w:keepNext w:val="0"/>
                    <w:keepLines w:val="0"/>
                    <w:suppressLineNumbers w:val="0"/>
                    <w:spacing w:before="0" w:beforeAutospacing="0" w:after="0" w:afterAutospacing="0" w:line="0" w:lineRule="atLeast"/>
                    <w:ind w:left="0" w:right="0"/>
                    <w:jc w:val="center"/>
                    <w:rPr>
                      <w:rFonts w:hint="default"/>
                      <w:color w:val="auto"/>
                      <w:szCs w:val="21"/>
                    </w:rPr>
                  </w:pPr>
                </w:p>
              </w:tc>
              <w:tc>
                <w:tcPr>
                  <w:tcW w:w="1235" w:type="pct"/>
                  <w:noWrap w:val="0"/>
                  <w:vAlign w:val="center"/>
                </w:tcPr>
                <w:p w14:paraId="13409905">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离心机</w:t>
                  </w:r>
                </w:p>
              </w:tc>
              <w:tc>
                <w:tcPr>
                  <w:tcW w:w="1378" w:type="pct"/>
                  <w:noWrap w:val="0"/>
                  <w:vAlign w:val="center"/>
                </w:tcPr>
                <w:p w14:paraId="534296D2">
                  <w:pPr>
                    <w:keepNext w:val="0"/>
                    <w:keepLines w:val="0"/>
                    <w:suppressLineNumbers w:val="0"/>
                    <w:tabs>
                      <w:tab w:val="left" w:pos="1680"/>
                    </w:tabs>
                    <w:snapToGrid w:val="0"/>
                    <w:spacing w:before="0" w:beforeAutospacing="0" w:after="0" w:afterAutospacing="0" w:line="0" w:lineRule="atLeast"/>
                    <w:ind w:left="0" w:right="0"/>
                    <w:jc w:val="center"/>
                    <w:rPr>
                      <w:rFonts w:hint="default"/>
                      <w:color w:val="auto"/>
                      <w:szCs w:val="21"/>
                    </w:rPr>
                  </w:pPr>
                  <w:r>
                    <w:rPr>
                      <w:rFonts w:hint="default"/>
                      <w:color w:val="auto"/>
                      <w:szCs w:val="21"/>
                    </w:rPr>
                    <w:t>LW600-101</w:t>
                  </w:r>
                  <w:r>
                    <w:rPr>
                      <w:rFonts w:hint="eastAsia"/>
                      <w:color w:val="auto"/>
                      <w:szCs w:val="21"/>
                    </w:rPr>
                    <w:t>9</w:t>
                  </w:r>
                  <w:r>
                    <w:rPr>
                      <w:rFonts w:hint="default"/>
                      <w:color w:val="auto"/>
                      <w:szCs w:val="21"/>
                    </w:rPr>
                    <w:t>N</w:t>
                  </w:r>
                </w:p>
              </w:tc>
              <w:tc>
                <w:tcPr>
                  <w:tcW w:w="535" w:type="pct"/>
                  <w:noWrap w:val="0"/>
                  <w:vAlign w:val="center"/>
                </w:tcPr>
                <w:p w14:paraId="12E85003">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2</w:t>
                  </w:r>
                </w:p>
              </w:tc>
              <w:tc>
                <w:tcPr>
                  <w:tcW w:w="1089" w:type="pct"/>
                  <w:noWrap w:val="0"/>
                  <w:vAlign w:val="center"/>
                </w:tcPr>
                <w:p w14:paraId="36805BCE">
                  <w:pPr>
                    <w:keepNext w:val="0"/>
                    <w:keepLines w:val="0"/>
                    <w:suppressLineNumbers w:val="0"/>
                    <w:spacing w:before="0" w:beforeAutospacing="0" w:after="0" w:afterAutospacing="0" w:line="0" w:lineRule="atLeast"/>
                    <w:ind w:left="0" w:right="0"/>
                    <w:jc w:val="center"/>
                    <w:rPr>
                      <w:rFonts w:hint="default"/>
                      <w:color w:val="auto"/>
                      <w:szCs w:val="21"/>
                    </w:rPr>
                  </w:pPr>
                </w:p>
              </w:tc>
            </w:tr>
            <w:tr w14:paraId="5A9A558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vMerge w:val="restart"/>
                  <w:noWrap w:val="0"/>
                  <w:vAlign w:val="center"/>
                </w:tcPr>
                <w:p w14:paraId="203F083F">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10</w:t>
                  </w:r>
                </w:p>
              </w:tc>
              <w:tc>
                <w:tcPr>
                  <w:tcW w:w="428" w:type="pct"/>
                  <w:vMerge w:val="restart"/>
                  <w:noWrap w:val="0"/>
                  <w:vAlign w:val="center"/>
                </w:tcPr>
                <w:p w14:paraId="78D79001">
                  <w:pPr>
                    <w:keepNext w:val="0"/>
                    <w:keepLines w:val="0"/>
                    <w:suppressLineNumbers w:val="0"/>
                    <w:snapToGrid w:val="0"/>
                    <w:spacing w:before="0" w:beforeAutospacing="0" w:after="0" w:afterAutospacing="0" w:line="0" w:lineRule="atLeast"/>
                    <w:ind w:left="0" w:right="0"/>
                    <w:jc w:val="center"/>
                    <w:rPr>
                      <w:rFonts w:hint="default"/>
                      <w:color w:val="auto"/>
                      <w:szCs w:val="21"/>
                    </w:rPr>
                  </w:pPr>
                  <w:r>
                    <w:rPr>
                      <w:rFonts w:hint="default"/>
                      <w:color w:val="auto"/>
                      <w:szCs w:val="21"/>
                    </w:rPr>
                    <w:t>加重装置</w:t>
                  </w:r>
                </w:p>
              </w:tc>
              <w:tc>
                <w:tcPr>
                  <w:tcW w:w="1235" w:type="pct"/>
                  <w:noWrap w:val="0"/>
                  <w:vAlign w:val="center"/>
                </w:tcPr>
                <w:p w14:paraId="4090B4DA">
                  <w:pPr>
                    <w:keepNext w:val="0"/>
                    <w:keepLines w:val="0"/>
                    <w:suppressLineNumbers w:val="0"/>
                    <w:snapToGrid w:val="0"/>
                    <w:spacing w:before="0" w:beforeAutospacing="0" w:after="0" w:afterAutospacing="0" w:line="0" w:lineRule="atLeast"/>
                    <w:ind w:left="0" w:right="0"/>
                    <w:jc w:val="center"/>
                    <w:rPr>
                      <w:rFonts w:hint="default"/>
                      <w:color w:val="auto"/>
                      <w:szCs w:val="21"/>
                    </w:rPr>
                  </w:pPr>
                  <w:r>
                    <w:rPr>
                      <w:rFonts w:hint="default"/>
                      <w:color w:val="auto"/>
                      <w:szCs w:val="21"/>
                    </w:rPr>
                    <w:t>加</w:t>
                  </w:r>
                  <w:r>
                    <w:rPr>
                      <w:rFonts w:hint="eastAsia"/>
                      <w:color w:val="auto"/>
                      <w:szCs w:val="21"/>
                    </w:rPr>
                    <w:t>重</w:t>
                  </w:r>
                  <w:r>
                    <w:rPr>
                      <w:rFonts w:hint="default"/>
                      <w:color w:val="auto"/>
                      <w:szCs w:val="21"/>
                    </w:rPr>
                    <w:t>漏斗</w:t>
                  </w:r>
                </w:p>
              </w:tc>
              <w:tc>
                <w:tcPr>
                  <w:tcW w:w="1378" w:type="pct"/>
                  <w:noWrap w:val="0"/>
                  <w:vAlign w:val="center"/>
                </w:tcPr>
                <w:p w14:paraId="78D367DC">
                  <w:pPr>
                    <w:keepNext w:val="0"/>
                    <w:keepLines w:val="0"/>
                    <w:suppressLineNumbers w:val="0"/>
                    <w:adjustRightInd w:val="0"/>
                    <w:snapToGrid w:val="0"/>
                    <w:spacing w:before="0" w:beforeAutospacing="0" w:after="0" w:afterAutospacing="0" w:line="0" w:lineRule="atLeast"/>
                    <w:ind w:left="0" w:right="0"/>
                    <w:jc w:val="center"/>
                    <w:rPr>
                      <w:rFonts w:hint="default"/>
                      <w:color w:val="auto"/>
                      <w:szCs w:val="21"/>
                    </w:rPr>
                  </w:pPr>
                  <w:r>
                    <w:rPr>
                      <w:rFonts w:hint="default"/>
                      <w:color w:val="auto"/>
                      <w:szCs w:val="21"/>
                    </w:rPr>
                    <w:t>喷射式</w:t>
                  </w:r>
                </w:p>
              </w:tc>
              <w:tc>
                <w:tcPr>
                  <w:tcW w:w="535" w:type="pct"/>
                  <w:noWrap w:val="0"/>
                  <w:vAlign w:val="center"/>
                </w:tcPr>
                <w:p w14:paraId="22C016DC">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w:t>
                  </w:r>
                </w:p>
              </w:tc>
              <w:tc>
                <w:tcPr>
                  <w:tcW w:w="1089" w:type="pct"/>
                  <w:noWrap w:val="0"/>
                  <w:vAlign w:val="center"/>
                </w:tcPr>
                <w:p w14:paraId="1983B161">
                  <w:pPr>
                    <w:keepNext w:val="0"/>
                    <w:keepLines w:val="0"/>
                    <w:suppressLineNumbers w:val="0"/>
                    <w:spacing w:before="0" w:beforeAutospacing="0" w:after="0" w:afterAutospacing="0" w:line="0" w:lineRule="atLeast"/>
                    <w:ind w:left="0" w:right="0"/>
                    <w:jc w:val="center"/>
                    <w:rPr>
                      <w:rFonts w:hint="default"/>
                      <w:color w:val="auto"/>
                      <w:szCs w:val="21"/>
                    </w:rPr>
                  </w:pPr>
                </w:p>
              </w:tc>
            </w:tr>
            <w:tr w14:paraId="5D3F137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vMerge w:val="continue"/>
                  <w:noWrap w:val="0"/>
                  <w:vAlign w:val="center"/>
                </w:tcPr>
                <w:p w14:paraId="2991ED88">
                  <w:pPr>
                    <w:keepNext w:val="0"/>
                    <w:keepLines w:val="0"/>
                    <w:suppressLineNumbers w:val="0"/>
                    <w:spacing w:before="0" w:beforeAutospacing="0" w:after="0" w:afterAutospacing="0" w:line="0" w:lineRule="atLeast"/>
                    <w:ind w:left="0" w:right="0"/>
                    <w:jc w:val="center"/>
                    <w:rPr>
                      <w:rFonts w:hint="default"/>
                      <w:color w:val="auto"/>
                      <w:szCs w:val="21"/>
                    </w:rPr>
                  </w:pPr>
                </w:p>
              </w:tc>
              <w:tc>
                <w:tcPr>
                  <w:tcW w:w="428" w:type="pct"/>
                  <w:vMerge w:val="continue"/>
                  <w:noWrap w:val="0"/>
                  <w:vAlign w:val="center"/>
                </w:tcPr>
                <w:p w14:paraId="2E1B350E">
                  <w:pPr>
                    <w:keepNext w:val="0"/>
                    <w:keepLines w:val="0"/>
                    <w:suppressLineNumbers w:val="0"/>
                    <w:spacing w:before="0" w:beforeAutospacing="0" w:after="0" w:afterAutospacing="0" w:line="0" w:lineRule="atLeast"/>
                    <w:ind w:left="0" w:right="0"/>
                    <w:jc w:val="center"/>
                    <w:rPr>
                      <w:rFonts w:hint="default"/>
                      <w:color w:val="auto"/>
                      <w:szCs w:val="21"/>
                    </w:rPr>
                  </w:pPr>
                </w:p>
              </w:tc>
              <w:tc>
                <w:tcPr>
                  <w:tcW w:w="1235" w:type="pct"/>
                  <w:noWrap w:val="0"/>
                  <w:vAlign w:val="center"/>
                </w:tcPr>
                <w:p w14:paraId="7DC798E8">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电</w:t>
                  </w:r>
                  <w:r>
                    <w:rPr>
                      <w:rFonts w:hint="eastAsia"/>
                      <w:color w:val="auto"/>
                      <w:szCs w:val="21"/>
                    </w:rPr>
                    <w:t>动</w:t>
                  </w:r>
                  <w:r>
                    <w:rPr>
                      <w:rFonts w:hint="default"/>
                      <w:color w:val="auto"/>
                      <w:szCs w:val="21"/>
                    </w:rPr>
                    <w:t>加重泵</w:t>
                  </w:r>
                </w:p>
              </w:tc>
              <w:tc>
                <w:tcPr>
                  <w:tcW w:w="1378" w:type="pct"/>
                  <w:noWrap w:val="0"/>
                  <w:vAlign w:val="center"/>
                </w:tcPr>
                <w:p w14:paraId="447685A5">
                  <w:pPr>
                    <w:keepNext w:val="0"/>
                    <w:keepLines w:val="0"/>
                    <w:suppressLineNumbers w:val="0"/>
                    <w:spacing w:before="0" w:beforeAutospacing="0" w:after="0" w:afterAutospacing="0" w:line="0" w:lineRule="atLeast"/>
                    <w:ind w:left="0" w:right="0"/>
                    <w:jc w:val="center"/>
                    <w:rPr>
                      <w:rFonts w:hint="default"/>
                      <w:color w:val="auto"/>
                      <w:szCs w:val="21"/>
                    </w:rPr>
                  </w:pPr>
                </w:p>
              </w:tc>
              <w:tc>
                <w:tcPr>
                  <w:tcW w:w="535" w:type="pct"/>
                  <w:noWrap w:val="0"/>
                  <w:vAlign w:val="center"/>
                </w:tcPr>
                <w:p w14:paraId="1CE8CC33">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w:t>
                  </w:r>
                </w:p>
              </w:tc>
              <w:tc>
                <w:tcPr>
                  <w:tcW w:w="1089" w:type="pct"/>
                  <w:noWrap w:val="0"/>
                  <w:vAlign w:val="center"/>
                </w:tcPr>
                <w:p w14:paraId="09E36219">
                  <w:pPr>
                    <w:keepNext w:val="0"/>
                    <w:keepLines w:val="0"/>
                    <w:suppressLineNumbers w:val="0"/>
                    <w:spacing w:before="0" w:beforeAutospacing="0" w:after="0" w:afterAutospacing="0" w:line="0" w:lineRule="atLeast"/>
                    <w:ind w:left="0" w:right="0"/>
                    <w:jc w:val="center"/>
                    <w:rPr>
                      <w:rFonts w:hint="default"/>
                      <w:color w:val="auto"/>
                      <w:szCs w:val="21"/>
                    </w:rPr>
                  </w:pPr>
                </w:p>
              </w:tc>
            </w:tr>
            <w:tr w14:paraId="3B0BBD2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vMerge w:val="continue"/>
                  <w:noWrap w:val="0"/>
                  <w:vAlign w:val="center"/>
                </w:tcPr>
                <w:p w14:paraId="6ECF3686">
                  <w:pPr>
                    <w:keepNext w:val="0"/>
                    <w:keepLines w:val="0"/>
                    <w:suppressLineNumbers w:val="0"/>
                    <w:spacing w:before="0" w:beforeAutospacing="0" w:after="0" w:afterAutospacing="0" w:line="0" w:lineRule="atLeast"/>
                    <w:ind w:left="0" w:right="0"/>
                    <w:jc w:val="center"/>
                    <w:rPr>
                      <w:rFonts w:hint="default"/>
                      <w:color w:val="auto"/>
                      <w:szCs w:val="21"/>
                    </w:rPr>
                  </w:pPr>
                </w:p>
              </w:tc>
              <w:tc>
                <w:tcPr>
                  <w:tcW w:w="428" w:type="pct"/>
                  <w:vMerge w:val="continue"/>
                  <w:noWrap w:val="0"/>
                  <w:vAlign w:val="center"/>
                </w:tcPr>
                <w:p w14:paraId="5BEEFFED">
                  <w:pPr>
                    <w:keepNext w:val="0"/>
                    <w:keepLines w:val="0"/>
                    <w:suppressLineNumbers w:val="0"/>
                    <w:spacing w:before="0" w:beforeAutospacing="0" w:after="0" w:afterAutospacing="0" w:line="0" w:lineRule="atLeast"/>
                    <w:ind w:left="0" w:right="0"/>
                    <w:jc w:val="center"/>
                    <w:rPr>
                      <w:rFonts w:hint="default"/>
                      <w:color w:val="auto"/>
                      <w:szCs w:val="21"/>
                    </w:rPr>
                  </w:pPr>
                </w:p>
              </w:tc>
              <w:tc>
                <w:tcPr>
                  <w:tcW w:w="1235" w:type="pct"/>
                  <w:noWrap w:val="0"/>
                  <w:vAlign w:val="center"/>
                </w:tcPr>
                <w:p w14:paraId="205E61F8">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气动下灰装置</w:t>
                  </w:r>
                </w:p>
              </w:tc>
              <w:tc>
                <w:tcPr>
                  <w:tcW w:w="1378" w:type="pct"/>
                  <w:noWrap w:val="0"/>
                  <w:vAlign w:val="center"/>
                </w:tcPr>
                <w:p w14:paraId="239503D7">
                  <w:pPr>
                    <w:keepNext w:val="0"/>
                    <w:keepLines w:val="0"/>
                    <w:suppressLineNumbers w:val="0"/>
                    <w:spacing w:before="0" w:beforeAutospacing="0" w:after="0" w:afterAutospacing="0" w:line="0" w:lineRule="atLeast"/>
                    <w:ind w:left="0" w:right="0"/>
                    <w:jc w:val="center"/>
                    <w:rPr>
                      <w:rFonts w:hint="default"/>
                      <w:color w:val="auto"/>
                      <w:szCs w:val="21"/>
                    </w:rPr>
                  </w:pPr>
                </w:p>
              </w:tc>
              <w:tc>
                <w:tcPr>
                  <w:tcW w:w="535" w:type="pct"/>
                  <w:noWrap w:val="0"/>
                  <w:vAlign w:val="center"/>
                </w:tcPr>
                <w:p w14:paraId="74D0E28B">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w:t>
                  </w:r>
                </w:p>
              </w:tc>
              <w:tc>
                <w:tcPr>
                  <w:tcW w:w="1089" w:type="pct"/>
                  <w:noWrap w:val="0"/>
                  <w:vAlign w:val="center"/>
                </w:tcPr>
                <w:p w14:paraId="41A3C8E8">
                  <w:pPr>
                    <w:keepNext w:val="0"/>
                    <w:keepLines w:val="0"/>
                    <w:suppressLineNumbers w:val="0"/>
                    <w:spacing w:before="0" w:beforeAutospacing="0" w:after="0" w:afterAutospacing="0" w:line="0" w:lineRule="atLeast"/>
                    <w:ind w:left="0" w:right="0"/>
                    <w:jc w:val="center"/>
                    <w:rPr>
                      <w:rFonts w:hint="default"/>
                      <w:color w:val="auto"/>
                      <w:szCs w:val="21"/>
                    </w:rPr>
                  </w:pPr>
                </w:p>
              </w:tc>
            </w:tr>
            <w:tr w14:paraId="7B904DF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vMerge w:val="restart"/>
                  <w:noWrap w:val="0"/>
                  <w:vAlign w:val="center"/>
                </w:tcPr>
                <w:p w14:paraId="36CAB260">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11</w:t>
                  </w:r>
                </w:p>
              </w:tc>
              <w:tc>
                <w:tcPr>
                  <w:tcW w:w="428" w:type="pct"/>
                  <w:vMerge w:val="restart"/>
                  <w:noWrap w:val="0"/>
                  <w:vAlign w:val="center"/>
                </w:tcPr>
                <w:p w14:paraId="7935079B">
                  <w:pPr>
                    <w:keepNext w:val="0"/>
                    <w:keepLines w:val="0"/>
                    <w:suppressLineNumbers w:val="0"/>
                    <w:snapToGrid w:val="0"/>
                    <w:spacing w:before="0" w:beforeAutospacing="0" w:after="0" w:afterAutospacing="0" w:line="0" w:lineRule="atLeast"/>
                    <w:ind w:left="0" w:right="0"/>
                    <w:jc w:val="center"/>
                    <w:rPr>
                      <w:rFonts w:hint="default"/>
                      <w:color w:val="auto"/>
                      <w:szCs w:val="21"/>
                    </w:rPr>
                  </w:pPr>
                  <w:r>
                    <w:rPr>
                      <w:rFonts w:hint="default"/>
                      <w:color w:val="auto"/>
                      <w:szCs w:val="21"/>
                    </w:rPr>
                    <w:t>井控</w:t>
                  </w:r>
                </w:p>
                <w:p w14:paraId="2040CD20">
                  <w:pPr>
                    <w:keepNext w:val="0"/>
                    <w:keepLines w:val="0"/>
                    <w:suppressLineNumbers w:val="0"/>
                    <w:snapToGrid w:val="0"/>
                    <w:spacing w:before="0" w:beforeAutospacing="0" w:after="0" w:afterAutospacing="0" w:line="0" w:lineRule="atLeast"/>
                    <w:ind w:left="0" w:right="0"/>
                    <w:jc w:val="center"/>
                    <w:rPr>
                      <w:rFonts w:hint="default"/>
                      <w:color w:val="auto"/>
                      <w:szCs w:val="21"/>
                    </w:rPr>
                  </w:pPr>
                  <w:r>
                    <w:rPr>
                      <w:rFonts w:hint="default"/>
                      <w:color w:val="auto"/>
                      <w:szCs w:val="21"/>
                    </w:rPr>
                    <w:t>装置</w:t>
                  </w:r>
                </w:p>
              </w:tc>
              <w:tc>
                <w:tcPr>
                  <w:tcW w:w="1235" w:type="pct"/>
                  <w:noWrap w:val="0"/>
                  <w:vAlign w:val="center"/>
                </w:tcPr>
                <w:p w14:paraId="377B7A63">
                  <w:pPr>
                    <w:keepNext w:val="0"/>
                    <w:keepLines w:val="0"/>
                    <w:suppressLineNumbers w:val="0"/>
                    <w:snapToGrid w:val="0"/>
                    <w:spacing w:before="0" w:beforeAutospacing="0" w:after="0" w:afterAutospacing="0" w:line="0" w:lineRule="atLeast"/>
                    <w:ind w:left="0" w:right="0"/>
                    <w:jc w:val="center"/>
                    <w:rPr>
                      <w:rFonts w:hint="default"/>
                      <w:color w:val="auto"/>
                      <w:szCs w:val="21"/>
                    </w:rPr>
                  </w:pPr>
                  <w:r>
                    <w:rPr>
                      <w:rFonts w:hint="default"/>
                      <w:color w:val="auto"/>
                      <w:szCs w:val="21"/>
                    </w:rPr>
                    <w:t>旋转控制头</w:t>
                  </w:r>
                </w:p>
              </w:tc>
              <w:tc>
                <w:tcPr>
                  <w:tcW w:w="1378" w:type="pct"/>
                  <w:noWrap w:val="0"/>
                  <w:vAlign w:val="center"/>
                </w:tcPr>
                <w:p w14:paraId="7619373A">
                  <w:pPr>
                    <w:keepNext w:val="0"/>
                    <w:keepLines w:val="0"/>
                    <w:suppressLineNumbers w:val="0"/>
                    <w:adjustRightInd w:val="0"/>
                    <w:snapToGrid w:val="0"/>
                    <w:spacing w:before="0" w:beforeAutospacing="0" w:after="0" w:afterAutospacing="0" w:line="0" w:lineRule="atLeast"/>
                    <w:ind w:left="0" w:right="0"/>
                    <w:jc w:val="center"/>
                    <w:rPr>
                      <w:rFonts w:hint="default"/>
                      <w:color w:val="auto"/>
                      <w:szCs w:val="21"/>
                    </w:rPr>
                  </w:pPr>
                  <w:r>
                    <w:rPr>
                      <w:rFonts w:hint="default"/>
                      <w:color w:val="auto"/>
                      <w:szCs w:val="21"/>
                    </w:rPr>
                    <w:t>XK35-10.5/</w:t>
                  </w:r>
                  <w:r>
                    <w:rPr>
                      <w:rFonts w:hint="eastAsia"/>
                      <w:color w:val="auto"/>
                      <w:szCs w:val="21"/>
                    </w:rPr>
                    <w:t>2</w:t>
                  </w:r>
                  <w:r>
                    <w:rPr>
                      <w:rFonts w:hint="default"/>
                      <w:color w:val="auto"/>
                      <w:szCs w:val="21"/>
                    </w:rPr>
                    <w:t>1</w:t>
                  </w:r>
                </w:p>
              </w:tc>
              <w:tc>
                <w:tcPr>
                  <w:tcW w:w="535" w:type="pct"/>
                  <w:noWrap w:val="0"/>
                  <w:vAlign w:val="center"/>
                </w:tcPr>
                <w:p w14:paraId="4A505073">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w:t>
                  </w:r>
                </w:p>
              </w:tc>
              <w:tc>
                <w:tcPr>
                  <w:tcW w:w="1089" w:type="pct"/>
                  <w:noWrap w:val="0"/>
                  <w:vAlign w:val="center"/>
                </w:tcPr>
                <w:p w14:paraId="245DA740">
                  <w:pPr>
                    <w:keepNext w:val="0"/>
                    <w:keepLines w:val="0"/>
                    <w:suppressLineNumbers w:val="0"/>
                    <w:spacing w:before="0" w:beforeAutospacing="0" w:after="0" w:afterAutospacing="0" w:line="0" w:lineRule="atLeast"/>
                    <w:ind w:left="0" w:right="0"/>
                    <w:jc w:val="center"/>
                    <w:rPr>
                      <w:rFonts w:hint="default"/>
                      <w:color w:val="auto"/>
                      <w:szCs w:val="21"/>
                    </w:rPr>
                  </w:pPr>
                </w:p>
              </w:tc>
            </w:tr>
            <w:tr w14:paraId="7E1D9AC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vMerge w:val="continue"/>
                  <w:noWrap w:val="0"/>
                  <w:vAlign w:val="center"/>
                </w:tcPr>
                <w:p w14:paraId="4500744D">
                  <w:pPr>
                    <w:keepNext w:val="0"/>
                    <w:keepLines w:val="0"/>
                    <w:suppressLineNumbers w:val="0"/>
                    <w:spacing w:before="0" w:beforeAutospacing="0" w:after="0" w:afterAutospacing="0" w:line="0" w:lineRule="atLeast"/>
                    <w:ind w:left="0" w:right="0"/>
                    <w:jc w:val="center"/>
                    <w:rPr>
                      <w:rFonts w:hint="default"/>
                      <w:color w:val="auto"/>
                      <w:szCs w:val="21"/>
                    </w:rPr>
                  </w:pPr>
                </w:p>
              </w:tc>
              <w:tc>
                <w:tcPr>
                  <w:tcW w:w="428" w:type="pct"/>
                  <w:vMerge w:val="continue"/>
                  <w:noWrap w:val="0"/>
                  <w:vAlign w:val="center"/>
                </w:tcPr>
                <w:p w14:paraId="76EA87D8">
                  <w:pPr>
                    <w:keepNext w:val="0"/>
                    <w:keepLines w:val="0"/>
                    <w:suppressLineNumbers w:val="0"/>
                    <w:spacing w:before="0" w:beforeAutospacing="0" w:after="0" w:afterAutospacing="0" w:line="0" w:lineRule="atLeast"/>
                    <w:ind w:left="0" w:right="0"/>
                    <w:jc w:val="center"/>
                    <w:rPr>
                      <w:rFonts w:hint="default"/>
                      <w:color w:val="auto"/>
                      <w:szCs w:val="21"/>
                    </w:rPr>
                  </w:pPr>
                </w:p>
              </w:tc>
              <w:tc>
                <w:tcPr>
                  <w:tcW w:w="1235" w:type="pct"/>
                  <w:noWrap w:val="0"/>
                  <w:vAlign w:val="center"/>
                </w:tcPr>
                <w:p w14:paraId="7A9A63CF">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环形防喷器</w:t>
                  </w:r>
                </w:p>
              </w:tc>
              <w:tc>
                <w:tcPr>
                  <w:tcW w:w="1378" w:type="pct"/>
                  <w:noWrap w:val="0"/>
                  <w:vAlign w:val="center"/>
                </w:tcPr>
                <w:p w14:paraId="5FC1D8BB">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FH35-35/70</w:t>
                  </w:r>
                </w:p>
              </w:tc>
              <w:tc>
                <w:tcPr>
                  <w:tcW w:w="535" w:type="pct"/>
                  <w:noWrap w:val="0"/>
                  <w:vAlign w:val="center"/>
                </w:tcPr>
                <w:p w14:paraId="4D810182">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w:t>
                  </w:r>
                </w:p>
              </w:tc>
              <w:tc>
                <w:tcPr>
                  <w:tcW w:w="1089" w:type="pct"/>
                  <w:noWrap w:val="0"/>
                  <w:vAlign w:val="center"/>
                </w:tcPr>
                <w:p w14:paraId="3863F8FD">
                  <w:pPr>
                    <w:keepNext w:val="0"/>
                    <w:keepLines w:val="0"/>
                    <w:suppressLineNumbers w:val="0"/>
                    <w:spacing w:before="0" w:beforeAutospacing="0" w:after="0" w:afterAutospacing="0" w:line="0" w:lineRule="atLeast"/>
                    <w:ind w:left="0" w:right="0"/>
                    <w:jc w:val="center"/>
                    <w:rPr>
                      <w:rFonts w:hint="default"/>
                      <w:color w:val="auto"/>
                      <w:szCs w:val="21"/>
                    </w:rPr>
                  </w:pPr>
                </w:p>
              </w:tc>
            </w:tr>
            <w:tr w14:paraId="54126FA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vMerge w:val="continue"/>
                  <w:noWrap w:val="0"/>
                  <w:vAlign w:val="center"/>
                </w:tcPr>
                <w:p w14:paraId="1D04DAD0">
                  <w:pPr>
                    <w:keepNext w:val="0"/>
                    <w:keepLines w:val="0"/>
                    <w:suppressLineNumbers w:val="0"/>
                    <w:spacing w:before="0" w:beforeAutospacing="0" w:after="0" w:afterAutospacing="0" w:line="0" w:lineRule="atLeast"/>
                    <w:ind w:left="0" w:right="0"/>
                    <w:jc w:val="center"/>
                    <w:rPr>
                      <w:rFonts w:hint="default"/>
                      <w:color w:val="auto"/>
                      <w:szCs w:val="21"/>
                    </w:rPr>
                  </w:pPr>
                </w:p>
              </w:tc>
              <w:tc>
                <w:tcPr>
                  <w:tcW w:w="428" w:type="pct"/>
                  <w:vMerge w:val="continue"/>
                  <w:noWrap w:val="0"/>
                  <w:vAlign w:val="center"/>
                </w:tcPr>
                <w:p w14:paraId="3B8043EB">
                  <w:pPr>
                    <w:keepNext w:val="0"/>
                    <w:keepLines w:val="0"/>
                    <w:suppressLineNumbers w:val="0"/>
                    <w:spacing w:before="0" w:beforeAutospacing="0" w:after="0" w:afterAutospacing="0" w:line="0" w:lineRule="atLeast"/>
                    <w:ind w:left="0" w:right="0"/>
                    <w:jc w:val="center"/>
                    <w:rPr>
                      <w:rFonts w:hint="default"/>
                      <w:color w:val="auto"/>
                      <w:szCs w:val="21"/>
                    </w:rPr>
                  </w:pPr>
                </w:p>
              </w:tc>
              <w:tc>
                <w:tcPr>
                  <w:tcW w:w="1235" w:type="pct"/>
                  <w:noWrap w:val="0"/>
                  <w:vAlign w:val="center"/>
                </w:tcPr>
                <w:p w14:paraId="26EC1AA8">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单闸板防喷器</w:t>
                  </w:r>
                </w:p>
              </w:tc>
              <w:tc>
                <w:tcPr>
                  <w:tcW w:w="1378" w:type="pct"/>
                  <w:noWrap w:val="0"/>
                  <w:vAlign w:val="center"/>
                </w:tcPr>
                <w:p w14:paraId="5826AEEE">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FZ35-</w:t>
                  </w:r>
                  <w:r>
                    <w:rPr>
                      <w:rFonts w:hint="eastAsia"/>
                      <w:color w:val="auto"/>
                      <w:szCs w:val="21"/>
                    </w:rPr>
                    <w:t>7</w:t>
                  </w:r>
                  <w:r>
                    <w:rPr>
                      <w:rFonts w:hint="default"/>
                      <w:color w:val="auto"/>
                      <w:szCs w:val="21"/>
                    </w:rPr>
                    <w:t>0</w:t>
                  </w:r>
                </w:p>
              </w:tc>
              <w:tc>
                <w:tcPr>
                  <w:tcW w:w="535" w:type="pct"/>
                  <w:noWrap w:val="0"/>
                  <w:vAlign w:val="center"/>
                </w:tcPr>
                <w:p w14:paraId="5F523403">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2</w:t>
                  </w:r>
                </w:p>
              </w:tc>
              <w:tc>
                <w:tcPr>
                  <w:tcW w:w="1089" w:type="pct"/>
                  <w:noWrap w:val="0"/>
                  <w:vAlign w:val="center"/>
                </w:tcPr>
                <w:p w14:paraId="24F04344">
                  <w:pPr>
                    <w:keepNext w:val="0"/>
                    <w:keepLines w:val="0"/>
                    <w:suppressLineNumbers w:val="0"/>
                    <w:spacing w:before="0" w:beforeAutospacing="0" w:after="0" w:afterAutospacing="0" w:line="0" w:lineRule="atLeast"/>
                    <w:ind w:left="0" w:right="0"/>
                    <w:jc w:val="center"/>
                    <w:rPr>
                      <w:rFonts w:hint="default"/>
                      <w:color w:val="auto"/>
                      <w:szCs w:val="21"/>
                    </w:rPr>
                  </w:pPr>
                </w:p>
              </w:tc>
            </w:tr>
            <w:tr w14:paraId="513F1E9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vMerge w:val="continue"/>
                  <w:noWrap w:val="0"/>
                  <w:vAlign w:val="center"/>
                </w:tcPr>
                <w:p w14:paraId="3C331C1B">
                  <w:pPr>
                    <w:keepNext w:val="0"/>
                    <w:keepLines w:val="0"/>
                    <w:suppressLineNumbers w:val="0"/>
                    <w:spacing w:before="0" w:beforeAutospacing="0" w:after="0" w:afterAutospacing="0" w:line="0" w:lineRule="atLeast"/>
                    <w:ind w:left="0" w:right="0"/>
                    <w:jc w:val="center"/>
                    <w:rPr>
                      <w:rFonts w:hint="default"/>
                      <w:color w:val="auto"/>
                      <w:szCs w:val="21"/>
                    </w:rPr>
                  </w:pPr>
                </w:p>
              </w:tc>
              <w:tc>
                <w:tcPr>
                  <w:tcW w:w="428" w:type="pct"/>
                  <w:vMerge w:val="continue"/>
                  <w:noWrap w:val="0"/>
                  <w:vAlign w:val="center"/>
                </w:tcPr>
                <w:p w14:paraId="575B218F">
                  <w:pPr>
                    <w:keepNext w:val="0"/>
                    <w:keepLines w:val="0"/>
                    <w:suppressLineNumbers w:val="0"/>
                    <w:spacing w:before="0" w:beforeAutospacing="0" w:after="0" w:afterAutospacing="0" w:line="0" w:lineRule="atLeast"/>
                    <w:ind w:left="0" w:right="0"/>
                    <w:jc w:val="center"/>
                    <w:rPr>
                      <w:rFonts w:hint="default"/>
                      <w:color w:val="auto"/>
                      <w:szCs w:val="21"/>
                    </w:rPr>
                  </w:pPr>
                </w:p>
              </w:tc>
              <w:tc>
                <w:tcPr>
                  <w:tcW w:w="1235" w:type="pct"/>
                  <w:noWrap w:val="0"/>
                  <w:vAlign w:val="center"/>
                </w:tcPr>
                <w:p w14:paraId="20D993A2">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双闸板防喷器</w:t>
                  </w:r>
                </w:p>
              </w:tc>
              <w:tc>
                <w:tcPr>
                  <w:tcW w:w="1378" w:type="pct"/>
                  <w:noWrap w:val="0"/>
                  <w:vAlign w:val="center"/>
                </w:tcPr>
                <w:p w14:paraId="577D6AE6">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2FZ35-70</w:t>
                  </w:r>
                </w:p>
              </w:tc>
              <w:tc>
                <w:tcPr>
                  <w:tcW w:w="535" w:type="pct"/>
                  <w:noWrap w:val="0"/>
                  <w:vAlign w:val="center"/>
                </w:tcPr>
                <w:p w14:paraId="12A14854">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w:t>
                  </w:r>
                </w:p>
              </w:tc>
              <w:tc>
                <w:tcPr>
                  <w:tcW w:w="1089" w:type="pct"/>
                  <w:noWrap w:val="0"/>
                  <w:vAlign w:val="center"/>
                </w:tcPr>
                <w:p w14:paraId="345F1C1A">
                  <w:pPr>
                    <w:keepNext w:val="0"/>
                    <w:keepLines w:val="0"/>
                    <w:suppressLineNumbers w:val="0"/>
                    <w:spacing w:before="0" w:beforeAutospacing="0" w:after="0" w:afterAutospacing="0" w:line="0" w:lineRule="atLeast"/>
                    <w:ind w:left="0" w:right="0"/>
                    <w:jc w:val="center"/>
                    <w:rPr>
                      <w:rFonts w:hint="default"/>
                      <w:color w:val="auto"/>
                      <w:szCs w:val="21"/>
                    </w:rPr>
                  </w:pPr>
                </w:p>
              </w:tc>
            </w:tr>
            <w:tr w14:paraId="52F42D1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vMerge w:val="continue"/>
                  <w:noWrap w:val="0"/>
                  <w:vAlign w:val="center"/>
                </w:tcPr>
                <w:p w14:paraId="47ACA4AA">
                  <w:pPr>
                    <w:keepNext w:val="0"/>
                    <w:keepLines w:val="0"/>
                    <w:suppressLineNumbers w:val="0"/>
                    <w:spacing w:before="0" w:beforeAutospacing="0" w:after="0" w:afterAutospacing="0" w:line="0" w:lineRule="atLeast"/>
                    <w:ind w:left="0" w:right="0"/>
                    <w:jc w:val="center"/>
                    <w:rPr>
                      <w:rFonts w:hint="default"/>
                      <w:color w:val="auto"/>
                      <w:szCs w:val="21"/>
                    </w:rPr>
                  </w:pPr>
                </w:p>
              </w:tc>
              <w:tc>
                <w:tcPr>
                  <w:tcW w:w="428" w:type="pct"/>
                  <w:vMerge w:val="continue"/>
                  <w:noWrap w:val="0"/>
                  <w:vAlign w:val="center"/>
                </w:tcPr>
                <w:p w14:paraId="0E9B5C31">
                  <w:pPr>
                    <w:keepNext w:val="0"/>
                    <w:keepLines w:val="0"/>
                    <w:suppressLineNumbers w:val="0"/>
                    <w:spacing w:before="0" w:beforeAutospacing="0" w:after="0" w:afterAutospacing="0" w:line="0" w:lineRule="atLeast"/>
                    <w:ind w:left="0" w:right="0"/>
                    <w:jc w:val="center"/>
                    <w:rPr>
                      <w:rFonts w:hint="default"/>
                      <w:color w:val="auto"/>
                      <w:szCs w:val="21"/>
                    </w:rPr>
                  </w:pPr>
                </w:p>
              </w:tc>
              <w:tc>
                <w:tcPr>
                  <w:tcW w:w="1235" w:type="pct"/>
                  <w:noWrap w:val="0"/>
                  <w:vAlign w:val="center"/>
                </w:tcPr>
                <w:p w14:paraId="1C6248FD">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司钻控制台</w:t>
                  </w:r>
                </w:p>
              </w:tc>
              <w:tc>
                <w:tcPr>
                  <w:tcW w:w="1378" w:type="pct"/>
                  <w:noWrap w:val="0"/>
                  <w:vAlign w:val="center"/>
                </w:tcPr>
                <w:p w14:paraId="41948A52">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bCs/>
                      <w:color w:val="auto"/>
                      <w:szCs w:val="21"/>
                    </w:rPr>
                    <w:t>ZQ203-125</w:t>
                  </w:r>
                </w:p>
              </w:tc>
              <w:tc>
                <w:tcPr>
                  <w:tcW w:w="535" w:type="pct"/>
                  <w:noWrap w:val="0"/>
                  <w:vAlign w:val="center"/>
                </w:tcPr>
                <w:p w14:paraId="09D141FD">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w:t>
                  </w:r>
                </w:p>
              </w:tc>
              <w:tc>
                <w:tcPr>
                  <w:tcW w:w="1089" w:type="pct"/>
                  <w:noWrap w:val="0"/>
                  <w:vAlign w:val="center"/>
                </w:tcPr>
                <w:p w14:paraId="3877F766">
                  <w:pPr>
                    <w:keepNext w:val="0"/>
                    <w:keepLines w:val="0"/>
                    <w:suppressLineNumbers w:val="0"/>
                    <w:spacing w:before="0" w:beforeAutospacing="0" w:after="0" w:afterAutospacing="0" w:line="0" w:lineRule="atLeast"/>
                    <w:ind w:left="0" w:right="0"/>
                    <w:jc w:val="center"/>
                    <w:rPr>
                      <w:rFonts w:hint="default"/>
                      <w:color w:val="auto"/>
                      <w:szCs w:val="21"/>
                    </w:rPr>
                  </w:pPr>
                </w:p>
              </w:tc>
            </w:tr>
            <w:tr w14:paraId="1B57205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vMerge w:val="continue"/>
                  <w:noWrap w:val="0"/>
                  <w:vAlign w:val="center"/>
                </w:tcPr>
                <w:p w14:paraId="410C7ADD">
                  <w:pPr>
                    <w:keepNext w:val="0"/>
                    <w:keepLines w:val="0"/>
                    <w:suppressLineNumbers w:val="0"/>
                    <w:spacing w:before="0" w:beforeAutospacing="0" w:after="0" w:afterAutospacing="0" w:line="0" w:lineRule="atLeast"/>
                    <w:ind w:left="0" w:right="0"/>
                    <w:jc w:val="center"/>
                    <w:rPr>
                      <w:rFonts w:hint="default"/>
                      <w:color w:val="auto"/>
                      <w:szCs w:val="21"/>
                    </w:rPr>
                  </w:pPr>
                </w:p>
              </w:tc>
              <w:tc>
                <w:tcPr>
                  <w:tcW w:w="428" w:type="pct"/>
                  <w:vMerge w:val="continue"/>
                  <w:noWrap w:val="0"/>
                  <w:vAlign w:val="center"/>
                </w:tcPr>
                <w:p w14:paraId="0FD8FA57">
                  <w:pPr>
                    <w:keepNext w:val="0"/>
                    <w:keepLines w:val="0"/>
                    <w:suppressLineNumbers w:val="0"/>
                    <w:spacing w:before="0" w:beforeAutospacing="0" w:after="0" w:afterAutospacing="0" w:line="0" w:lineRule="atLeast"/>
                    <w:ind w:left="0" w:right="0"/>
                    <w:jc w:val="center"/>
                    <w:rPr>
                      <w:rFonts w:hint="default"/>
                      <w:color w:val="auto"/>
                      <w:szCs w:val="21"/>
                    </w:rPr>
                  </w:pPr>
                </w:p>
              </w:tc>
              <w:tc>
                <w:tcPr>
                  <w:tcW w:w="1235" w:type="pct"/>
                  <w:noWrap w:val="0"/>
                  <w:vAlign w:val="center"/>
                </w:tcPr>
                <w:p w14:paraId="5D564E52">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四通</w:t>
                  </w:r>
                </w:p>
              </w:tc>
              <w:tc>
                <w:tcPr>
                  <w:tcW w:w="1378" w:type="pct"/>
                  <w:noWrap w:val="0"/>
                  <w:vAlign w:val="center"/>
                </w:tcPr>
                <w:p w14:paraId="4227280A">
                  <w:pPr>
                    <w:keepNext w:val="0"/>
                    <w:keepLines w:val="0"/>
                    <w:suppressLineNumbers w:val="0"/>
                    <w:spacing w:before="0" w:beforeAutospacing="0" w:after="0" w:afterAutospacing="0" w:line="0" w:lineRule="atLeast"/>
                    <w:ind w:left="0" w:right="0"/>
                    <w:jc w:val="center"/>
                    <w:rPr>
                      <w:rFonts w:hint="default"/>
                      <w:color w:val="auto"/>
                      <w:szCs w:val="21"/>
                    </w:rPr>
                  </w:pPr>
                </w:p>
              </w:tc>
              <w:tc>
                <w:tcPr>
                  <w:tcW w:w="535" w:type="pct"/>
                  <w:noWrap w:val="0"/>
                  <w:vAlign w:val="center"/>
                </w:tcPr>
                <w:p w14:paraId="04F8EBB4">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w:t>
                  </w:r>
                </w:p>
              </w:tc>
              <w:tc>
                <w:tcPr>
                  <w:tcW w:w="1089" w:type="pct"/>
                  <w:noWrap w:val="0"/>
                  <w:vAlign w:val="center"/>
                </w:tcPr>
                <w:p w14:paraId="50D87A7E">
                  <w:pPr>
                    <w:keepNext w:val="0"/>
                    <w:keepLines w:val="0"/>
                    <w:suppressLineNumbers w:val="0"/>
                    <w:spacing w:before="0" w:beforeAutospacing="0" w:after="0" w:afterAutospacing="0" w:line="0" w:lineRule="atLeast"/>
                    <w:ind w:left="0" w:right="0"/>
                    <w:jc w:val="center"/>
                    <w:rPr>
                      <w:rFonts w:hint="default"/>
                      <w:color w:val="auto"/>
                      <w:szCs w:val="21"/>
                    </w:rPr>
                  </w:pPr>
                </w:p>
              </w:tc>
            </w:tr>
            <w:tr w14:paraId="7D0D0F5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vMerge w:val="continue"/>
                  <w:noWrap w:val="0"/>
                  <w:vAlign w:val="center"/>
                </w:tcPr>
                <w:p w14:paraId="6A648442">
                  <w:pPr>
                    <w:keepNext w:val="0"/>
                    <w:keepLines w:val="0"/>
                    <w:suppressLineNumbers w:val="0"/>
                    <w:spacing w:before="0" w:beforeAutospacing="0" w:after="0" w:afterAutospacing="0" w:line="0" w:lineRule="atLeast"/>
                    <w:ind w:left="0" w:right="0"/>
                    <w:jc w:val="center"/>
                    <w:rPr>
                      <w:rFonts w:hint="default"/>
                      <w:color w:val="auto"/>
                      <w:szCs w:val="21"/>
                    </w:rPr>
                  </w:pPr>
                </w:p>
              </w:tc>
              <w:tc>
                <w:tcPr>
                  <w:tcW w:w="428" w:type="pct"/>
                  <w:vMerge w:val="continue"/>
                  <w:noWrap w:val="0"/>
                  <w:vAlign w:val="center"/>
                </w:tcPr>
                <w:p w14:paraId="725DBFD1">
                  <w:pPr>
                    <w:keepNext w:val="0"/>
                    <w:keepLines w:val="0"/>
                    <w:suppressLineNumbers w:val="0"/>
                    <w:spacing w:before="0" w:beforeAutospacing="0" w:after="0" w:afterAutospacing="0" w:line="0" w:lineRule="atLeast"/>
                    <w:ind w:left="0" w:right="0"/>
                    <w:jc w:val="center"/>
                    <w:rPr>
                      <w:rFonts w:hint="default"/>
                      <w:color w:val="auto"/>
                      <w:szCs w:val="21"/>
                    </w:rPr>
                  </w:pPr>
                </w:p>
              </w:tc>
              <w:tc>
                <w:tcPr>
                  <w:tcW w:w="1235" w:type="pct"/>
                  <w:noWrap w:val="0"/>
                  <w:vAlign w:val="center"/>
                </w:tcPr>
                <w:p w14:paraId="79380C64">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控制装置</w:t>
                  </w:r>
                </w:p>
              </w:tc>
              <w:tc>
                <w:tcPr>
                  <w:tcW w:w="1378" w:type="pct"/>
                  <w:noWrap w:val="0"/>
                  <w:vAlign w:val="center"/>
                </w:tcPr>
                <w:p w14:paraId="39041A94">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FKQ</w:t>
                  </w:r>
                  <w:r>
                    <w:rPr>
                      <w:rFonts w:hint="default"/>
                      <w:bCs/>
                      <w:color w:val="auto"/>
                      <w:szCs w:val="21"/>
                    </w:rPr>
                    <w:t>800-7B</w:t>
                  </w:r>
                </w:p>
              </w:tc>
              <w:tc>
                <w:tcPr>
                  <w:tcW w:w="535" w:type="pct"/>
                  <w:noWrap w:val="0"/>
                  <w:vAlign w:val="center"/>
                </w:tcPr>
                <w:p w14:paraId="2A1F6F78">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w:t>
                  </w:r>
                </w:p>
              </w:tc>
              <w:tc>
                <w:tcPr>
                  <w:tcW w:w="1089" w:type="pct"/>
                  <w:noWrap w:val="0"/>
                  <w:vAlign w:val="center"/>
                </w:tcPr>
                <w:p w14:paraId="66CC1A4D">
                  <w:pPr>
                    <w:keepNext w:val="0"/>
                    <w:keepLines w:val="0"/>
                    <w:suppressLineNumbers w:val="0"/>
                    <w:spacing w:before="0" w:beforeAutospacing="0" w:after="0" w:afterAutospacing="0" w:line="0" w:lineRule="atLeast"/>
                    <w:ind w:left="0" w:right="0"/>
                    <w:jc w:val="center"/>
                    <w:rPr>
                      <w:rFonts w:hint="default"/>
                      <w:color w:val="auto"/>
                      <w:szCs w:val="21"/>
                    </w:rPr>
                  </w:pPr>
                </w:p>
              </w:tc>
            </w:tr>
            <w:tr w14:paraId="0CFBE81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vMerge w:val="continue"/>
                  <w:noWrap w:val="0"/>
                  <w:vAlign w:val="center"/>
                </w:tcPr>
                <w:p w14:paraId="1460D550">
                  <w:pPr>
                    <w:keepNext w:val="0"/>
                    <w:keepLines w:val="0"/>
                    <w:suppressLineNumbers w:val="0"/>
                    <w:spacing w:before="0" w:beforeAutospacing="0" w:after="0" w:afterAutospacing="0" w:line="0" w:lineRule="atLeast"/>
                    <w:ind w:left="0" w:right="0"/>
                    <w:jc w:val="center"/>
                    <w:rPr>
                      <w:rFonts w:hint="default"/>
                      <w:color w:val="auto"/>
                      <w:szCs w:val="21"/>
                    </w:rPr>
                  </w:pPr>
                </w:p>
              </w:tc>
              <w:tc>
                <w:tcPr>
                  <w:tcW w:w="428" w:type="pct"/>
                  <w:vMerge w:val="continue"/>
                  <w:noWrap w:val="0"/>
                  <w:vAlign w:val="center"/>
                </w:tcPr>
                <w:p w14:paraId="5C488838">
                  <w:pPr>
                    <w:keepNext w:val="0"/>
                    <w:keepLines w:val="0"/>
                    <w:suppressLineNumbers w:val="0"/>
                    <w:spacing w:before="0" w:beforeAutospacing="0" w:after="0" w:afterAutospacing="0" w:line="0" w:lineRule="atLeast"/>
                    <w:ind w:left="0" w:right="0"/>
                    <w:jc w:val="center"/>
                    <w:rPr>
                      <w:rFonts w:hint="default"/>
                      <w:color w:val="auto"/>
                      <w:szCs w:val="21"/>
                    </w:rPr>
                  </w:pPr>
                </w:p>
              </w:tc>
              <w:tc>
                <w:tcPr>
                  <w:tcW w:w="1235" w:type="pct"/>
                  <w:noWrap w:val="0"/>
                  <w:vAlign w:val="center"/>
                </w:tcPr>
                <w:p w14:paraId="19824C1C">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节流管汇</w:t>
                  </w:r>
                </w:p>
              </w:tc>
              <w:tc>
                <w:tcPr>
                  <w:tcW w:w="1378" w:type="pct"/>
                  <w:noWrap w:val="0"/>
                  <w:vAlign w:val="center"/>
                </w:tcPr>
                <w:p w14:paraId="0E8029F2">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YJG-70</w:t>
                  </w:r>
                </w:p>
              </w:tc>
              <w:tc>
                <w:tcPr>
                  <w:tcW w:w="535" w:type="pct"/>
                  <w:noWrap w:val="0"/>
                  <w:vAlign w:val="center"/>
                </w:tcPr>
                <w:p w14:paraId="3985A371">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11</w:t>
                  </w:r>
                </w:p>
              </w:tc>
              <w:tc>
                <w:tcPr>
                  <w:tcW w:w="1089" w:type="pct"/>
                  <w:noWrap w:val="0"/>
                  <w:vAlign w:val="center"/>
                </w:tcPr>
                <w:p w14:paraId="56A060B3">
                  <w:pPr>
                    <w:keepNext w:val="0"/>
                    <w:keepLines w:val="0"/>
                    <w:suppressLineNumbers w:val="0"/>
                    <w:spacing w:before="0" w:beforeAutospacing="0" w:after="0" w:afterAutospacing="0" w:line="0" w:lineRule="atLeast"/>
                    <w:ind w:left="0" w:right="0"/>
                    <w:jc w:val="center"/>
                    <w:rPr>
                      <w:rFonts w:hint="default"/>
                      <w:color w:val="auto"/>
                      <w:szCs w:val="21"/>
                    </w:rPr>
                  </w:pPr>
                </w:p>
              </w:tc>
            </w:tr>
            <w:tr w14:paraId="7C22913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vMerge w:val="continue"/>
                  <w:noWrap w:val="0"/>
                  <w:vAlign w:val="center"/>
                </w:tcPr>
                <w:p w14:paraId="0218D866">
                  <w:pPr>
                    <w:keepNext w:val="0"/>
                    <w:keepLines w:val="0"/>
                    <w:suppressLineNumbers w:val="0"/>
                    <w:spacing w:before="0" w:beforeAutospacing="0" w:after="0" w:afterAutospacing="0" w:line="0" w:lineRule="atLeast"/>
                    <w:ind w:left="0" w:right="0"/>
                    <w:jc w:val="center"/>
                    <w:rPr>
                      <w:rFonts w:hint="default"/>
                      <w:color w:val="auto"/>
                      <w:szCs w:val="21"/>
                    </w:rPr>
                  </w:pPr>
                </w:p>
              </w:tc>
              <w:tc>
                <w:tcPr>
                  <w:tcW w:w="428" w:type="pct"/>
                  <w:vMerge w:val="continue"/>
                  <w:noWrap w:val="0"/>
                  <w:vAlign w:val="center"/>
                </w:tcPr>
                <w:p w14:paraId="697C5052">
                  <w:pPr>
                    <w:keepNext w:val="0"/>
                    <w:keepLines w:val="0"/>
                    <w:suppressLineNumbers w:val="0"/>
                    <w:spacing w:before="0" w:beforeAutospacing="0" w:after="0" w:afterAutospacing="0" w:line="0" w:lineRule="atLeast"/>
                    <w:ind w:left="0" w:right="0"/>
                    <w:jc w:val="center"/>
                    <w:rPr>
                      <w:rFonts w:hint="default"/>
                      <w:color w:val="auto"/>
                      <w:szCs w:val="21"/>
                    </w:rPr>
                  </w:pPr>
                </w:p>
              </w:tc>
              <w:tc>
                <w:tcPr>
                  <w:tcW w:w="1235" w:type="pct"/>
                  <w:noWrap w:val="0"/>
                  <w:vAlign w:val="center"/>
                </w:tcPr>
                <w:p w14:paraId="54345E94">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压井管汇</w:t>
                  </w:r>
                </w:p>
              </w:tc>
              <w:tc>
                <w:tcPr>
                  <w:tcW w:w="1378" w:type="pct"/>
                  <w:noWrap w:val="0"/>
                  <w:vAlign w:val="center"/>
                </w:tcPr>
                <w:p w14:paraId="02F91A02">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YG-70</w:t>
                  </w:r>
                </w:p>
              </w:tc>
              <w:tc>
                <w:tcPr>
                  <w:tcW w:w="535" w:type="pct"/>
                  <w:noWrap w:val="0"/>
                  <w:vAlign w:val="center"/>
                </w:tcPr>
                <w:p w14:paraId="7F1AE71A">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w:t>
                  </w:r>
                </w:p>
              </w:tc>
              <w:tc>
                <w:tcPr>
                  <w:tcW w:w="1089" w:type="pct"/>
                  <w:noWrap w:val="0"/>
                  <w:vAlign w:val="center"/>
                </w:tcPr>
                <w:p w14:paraId="32A8911C">
                  <w:pPr>
                    <w:keepNext w:val="0"/>
                    <w:keepLines w:val="0"/>
                    <w:suppressLineNumbers w:val="0"/>
                    <w:spacing w:before="0" w:beforeAutospacing="0" w:after="0" w:afterAutospacing="0" w:line="0" w:lineRule="atLeast"/>
                    <w:ind w:left="0" w:right="0"/>
                    <w:jc w:val="center"/>
                    <w:rPr>
                      <w:rFonts w:hint="default"/>
                      <w:color w:val="auto"/>
                      <w:szCs w:val="21"/>
                    </w:rPr>
                  </w:pPr>
                </w:p>
              </w:tc>
            </w:tr>
            <w:tr w14:paraId="7544A80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vMerge w:val="continue"/>
                  <w:noWrap w:val="0"/>
                  <w:vAlign w:val="center"/>
                </w:tcPr>
                <w:p w14:paraId="47108C61">
                  <w:pPr>
                    <w:keepNext w:val="0"/>
                    <w:keepLines w:val="0"/>
                    <w:suppressLineNumbers w:val="0"/>
                    <w:spacing w:before="0" w:beforeAutospacing="0" w:after="0" w:afterAutospacing="0" w:line="0" w:lineRule="atLeast"/>
                    <w:ind w:left="0" w:right="0"/>
                    <w:jc w:val="center"/>
                    <w:rPr>
                      <w:rFonts w:hint="default"/>
                      <w:color w:val="auto"/>
                      <w:szCs w:val="21"/>
                    </w:rPr>
                  </w:pPr>
                </w:p>
              </w:tc>
              <w:tc>
                <w:tcPr>
                  <w:tcW w:w="428" w:type="pct"/>
                  <w:vMerge w:val="continue"/>
                  <w:noWrap w:val="0"/>
                  <w:vAlign w:val="center"/>
                </w:tcPr>
                <w:p w14:paraId="147C8EFC">
                  <w:pPr>
                    <w:keepNext w:val="0"/>
                    <w:keepLines w:val="0"/>
                    <w:suppressLineNumbers w:val="0"/>
                    <w:spacing w:before="0" w:beforeAutospacing="0" w:after="0" w:afterAutospacing="0" w:line="0" w:lineRule="atLeast"/>
                    <w:ind w:left="0" w:right="0"/>
                    <w:jc w:val="center"/>
                    <w:rPr>
                      <w:rFonts w:hint="default"/>
                      <w:color w:val="auto"/>
                      <w:szCs w:val="21"/>
                    </w:rPr>
                  </w:pPr>
                </w:p>
              </w:tc>
              <w:tc>
                <w:tcPr>
                  <w:tcW w:w="1235" w:type="pct"/>
                  <w:noWrap w:val="0"/>
                  <w:vAlign w:val="center"/>
                </w:tcPr>
                <w:p w14:paraId="539934D8">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节流液控箱</w:t>
                  </w:r>
                </w:p>
              </w:tc>
              <w:tc>
                <w:tcPr>
                  <w:tcW w:w="1378" w:type="pct"/>
                  <w:noWrap w:val="0"/>
                  <w:vAlign w:val="center"/>
                </w:tcPr>
                <w:p w14:paraId="46B3F9F3">
                  <w:pPr>
                    <w:keepNext w:val="0"/>
                    <w:keepLines w:val="0"/>
                    <w:suppressLineNumbers w:val="0"/>
                    <w:spacing w:before="0" w:beforeAutospacing="0" w:after="0" w:afterAutospacing="0" w:line="0" w:lineRule="atLeast"/>
                    <w:ind w:left="0" w:right="0"/>
                    <w:jc w:val="center"/>
                    <w:rPr>
                      <w:rFonts w:hint="default"/>
                      <w:color w:val="auto"/>
                      <w:szCs w:val="21"/>
                    </w:rPr>
                  </w:pPr>
                </w:p>
              </w:tc>
              <w:tc>
                <w:tcPr>
                  <w:tcW w:w="535" w:type="pct"/>
                  <w:noWrap w:val="0"/>
                  <w:vAlign w:val="center"/>
                </w:tcPr>
                <w:p w14:paraId="35B5E008">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w:t>
                  </w:r>
                </w:p>
              </w:tc>
              <w:tc>
                <w:tcPr>
                  <w:tcW w:w="1089" w:type="pct"/>
                  <w:noWrap w:val="0"/>
                  <w:vAlign w:val="center"/>
                </w:tcPr>
                <w:p w14:paraId="3464ECA8">
                  <w:pPr>
                    <w:keepNext w:val="0"/>
                    <w:keepLines w:val="0"/>
                    <w:suppressLineNumbers w:val="0"/>
                    <w:spacing w:before="0" w:beforeAutospacing="0" w:after="0" w:afterAutospacing="0" w:line="0" w:lineRule="atLeast"/>
                    <w:ind w:left="0" w:right="0"/>
                    <w:jc w:val="center"/>
                    <w:rPr>
                      <w:rFonts w:hint="default"/>
                      <w:color w:val="auto"/>
                      <w:szCs w:val="21"/>
                    </w:rPr>
                  </w:pPr>
                </w:p>
              </w:tc>
            </w:tr>
            <w:tr w14:paraId="1D68AEC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vMerge w:val="restart"/>
                  <w:noWrap w:val="0"/>
                  <w:vAlign w:val="center"/>
                </w:tcPr>
                <w:p w14:paraId="073BA47C">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12</w:t>
                  </w:r>
                </w:p>
              </w:tc>
              <w:tc>
                <w:tcPr>
                  <w:tcW w:w="428" w:type="pct"/>
                  <w:vMerge w:val="restart"/>
                  <w:noWrap w:val="0"/>
                  <w:vAlign w:val="center"/>
                </w:tcPr>
                <w:p w14:paraId="73EC35CA">
                  <w:pPr>
                    <w:keepNext w:val="0"/>
                    <w:keepLines w:val="0"/>
                    <w:suppressLineNumbers w:val="0"/>
                    <w:snapToGrid w:val="0"/>
                    <w:spacing w:before="0" w:beforeAutospacing="0" w:after="0" w:afterAutospacing="0" w:line="0" w:lineRule="atLeast"/>
                    <w:ind w:left="0" w:right="0"/>
                    <w:jc w:val="center"/>
                    <w:rPr>
                      <w:rFonts w:hint="default"/>
                      <w:color w:val="auto"/>
                      <w:szCs w:val="21"/>
                    </w:rPr>
                  </w:pPr>
                  <w:r>
                    <w:rPr>
                      <w:rFonts w:hint="default"/>
                      <w:color w:val="auto"/>
                      <w:szCs w:val="21"/>
                    </w:rPr>
                    <w:t>仪器</w:t>
                  </w:r>
                </w:p>
                <w:p w14:paraId="52B80A12">
                  <w:pPr>
                    <w:keepNext w:val="0"/>
                    <w:keepLines w:val="0"/>
                    <w:suppressLineNumbers w:val="0"/>
                    <w:snapToGrid w:val="0"/>
                    <w:spacing w:before="0" w:beforeAutospacing="0" w:after="0" w:afterAutospacing="0" w:line="0" w:lineRule="atLeast"/>
                    <w:ind w:left="0" w:right="0"/>
                    <w:jc w:val="center"/>
                    <w:rPr>
                      <w:rFonts w:hint="default"/>
                      <w:color w:val="auto"/>
                      <w:szCs w:val="21"/>
                    </w:rPr>
                  </w:pPr>
                  <w:r>
                    <w:rPr>
                      <w:rFonts w:hint="default"/>
                      <w:color w:val="auto"/>
                      <w:szCs w:val="21"/>
                    </w:rPr>
                    <w:t>仪表</w:t>
                  </w:r>
                </w:p>
              </w:tc>
              <w:tc>
                <w:tcPr>
                  <w:tcW w:w="1235" w:type="pct"/>
                  <w:noWrap w:val="0"/>
                  <w:vAlign w:val="center"/>
                </w:tcPr>
                <w:p w14:paraId="35FD3FAF">
                  <w:pPr>
                    <w:keepNext w:val="0"/>
                    <w:keepLines w:val="0"/>
                    <w:suppressLineNumbers w:val="0"/>
                    <w:snapToGrid w:val="0"/>
                    <w:spacing w:before="0" w:beforeAutospacing="0" w:after="0" w:afterAutospacing="0" w:line="0" w:lineRule="atLeast"/>
                    <w:ind w:left="0" w:right="0"/>
                    <w:jc w:val="center"/>
                    <w:rPr>
                      <w:rFonts w:hint="default"/>
                      <w:color w:val="auto"/>
                      <w:szCs w:val="21"/>
                    </w:rPr>
                  </w:pPr>
                  <w:r>
                    <w:rPr>
                      <w:rFonts w:hint="default"/>
                      <w:color w:val="auto"/>
                      <w:szCs w:val="21"/>
                    </w:rPr>
                    <w:t>钻井参数仪表</w:t>
                  </w:r>
                </w:p>
              </w:tc>
              <w:tc>
                <w:tcPr>
                  <w:tcW w:w="1378" w:type="pct"/>
                  <w:noWrap w:val="0"/>
                  <w:vAlign w:val="center"/>
                </w:tcPr>
                <w:p w14:paraId="7B0A2E1B">
                  <w:pPr>
                    <w:keepNext w:val="0"/>
                    <w:keepLines w:val="0"/>
                    <w:suppressLineNumbers w:val="0"/>
                    <w:snapToGrid w:val="0"/>
                    <w:spacing w:before="0" w:beforeAutospacing="0" w:after="0" w:afterAutospacing="0" w:line="0" w:lineRule="atLeast"/>
                    <w:ind w:left="0" w:right="0"/>
                    <w:jc w:val="center"/>
                    <w:rPr>
                      <w:rFonts w:hint="default"/>
                      <w:color w:val="auto"/>
                      <w:szCs w:val="21"/>
                    </w:rPr>
                  </w:pPr>
                </w:p>
              </w:tc>
              <w:tc>
                <w:tcPr>
                  <w:tcW w:w="535" w:type="pct"/>
                  <w:noWrap w:val="0"/>
                  <w:vAlign w:val="center"/>
                </w:tcPr>
                <w:p w14:paraId="63BBF913">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w:t>
                  </w:r>
                </w:p>
              </w:tc>
              <w:tc>
                <w:tcPr>
                  <w:tcW w:w="1089" w:type="pct"/>
                  <w:noWrap w:val="0"/>
                  <w:vAlign w:val="center"/>
                </w:tcPr>
                <w:p w14:paraId="24D410DB">
                  <w:pPr>
                    <w:keepNext w:val="0"/>
                    <w:keepLines w:val="0"/>
                    <w:suppressLineNumbers w:val="0"/>
                    <w:spacing w:before="0" w:beforeAutospacing="0" w:after="0" w:afterAutospacing="0" w:line="0" w:lineRule="atLeast"/>
                    <w:ind w:left="0" w:right="0"/>
                    <w:jc w:val="center"/>
                    <w:rPr>
                      <w:rFonts w:hint="default"/>
                      <w:color w:val="auto"/>
                      <w:szCs w:val="21"/>
                    </w:rPr>
                  </w:pPr>
                </w:p>
              </w:tc>
            </w:tr>
            <w:tr w14:paraId="46F45CE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vMerge w:val="continue"/>
                  <w:noWrap w:val="0"/>
                  <w:vAlign w:val="center"/>
                </w:tcPr>
                <w:p w14:paraId="34E86038">
                  <w:pPr>
                    <w:keepNext w:val="0"/>
                    <w:keepLines w:val="0"/>
                    <w:suppressLineNumbers w:val="0"/>
                    <w:spacing w:before="0" w:beforeAutospacing="0" w:after="0" w:afterAutospacing="0" w:line="0" w:lineRule="atLeast"/>
                    <w:ind w:left="0" w:right="0"/>
                    <w:jc w:val="center"/>
                    <w:rPr>
                      <w:rFonts w:hint="default"/>
                      <w:color w:val="auto"/>
                      <w:szCs w:val="21"/>
                    </w:rPr>
                  </w:pPr>
                </w:p>
              </w:tc>
              <w:tc>
                <w:tcPr>
                  <w:tcW w:w="428" w:type="pct"/>
                  <w:vMerge w:val="continue"/>
                  <w:noWrap w:val="0"/>
                  <w:vAlign w:val="center"/>
                </w:tcPr>
                <w:p w14:paraId="4E6CF10A">
                  <w:pPr>
                    <w:keepNext w:val="0"/>
                    <w:keepLines w:val="0"/>
                    <w:suppressLineNumbers w:val="0"/>
                    <w:spacing w:before="0" w:beforeAutospacing="0" w:after="0" w:afterAutospacing="0" w:line="0" w:lineRule="atLeast"/>
                    <w:ind w:left="0" w:right="0"/>
                    <w:jc w:val="center"/>
                    <w:rPr>
                      <w:rFonts w:hint="default"/>
                      <w:color w:val="auto"/>
                      <w:szCs w:val="21"/>
                    </w:rPr>
                  </w:pPr>
                </w:p>
              </w:tc>
              <w:tc>
                <w:tcPr>
                  <w:tcW w:w="1235" w:type="pct"/>
                  <w:noWrap w:val="0"/>
                  <w:vAlign w:val="center"/>
                </w:tcPr>
                <w:p w14:paraId="300CA783">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测斜仪</w:t>
                  </w:r>
                </w:p>
              </w:tc>
              <w:tc>
                <w:tcPr>
                  <w:tcW w:w="1378" w:type="pct"/>
                  <w:noWrap w:val="0"/>
                  <w:vAlign w:val="center"/>
                </w:tcPr>
                <w:p w14:paraId="20063BC3">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单点测斜仪</w:t>
                  </w:r>
                </w:p>
              </w:tc>
              <w:tc>
                <w:tcPr>
                  <w:tcW w:w="535" w:type="pct"/>
                  <w:noWrap w:val="0"/>
                  <w:vAlign w:val="center"/>
                </w:tcPr>
                <w:p w14:paraId="2C919DA8">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w:t>
                  </w:r>
                </w:p>
              </w:tc>
              <w:tc>
                <w:tcPr>
                  <w:tcW w:w="1089" w:type="pct"/>
                  <w:noWrap w:val="0"/>
                  <w:vAlign w:val="center"/>
                </w:tcPr>
                <w:p w14:paraId="220BE94C">
                  <w:pPr>
                    <w:keepNext w:val="0"/>
                    <w:keepLines w:val="0"/>
                    <w:suppressLineNumbers w:val="0"/>
                    <w:spacing w:before="0" w:beforeAutospacing="0" w:after="0" w:afterAutospacing="0" w:line="0" w:lineRule="atLeast"/>
                    <w:ind w:left="0" w:right="0"/>
                    <w:jc w:val="center"/>
                    <w:rPr>
                      <w:rFonts w:hint="default"/>
                      <w:color w:val="auto"/>
                      <w:szCs w:val="21"/>
                    </w:rPr>
                  </w:pPr>
                </w:p>
              </w:tc>
            </w:tr>
            <w:tr w14:paraId="567D934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vMerge w:val="continue"/>
                  <w:noWrap w:val="0"/>
                  <w:vAlign w:val="center"/>
                </w:tcPr>
                <w:p w14:paraId="39014A6C">
                  <w:pPr>
                    <w:keepNext w:val="0"/>
                    <w:keepLines w:val="0"/>
                    <w:suppressLineNumbers w:val="0"/>
                    <w:spacing w:before="0" w:beforeAutospacing="0" w:after="0" w:afterAutospacing="0" w:line="0" w:lineRule="atLeast"/>
                    <w:ind w:left="0" w:right="0"/>
                    <w:jc w:val="center"/>
                    <w:rPr>
                      <w:rFonts w:hint="default"/>
                      <w:color w:val="auto"/>
                      <w:szCs w:val="21"/>
                    </w:rPr>
                  </w:pPr>
                </w:p>
              </w:tc>
              <w:tc>
                <w:tcPr>
                  <w:tcW w:w="428" w:type="pct"/>
                  <w:vMerge w:val="continue"/>
                  <w:noWrap w:val="0"/>
                  <w:vAlign w:val="center"/>
                </w:tcPr>
                <w:p w14:paraId="098E354E">
                  <w:pPr>
                    <w:keepNext w:val="0"/>
                    <w:keepLines w:val="0"/>
                    <w:suppressLineNumbers w:val="0"/>
                    <w:spacing w:before="0" w:beforeAutospacing="0" w:after="0" w:afterAutospacing="0" w:line="0" w:lineRule="atLeast"/>
                    <w:ind w:left="0" w:right="0"/>
                    <w:jc w:val="center"/>
                    <w:rPr>
                      <w:rFonts w:hint="default"/>
                      <w:color w:val="auto"/>
                      <w:szCs w:val="21"/>
                    </w:rPr>
                  </w:pPr>
                </w:p>
              </w:tc>
              <w:tc>
                <w:tcPr>
                  <w:tcW w:w="1235" w:type="pct"/>
                  <w:noWrap w:val="0"/>
                  <w:vAlign w:val="center"/>
                </w:tcPr>
                <w:p w14:paraId="63068C50">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测斜绞车</w:t>
                  </w:r>
                </w:p>
              </w:tc>
              <w:tc>
                <w:tcPr>
                  <w:tcW w:w="1378" w:type="pct"/>
                  <w:noWrap w:val="0"/>
                  <w:vAlign w:val="center"/>
                </w:tcPr>
                <w:p w14:paraId="56128AB8">
                  <w:pPr>
                    <w:keepNext w:val="0"/>
                    <w:keepLines w:val="0"/>
                    <w:suppressLineNumbers w:val="0"/>
                    <w:spacing w:before="0" w:beforeAutospacing="0" w:after="0" w:afterAutospacing="0" w:line="0" w:lineRule="atLeast"/>
                    <w:ind w:left="0" w:right="0"/>
                    <w:jc w:val="center"/>
                    <w:rPr>
                      <w:rFonts w:hint="default"/>
                      <w:color w:val="auto"/>
                      <w:szCs w:val="21"/>
                    </w:rPr>
                  </w:pPr>
                </w:p>
              </w:tc>
              <w:tc>
                <w:tcPr>
                  <w:tcW w:w="535" w:type="pct"/>
                  <w:noWrap w:val="0"/>
                  <w:vAlign w:val="center"/>
                </w:tcPr>
                <w:p w14:paraId="31A5EEDB">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w:t>
                  </w:r>
                </w:p>
              </w:tc>
              <w:tc>
                <w:tcPr>
                  <w:tcW w:w="1089" w:type="pct"/>
                  <w:noWrap w:val="0"/>
                  <w:vAlign w:val="center"/>
                </w:tcPr>
                <w:p w14:paraId="5AA2F38C">
                  <w:pPr>
                    <w:keepNext w:val="0"/>
                    <w:keepLines w:val="0"/>
                    <w:suppressLineNumbers w:val="0"/>
                    <w:spacing w:before="0" w:beforeAutospacing="0" w:after="0" w:afterAutospacing="0" w:line="0" w:lineRule="atLeast"/>
                    <w:ind w:left="0" w:right="0"/>
                    <w:jc w:val="center"/>
                    <w:rPr>
                      <w:rFonts w:hint="default"/>
                      <w:color w:val="auto"/>
                      <w:szCs w:val="21"/>
                    </w:rPr>
                  </w:pPr>
                </w:p>
              </w:tc>
            </w:tr>
            <w:tr w14:paraId="36344F3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vMerge w:val="continue"/>
                  <w:noWrap w:val="0"/>
                  <w:vAlign w:val="center"/>
                </w:tcPr>
                <w:p w14:paraId="6ECA3A07">
                  <w:pPr>
                    <w:keepNext w:val="0"/>
                    <w:keepLines w:val="0"/>
                    <w:suppressLineNumbers w:val="0"/>
                    <w:spacing w:before="0" w:beforeAutospacing="0" w:after="0" w:afterAutospacing="0" w:line="0" w:lineRule="atLeast"/>
                    <w:ind w:left="0" w:right="0"/>
                    <w:jc w:val="center"/>
                    <w:rPr>
                      <w:rFonts w:hint="default"/>
                      <w:color w:val="auto"/>
                      <w:szCs w:val="21"/>
                    </w:rPr>
                  </w:pPr>
                </w:p>
              </w:tc>
              <w:tc>
                <w:tcPr>
                  <w:tcW w:w="428" w:type="pct"/>
                  <w:vMerge w:val="continue"/>
                  <w:noWrap w:val="0"/>
                  <w:vAlign w:val="center"/>
                </w:tcPr>
                <w:p w14:paraId="0BEE9A7A">
                  <w:pPr>
                    <w:keepNext w:val="0"/>
                    <w:keepLines w:val="0"/>
                    <w:suppressLineNumbers w:val="0"/>
                    <w:spacing w:before="0" w:beforeAutospacing="0" w:after="0" w:afterAutospacing="0" w:line="0" w:lineRule="atLeast"/>
                    <w:ind w:left="0" w:right="0"/>
                    <w:jc w:val="center"/>
                    <w:rPr>
                      <w:rFonts w:hint="default"/>
                      <w:color w:val="auto"/>
                      <w:szCs w:val="21"/>
                    </w:rPr>
                  </w:pPr>
                </w:p>
              </w:tc>
              <w:tc>
                <w:tcPr>
                  <w:tcW w:w="1235" w:type="pct"/>
                  <w:noWrap w:val="0"/>
                  <w:vAlign w:val="center"/>
                </w:tcPr>
                <w:p w14:paraId="75E6C4DC">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液位报警仪</w:t>
                  </w:r>
                </w:p>
              </w:tc>
              <w:tc>
                <w:tcPr>
                  <w:tcW w:w="1378" w:type="pct"/>
                  <w:noWrap w:val="0"/>
                  <w:vAlign w:val="center"/>
                </w:tcPr>
                <w:p w14:paraId="5C344253">
                  <w:pPr>
                    <w:keepNext w:val="0"/>
                    <w:keepLines w:val="0"/>
                    <w:suppressLineNumbers w:val="0"/>
                    <w:spacing w:before="0" w:beforeAutospacing="0" w:after="0" w:afterAutospacing="0" w:line="0" w:lineRule="atLeast"/>
                    <w:ind w:left="0" w:right="0"/>
                    <w:jc w:val="center"/>
                    <w:rPr>
                      <w:rFonts w:hint="default"/>
                      <w:color w:val="auto"/>
                      <w:szCs w:val="21"/>
                    </w:rPr>
                  </w:pPr>
                </w:p>
              </w:tc>
              <w:tc>
                <w:tcPr>
                  <w:tcW w:w="535" w:type="pct"/>
                  <w:noWrap w:val="0"/>
                  <w:vAlign w:val="center"/>
                </w:tcPr>
                <w:p w14:paraId="5425FD63">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w:t>
                  </w:r>
                </w:p>
              </w:tc>
              <w:tc>
                <w:tcPr>
                  <w:tcW w:w="1089" w:type="pct"/>
                  <w:noWrap w:val="0"/>
                  <w:vAlign w:val="center"/>
                </w:tcPr>
                <w:p w14:paraId="3DEFA6D8">
                  <w:pPr>
                    <w:keepNext w:val="0"/>
                    <w:keepLines w:val="0"/>
                    <w:suppressLineNumbers w:val="0"/>
                    <w:spacing w:before="0" w:beforeAutospacing="0" w:after="0" w:afterAutospacing="0" w:line="0" w:lineRule="atLeast"/>
                    <w:ind w:left="0" w:right="0"/>
                    <w:jc w:val="center"/>
                    <w:rPr>
                      <w:rFonts w:hint="default"/>
                      <w:color w:val="auto"/>
                      <w:szCs w:val="21"/>
                    </w:rPr>
                  </w:pPr>
                </w:p>
              </w:tc>
            </w:tr>
            <w:tr w14:paraId="2D24B57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vMerge w:val="continue"/>
                  <w:noWrap w:val="0"/>
                  <w:vAlign w:val="center"/>
                </w:tcPr>
                <w:p w14:paraId="5BA013E3">
                  <w:pPr>
                    <w:keepNext w:val="0"/>
                    <w:keepLines w:val="0"/>
                    <w:suppressLineNumbers w:val="0"/>
                    <w:spacing w:before="0" w:beforeAutospacing="0" w:after="0" w:afterAutospacing="0" w:line="0" w:lineRule="atLeast"/>
                    <w:ind w:left="0" w:right="0"/>
                    <w:jc w:val="center"/>
                    <w:rPr>
                      <w:rFonts w:hint="default"/>
                      <w:color w:val="auto"/>
                      <w:szCs w:val="21"/>
                    </w:rPr>
                  </w:pPr>
                </w:p>
              </w:tc>
              <w:tc>
                <w:tcPr>
                  <w:tcW w:w="428" w:type="pct"/>
                  <w:vMerge w:val="continue"/>
                  <w:noWrap w:val="0"/>
                  <w:vAlign w:val="center"/>
                </w:tcPr>
                <w:p w14:paraId="68E67175">
                  <w:pPr>
                    <w:keepNext w:val="0"/>
                    <w:keepLines w:val="0"/>
                    <w:suppressLineNumbers w:val="0"/>
                    <w:spacing w:before="0" w:beforeAutospacing="0" w:after="0" w:afterAutospacing="0" w:line="0" w:lineRule="atLeast"/>
                    <w:ind w:left="0" w:right="0"/>
                    <w:jc w:val="center"/>
                    <w:rPr>
                      <w:rFonts w:hint="default"/>
                      <w:color w:val="auto"/>
                      <w:szCs w:val="21"/>
                    </w:rPr>
                  </w:pPr>
                </w:p>
              </w:tc>
              <w:tc>
                <w:tcPr>
                  <w:tcW w:w="1235" w:type="pct"/>
                  <w:noWrap w:val="0"/>
                  <w:vAlign w:val="center"/>
                </w:tcPr>
                <w:p w14:paraId="6FF9329A">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专用灌浆装置</w:t>
                  </w:r>
                </w:p>
              </w:tc>
              <w:tc>
                <w:tcPr>
                  <w:tcW w:w="1378" w:type="pct"/>
                  <w:noWrap w:val="0"/>
                  <w:vAlign w:val="center"/>
                </w:tcPr>
                <w:p w14:paraId="1724FC94">
                  <w:pPr>
                    <w:keepNext w:val="0"/>
                    <w:keepLines w:val="0"/>
                    <w:suppressLineNumbers w:val="0"/>
                    <w:spacing w:before="0" w:beforeAutospacing="0" w:after="0" w:afterAutospacing="0" w:line="0" w:lineRule="atLeast"/>
                    <w:ind w:left="0" w:right="0"/>
                    <w:jc w:val="center"/>
                    <w:rPr>
                      <w:rFonts w:hint="default"/>
                      <w:color w:val="auto"/>
                      <w:szCs w:val="21"/>
                    </w:rPr>
                  </w:pPr>
                </w:p>
              </w:tc>
              <w:tc>
                <w:tcPr>
                  <w:tcW w:w="535" w:type="pct"/>
                  <w:noWrap w:val="0"/>
                  <w:vAlign w:val="center"/>
                </w:tcPr>
                <w:p w14:paraId="08203BE8">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w:t>
                  </w:r>
                </w:p>
              </w:tc>
              <w:tc>
                <w:tcPr>
                  <w:tcW w:w="1089" w:type="pct"/>
                  <w:noWrap w:val="0"/>
                  <w:vAlign w:val="center"/>
                </w:tcPr>
                <w:p w14:paraId="296AC9BE">
                  <w:pPr>
                    <w:keepNext w:val="0"/>
                    <w:keepLines w:val="0"/>
                    <w:suppressLineNumbers w:val="0"/>
                    <w:spacing w:before="0" w:beforeAutospacing="0" w:after="0" w:afterAutospacing="0" w:line="0" w:lineRule="atLeast"/>
                    <w:ind w:left="0" w:right="0"/>
                    <w:jc w:val="center"/>
                    <w:rPr>
                      <w:rFonts w:hint="default"/>
                      <w:color w:val="auto"/>
                      <w:szCs w:val="21"/>
                    </w:rPr>
                  </w:pPr>
                </w:p>
              </w:tc>
            </w:tr>
            <w:tr w14:paraId="6140810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noWrap w:val="0"/>
                  <w:vAlign w:val="center"/>
                </w:tcPr>
                <w:p w14:paraId="3B7F7EE0">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13</w:t>
                  </w:r>
                </w:p>
              </w:tc>
              <w:tc>
                <w:tcPr>
                  <w:tcW w:w="1664" w:type="pct"/>
                  <w:gridSpan w:val="2"/>
                  <w:noWrap w:val="0"/>
                  <w:vAlign w:val="center"/>
                </w:tcPr>
                <w:p w14:paraId="5C2BAAEC">
                  <w:pPr>
                    <w:keepNext w:val="0"/>
                    <w:keepLines w:val="0"/>
                    <w:suppressLineNumbers w:val="0"/>
                    <w:snapToGrid w:val="0"/>
                    <w:spacing w:before="0" w:beforeAutospacing="0" w:after="0" w:afterAutospacing="0" w:line="0" w:lineRule="atLeast"/>
                    <w:ind w:left="0" w:right="0"/>
                    <w:jc w:val="center"/>
                    <w:rPr>
                      <w:rFonts w:hint="default"/>
                      <w:color w:val="auto"/>
                      <w:szCs w:val="21"/>
                    </w:rPr>
                  </w:pPr>
                  <w:r>
                    <w:rPr>
                      <w:rFonts w:hint="default"/>
                      <w:color w:val="auto"/>
                      <w:szCs w:val="21"/>
                    </w:rPr>
                    <w:t>液压大钳</w:t>
                  </w:r>
                </w:p>
              </w:tc>
              <w:tc>
                <w:tcPr>
                  <w:tcW w:w="1378" w:type="pct"/>
                  <w:noWrap w:val="0"/>
                  <w:vAlign w:val="center"/>
                </w:tcPr>
                <w:p w14:paraId="7A5883E7">
                  <w:pPr>
                    <w:keepNext w:val="0"/>
                    <w:keepLines w:val="0"/>
                    <w:suppressLineNumbers w:val="0"/>
                    <w:snapToGrid w:val="0"/>
                    <w:spacing w:before="0" w:beforeAutospacing="0" w:after="0" w:afterAutospacing="0" w:line="0" w:lineRule="atLeast"/>
                    <w:ind w:left="0" w:right="0"/>
                    <w:jc w:val="center"/>
                    <w:rPr>
                      <w:rFonts w:hint="default"/>
                      <w:color w:val="auto"/>
                      <w:szCs w:val="21"/>
                    </w:rPr>
                  </w:pPr>
                </w:p>
              </w:tc>
              <w:tc>
                <w:tcPr>
                  <w:tcW w:w="535" w:type="pct"/>
                  <w:noWrap w:val="0"/>
                  <w:vAlign w:val="center"/>
                </w:tcPr>
                <w:p w14:paraId="0DDA0F8B">
                  <w:pPr>
                    <w:keepNext w:val="0"/>
                    <w:keepLines w:val="0"/>
                    <w:suppressLineNumbers w:val="0"/>
                    <w:spacing w:before="0" w:beforeAutospacing="0" w:after="0" w:afterAutospacing="0" w:line="0" w:lineRule="atLeast"/>
                    <w:ind w:left="0" w:right="0"/>
                    <w:jc w:val="center"/>
                    <w:rPr>
                      <w:rFonts w:hint="default"/>
                      <w:color w:val="auto"/>
                      <w:szCs w:val="21"/>
                    </w:rPr>
                  </w:pPr>
                </w:p>
              </w:tc>
              <w:tc>
                <w:tcPr>
                  <w:tcW w:w="1089" w:type="pct"/>
                  <w:noWrap w:val="0"/>
                  <w:vAlign w:val="center"/>
                </w:tcPr>
                <w:p w14:paraId="24B591C7">
                  <w:pPr>
                    <w:keepNext w:val="0"/>
                    <w:keepLines w:val="0"/>
                    <w:suppressLineNumbers w:val="0"/>
                    <w:spacing w:before="0" w:beforeAutospacing="0" w:after="0" w:afterAutospacing="0" w:line="0" w:lineRule="atLeast"/>
                    <w:ind w:left="0" w:right="0"/>
                    <w:jc w:val="center"/>
                    <w:rPr>
                      <w:rFonts w:hint="default"/>
                      <w:color w:val="auto"/>
                      <w:szCs w:val="21"/>
                    </w:rPr>
                  </w:pPr>
                </w:p>
              </w:tc>
            </w:tr>
            <w:tr w14:paraId="5A09B59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noWrap w:val="0"/>
                  <w:vAlign w:val="center"/>
                </w:tcPr>
                <w:p w14:paraId="2FD54F11">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14</w:t>
                  </w:r>
                </w:p>
              </w:tc>
              <w:tc>
                <w:tcPr>
                  <w:tcW w:w="1664" w:type="pct"/>
                  <w:gridSpan w:val="2"/>
                  <w:noWrap w:val="0"/>
                  <w:vAlign w:val="center"/>
                </w:tcPr>
                <w:p w14:paraId="09874AAE">
                  <w:pPr>
                    <w:keepNext w:val="0"/>
                    <w:keepLines w:val="0"/>
                    <w:suppressLineNumbers w:val="0"/>
                    <w:adjustRightInd w:val="0"/>
                    <w:snapToGrid w:val="0"/>
                    <w:spacing w:before="0" w:beforeAutospacing="0" w:after="0" w:afterAutospacing="0" w:line="0" w:lineRule="atLeast"/>
                    <w:ind w:left="0" w:right="0"/>
                    <w:jc w:val="center"/>
                    <w:rPr>
                      <w:rFonts w:hint="default"/>
                      <w:color w:val="auto"/>
                      <w:szCs w:val="21"/>
                    </w:rPr>
                  </w:pPr>
                  <w:r>
                    <w:rPr>
                      <w:rFonts w:hint="default"/>
                      <w:color w:val="auto"/>
                      <w:szCs w:val="21"/>
                    </w:rPr>
                    <w:t>液气分离器</w:t>
                  </w:r>
                </w:p>
              </w:tc>
              <w:tc>
                <w:tcPr>
                  <w:tcW w:w="1378" w:type="pct"/>
                  <w:noWrap w:val="0"/>
                  <w:vAlign w:val="center"/>
                </w:tcPr>
                <w:p w14:paraId="321D2943">
                  <w:pPr>
                    <w:keepNext w:val="0"/>
                    <w:keepLines w:val="0"/>
                    <w:suppressLineNumbers w:val="0"/>
                    <w:adjustRightInd w:val="0"/>
                    <w:snapToGrid w:val="0"/>
                    <w:spacing w:before="0" w:beforeAutospacing="0" w:after="0" w:afterAutospacing="0" w:line="0" w:lineRule="atLeast"/>
                    <w:ind w:left="0" w:right="0"/>
                    <w:jc w:val="center"/>
                    <w:rPr>
                      <w:rFonts w:hint="default"/>
                      <w:color w:val="auto"/>
                      <w:szCs w:val="21"/>
                    </w:rPr>
                  </w:pPr>
                  <w:r>
                    <w:rPr>
                      <w:rFonts w:hint="default"/>
                      <w:color w:val="auto"/>
                      <w:szCs w:val="21"/>
                    </w:rPr>
                    <w:t>NQF1200-2.5</w:t>
                  </w:r>
                </w:p>
              </w:tc>
              <w:tc>
                <w:tcPr>
                  <w:tcW w:w="535" w:type="pct"/>
                  <w:noWrap w:val="0"/>
                  <w:vAlign w:val="center"/>
                </w:tcPr>
                <w:p w14:paraId="40E6F58D">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w:t>
                  </w:r>
                </w:p>
              </w:tc>
              <w:tc>
                <w:tcPr>
                  <w:tcW w:w="1089" w:type="pct"/>
                  <w:noWrap w:val="0"/>
                  <w:vAlign w:val="center"/>
                </w:tcPr>
                <w:p w14:paraId="10F9AECB">
                  <w:pPr>
                    <w:keepNext w:val="0"/>
                    <w:keepLines w:val="0"/>
                    <w:suppressLineNumbers w:val="0"/>
                    <w:spacing w:before="0" w:beforeAutospacing="0" w:after="0" w:afterAutospacing="0" w:line="0" w:lineRule="atLeast"/>
                    <w:ind w:left="0" w:right="0"/>
                    <w:jc w:val="center"/>
                    <w:rPr>
                      <w:rFonts w:hint="default"/>
                      <w:color w:val="auto"/>
                      <w:szCs w:val="21"/>
                    </w:rPr>
                  </w:pPr>
                </w:p>
              </w:tc>
            </w:tr>
            <w:tr w14:paraId="70339F2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noWrap w:val="0"/>
                  <w:vAlign w:val="center"/>
                </w:tcPr>
                <w:p w14:paraId="59CAF06E">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15</w:t>
                  </w:r>
                </w:p>
              </w:tc>
              <w:tc>
                <w:tcPr>
                  <w:tcW w:w="1664" w:type="pct"/>
                  <w:gridSpan w:val="2"/>
                  <w:noWrap w:val="0"/>
                  <w:vAlign w:val="center"/>
                </w:tcPr>
                <w:p w14:paraId="6B94C7DE">
                  <w:pPr>
                    <w:keepNext w:val="0"/>
                    <w:keepLines w:val="0"/>
                    <w:suppressLineNumbers w:val="0"/>
                    <w:adjustRightInd w:val="0"/>
                    <w:snapToGrid w:val="0"/>
                    <w:spacing w:before="0" w:beforeAutospacing="0" w:after="0" w:afterAutospacing="0" w:line="0" w:lineRule="atLeast"/>
                    <w:ind w:left="0" w:right="0"/>
                    <w:jc w:val="center"/>
                    <w:rPr>
                      <w:rFonts w:hint="default"/>
                      <w:color w:val="auto"/>
                      <w:szCs w:val="21"/>
                    </w:rPr>
                  </w:pPr>
                  <w:r>
                    <w:rPr>
                      <w:rFonts w:hint="default"/>
                      <w:color w:val="auto"/>
                      <w:szCs w:val="21"/>
                    </w:rPr>
                    <w:t>自动点</w:t>
                  </w:r>
                  <w:r>
                    <w:rPr>
                      <w:rFonts w:hint="eastAsia"/>
                      <w:color w:val="auto"/>
                      <w:szCs w:val="21"/>
                    </w:rPr>
                    <w:t>火</w:t>
                  </w:r>
                  <w:r>
                    <w:rPr>
                      <w:rFonts w:hint="default"/>
                      <w:color w:val="auto"/>
                      <w:szCs w:val="21"/>
                    </w:rPr>
                    <w:t>装置</w:t>
                  </w:r>
                </w:p>
              </w:tc>
              <w:tc>
                <w:tcPr>
                  <w:tcW w:w="1378" w:type="pct"/>
                  <w:noWrap w:val="0"/>
                  <w:vAlign w:val="center"/>
                </w:tcPr>
                <w:p w14:paraId="447E29DE">
                  <w:pPr>
                    <w:keepNext w:val="0"/>
                    <w:keepLines w:val="0"/>
                    <w:suppressLineNumbers w:val="0"/>
                    <w:adjustRightInd w:val="0"/>
                    <w:snapToGrid w:val="0"/>
                    <w:spacing w:before="0" w:beforeAutospacing="0" w:after="0" w:afterAutospacing="0" w:line="0" w:lineRule="atLeast"/>
                    <w:ind w:left="0" w:right="0"/>
                    <w:jc w:val="center"/>
                    <w:rPr>
                      <w:rFonts w:hint="default"/>
                      <w:color w:val="auto"/>
                      <w:szCs w:val="21"/>
                    </w:rPr>
                  </w:pPr>
                </w:p>
              </w:tc>
              <w:tc>
                <w:tcPr>
                  <w:tcW w:w="535" w:type="pct"/>
                  <w:noWrap w:val="0"/>
                  <w:vAlign w:val="center"/>
                </w:tcPr>
                <w:p w14:paraId="06626FD5">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w:t>
                  </w:r>
                </w:p>
              </w:tc>
              <w:tc>
                <w:tcPr>
                  <w:tcW w:w="1089" w:type="pct"/>
                  <w:noWrap w:val="0"/>
                  <w:vAlign w:val="center"/>
                </w:tcPr>
                <w:p w14:paraId="322E25B6">
                  <w:pPr>
                    <w:keepNext w:val="0"/>
                    <w:keepLines w:val="0"/>
                    <w:suppressLineNumbers w:val="0"/>
                    <w:spacing w:before="0" w:beforeAutospacing="0" w:after="0" w:afterAutospacing="0" w:line="0" w:lineRule="atLeast"/>
                    <w:ind w:left="0" w:right="0"/>
                    <w:jc w:val="center"/>
                    <w:rPr>
                      <w:rFonts w:hint="default"/>
                      <w:color w:val="auto"/>
                      <w:szCs w:val="21"/>
                    </w:rPr>
                  </w:pPr>
                </w:p>
              </w:tc>
            </w:tr>
            <w:tr w14:paraId="1F43113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noWrap w:val="0"/>
                  <w:vAlign w:val="center"/>
                </w:tcPr>
                <w:p w14:paraId="4E299920">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16</w:t>
                  </w:r>
                </w:p>
              </w:tc>
              <w:tc>
                <w:tcPr>
                  <w:tcW w:w="1664" w:type="pct"/>
                  <w:gridSpan w:val="2"/>
                  <w:noWrap w:val="0"/>
                  <w:vAlign w:val="center"/>
                </w:tcPr>
                <w:p w14:paraId="715836B0">
                  <w:pPr>
                    <w:keepNext w:val="0"/>
                    <w:keepLines w:val="0"/>
                    <w:suppressLineNumbers w:val="0"/>
                    <w:adjustRightInd w:val="0"/>
                    <w:snapToGrid w:val="0"/>
                    <w:spacing w:before="0" w:beforeAutospacing="0" w:after="0" w:afterAutospacing="0" w:line="0" w:lineRule="atLeast"/>
                    <w:ind w:left="0" w:right="0"/>
                    <w:jc w:val="center"/>
                    <w:rPr>
                      <w:rFonts w:hint="default"/>
                      <w:color w:val="auto"/>
                      <w:szCs w:val="21"/>
                    </w:rPr>
                  </w:pPr>
                  <w:r>
                    <w:rPr>
                      <w:rFonts w:hint="default"/>
                      <w:color w:val="auto"/>
                      <w:szCs w:val="21"/>
                    </w:rPr>
                    <w:t>可移动废水罐</w:t>
                  </w:r>
                </w:p>
              </w:tc>
              <w:tc>
                <w:tcPr>
                  <w:tcW w:w="1378" w:type="pct"/>
                  <w:noWrap w:val="0"/>
                  <w:vAlign w:val="center"/>
                </w:tcPr>
                <w:p w14:paraId="1751CCF3">
                  <w:pPr>
                    <w:keepNext w:val="0"/>
                    <w:keepLines w:val="0"/>
                    <w:suppressLineNumbers w:val="0"/>
                    <w:adjustRightInd w:val="0"/>
                    <w:snapToGrid w:val="0"/>
                    <w:spacing w:before="0" w:beforeAutospacing="0" w:after="0" w:afterAutospacing="0" w:line="0" w:lineRule="atLeast"/>
                    <w:ind w:left="0" w:right="0"/>
                    <w:jc w:val="center"/>
                    <w:rPr>
                      <w:rFonts w:hint="default"/>
                      <w:color w:val="auto"/>
                      <w:szCs w:val="21"/>
                    </w:rPr>
                  </w:pPr>
                  <w:r>
                    <w:rPr>
                      <w:rFonts w:hint="eastAsia"/>
                      <w:color w:val="auto"/>
                      <w:szCs w:val="21"/>
                    </w:rPr>
                    <w:t>30</w:t>
                  </w:r>
                  <w:r>
                    <w:rPr>
                      <w:rFonts w:hint="default"/>
                      <w:color w:val="auto"/>
                      <w:szCs w:val="21"/>
                    </w:rPr>
                    <w:t>m</w:t>
                  </w:r>
                  <w:r>
                    <w:rPr>
                      <w:rFonts w:hint="default"/>
                      <w:color w:val="auto"/>
                      <w:szCs w:val="21"/>
                      <w:vertAlign w:val="superscript"/>
                    </w:rPr>
                    <w:t>3</w:t>
                  </w:r>
                </w:p>
              </w:tc>
              <w:tc>
                <w:tcPr>
                  <w:tcW w:w="535" w:type="pct"/>
                  <w:noWrap w:val="0"/>
                  <w:vAlign w:val="center"/>
                </w:tcPr>
                <w:p w14:paraId="22FFFA21">
                  <w:pPr>
                    <w:keepNext w:val="0"/>
                    <w:keepLines w:val="0"/>
                    <w:suppressLineNumbers w:val="0"/>
                    <w:adjustRightInd w:val="0"/>
                    <w:snapToGrid w:val="0"/>
                    <w:spacing w:before="62" w:beforeAutospacing="0" w:after="62" w:afterAutospacing="0" w:line="0" w:lineRule="atLeast"/>
                    <w:ind w:left="0" w:right="0"/>
                    <w:jc w:val="center"/>
                    <w:rPr>
                      <w:rFonts w:hint="default"/>
                      <w:color w:val="auto"/>
                      <w:szCs w:val="21"/>
                    </w:rPr>
                  </w:pPr>
                  <w:r>
                    <w:rPr>
                      <w:rFonts w:hint="default"/>
                      <w:color w:val="auto"/>
                      <w:szCs w:val="21"/>
                    </w:rPr>
                    <w:t>3</w:t>
                  </w:r>
                </w:p>
              </w:tc>
              <w:tc>
                <w:tcPr>
                  <w:tcW w:w="1089" w:type="pct"/>
                  <w:noWrap w:val="0"/>
                  <w:vAlign w:val="center"/>
                </w:tcPr>
                <w:p w14:paraId="2A76642A">
                  <w:pPr>
                    <w:keepNext w:val="0"/>
                    <w:keepLines w:val="0"/>
                    <w:suppressLineNumbers w:val="0"/>
                    <w:spacing w:before="0" w:beforeAutospacing="0" w:after="0" w:afterAutospacing="0" w:line="0" w:lineRule="atLeast"/>
                    <w:ind w:left="0" w:right="0"/>
                    <w:jc w:val="center"/>
                    <w:rPr>
                      <w:rFonts w:hint="default"/>
                      <w:color w:val="auto"/>
                      <w:szCs w:val="21"/>
                    </w:rPr>
                  </w:pPr>
                </w:p>
              </w:tc>
            </w:tr>
            <w:tr w14:paraId="01F4A8E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noWrap w:val="0"/>
                  <w:vAlign w:val="center"/>
                </w:tcPr>
                <w:p w14:paraId="3FA9EFC7">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17</w:t>
                  </w:r>
                </w:p>
              </w:tc>
              <w:tc>
                <w:tcPr>
                  <w:tcW w:w="1664" w:type="pct"/>
                  <w:gridSpan w:val="2"/>
                  <w:noWrap w:val="0"/>
                  <w:vAlign w:val="center"/>
                </w:tcPr>
                <w:p w14:paraId="3284D08E">
                  <w:pPr>
                    <w:keepNext w:val="0"/>
                    <w:keepLines w:val="0"/>
                    <w:suppressLineNumbers w:val="0"/>
                    <w:adjustRightInd w:val="0"/>
                    <w:snapToGrid w:val="0"/>
                    <w:spacing w:before="0" w:beforeAutospacing="0" w:after="0" w:afterAutospacing="0" w:line="0" w:lineRule="atLeast"/>
                    <w:ind w:left="0" w:right="0"/>
                    <w:jc w:val="center"/>
                    <w:rPr>
                      <w:rFonts w:hint="default"/>
                      <w:color w:val="auto"/>
                      <w:szCs w:val="21"/>
                    </w:rPr>
                  </w:pPr>
                  <w:r>
                    <w:rPr>
                      <w:rFonts w:hint="default"/>
                      <w:color w:val="auto"/>
                      <w:szCs w:val="21"/>
                    </w:rPr>
                    <w:t>可移动泥浆罐</w:t>
                  </w:r>
                </w:p>
              </w:tc>
              <w:tc>
                <w:tcPr>
                  <w:tcW w:w="1378" w:type="pct"/>
                  <w:noWrap w:val="0"/>
                  <w:vAlign w:val="center"/>
                </w:tcPr>
                <w:p w14:paraId="7A5ACA6B">
                  <w:pPr>
                    <w:keepNext w:val="0"/>
                    <w:keepLines w:val="0"/>
                    <w:suppressLineNumbers w:val="0"/>
                    <w:adjustRightInd w:val="0"/>
                    <w:snapToGrid w:val="0"/>
                    <w:spacing w:before="0" w:beforeAutospacing="0" w:after="0" w:afterAutospacing="0" w:line="0" w:lineRule="atLeast"/>
                    <w:ind w:left="0" w:right="0"/>
                    <w:jc w:val="center"/>
                    <w:rPr>
                      <w:rFonts w:hint="default"/>
                      <w:color w:val="auto"/>
                      <w:szCs w:val="21"/>
                    </w:rPr>
                  </w:pPr>
                  <w:r>
                    <w:rPr>
                      <w:rFonts w:hint="eastAsia"/>
                      <w:color w:val="auto"/>
                      <w:szCs w:val="21"/>
                    </w:rPr>
                    <w:t>40</w:t>
                  </w:r>
                  <w:r>
                    <w:rPr>
                      <w:rFonts w:hint="default"/>
                      <w:color w:val="auto"/>
                      <w:szCs w:val="21"/>
                    </w:rPr>
                    <w:t>m</w:t>
                  </w:r>
                  <w:r>
                    <w:rPr>
                      <w:rFonts w:hint="default"/>
                      <w:color w:val="auto"/>
                      <w:szCs w:val="21"/>
                      <w:vertAlign w:val="superscript"/>
                    </w:rPr>
                    <w:t>3</w:t>
                  </w:r>
                </w:p>
              </w:tc>
              <w:tc>
                <w:tcPr>
                  <w:tcW w:w="535" w:type="pct"/>
                  <w:noWrap w:val="0"/>
                  <w:vAlign w:val="center"/>
                </w:tcPr>
                <w:p w14:paraId="34ABBECA">
                  <w:pPr>
                    <w:keepNext w:val="0"/>
                    <w:keepLines w:val="0"/>
                    <w:suppressLineNumbers w:val="0"/>
                    <w:adjustRightInd w:val="0"/>
                    <w:snapToGrid w:val="0"/>
                    <w:spacing w:before="62" w:beforeAutospacing="0" w:after="62" w:afterAutospacing="0" w:line="0" w:lineRule="atLeast"/>
                    <w:ind w:left="0" w:right="0"/>
                    <w:jc w:val="center"/>
                    <w:rPr>
                      <w:rFonts w:hint="default"/>
                      <w:color w:val="auto"/>
                      <w:szCs w:val="21"/>
                    </w:rPr>
                  </w:pPr>
                  <w:r>
                    <w:rPr>
                      <w:rFonts w:hint="eastAsia"/>
                      <w:color w:val="auto"/>
                      <w:szCs w:val="21"/>
                    </w:rPr>
                    <w:t>2</w:t>
                  </w:r>
                </w:p>
              </w:tc>
              <w:tc>
                <w:tcPr>
                  <w:tcW w:w="1089" w:type="pct"/>
                  <w:noWrap w:val="0"/>
                  <w:vAlign w:val="center"/>
                </w:tcPr>
                <w:p w14:paraId="19500388">
                  <w:pPr>
                    <w:keepNext w:val="0"/>
                    <w:keepLines w:val="0"/>
                    <w:suppressLineNumbers w:val="0"/>
                    <w:spacing w:before="0" w:beforeAutospacing="0" w:after="0" w:afterAutospacing="0" w:line="0" w:lineRule="atLeast"/>
                    <w:ind w:left="0" w:right="0"/>
                    <w:jc w:val="center"/>
                    <w:rPr>
                      <w:rFonts w:hint="default"/>
                      <w:color w:val="auto"/>
                      <w:szCs w:val="21"/>
                    </w:rPr>
                  </w:pPr>
                </w:p>
              </w:tc>
            </w:tr>
            <w:tr w14:paraId="6FAD8F6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vMerge w:val="restart"/>
                  <w:noWrap w:val="0"/>
                  <w:vAlign w:val="center"/>
                </w:tcPr>
                <w:p w14:paraId="320949EF">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18</w:t>
                  </w:r>
                </w:p>
              </w:tc>
              <w:tc>
                <w:tcPr>
                  <w:tcW w:w="428" w:type="pct"/>
                  <w:vMerge w:val="restart"/>
                  <w:noWrap w:val="0"/>
                  <w:vAlign w:val="center"/>
                </w:tcPr>
                <w:p w14:paraId="4D6616B1">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泥浆不落地处理装置</w:t>
                  </w:r>
                </w:p>
              </w:tc>
              <w:tc>
                <w:tcPr>
                  <w:tcW w:w="1235" w:type="pct"/>
                  <w:noWrap w:val="0"/>
                  <w:vAlign w:val="center"/>
                </w:tcPr>
                <w:p w14:paraId="5F7A31AA">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废弃物储备罐</w:t>
                  </w:r>
                </w:p>
              </w:tc>
              <w:tc>
                <w:tcPr>
                  <w:tcW w:w="1378" w:type="pct"/>
                  <w:noWrap w:val="0"/>
                  <w:vAlign w:val="center"/>
                </w:tcPr>
                <w:p w14:paraId="1B6E46E5">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535" w:type="pct"/>
                  <w:noWrap w:val="0"/>
                  <w:vAlign w:val="center"/>
                </w:tcPr>
                <w:p w14:paraId="0A3D6429">
                  <w:pPr>
                    <w:keepNext w:val="0"/>
                    <w:keepLines w:val="0"/>
                    <w:suppressLineNumbers w:val="0"/>
                    <w:snapToGrid w:val="0"/>
                    <w:spacing w:before="0" w:beforeAutospacing="0" w:after="0" w:afterAutospacing="0"/>
                    <w:ind w:left="0" w:right="0"/>
                    <w:jc w:val="center"/>
                    <w:rPr>
                      <w:rFonts w:hint="default"/>
                      <w:color w:val="auto"/>
                      <w:szCs w:val="21"/>
                    </w:rPr>
                  </w:pPr>
                  <w:r>
                    <w:rPr>
                      <w:rFonts w:hint="eastAsia"/>
                      <w:color w:val="auto"/>
                      <w:szCs w:val="21"/>
                    </w:rPr>
                    <w:t>2</w:t>
                  </w:r>
                </w:p>
              </w:tc>
              <w:tc>
                <w:tcPr>
                  <w:tcW w:w="1089" w:type="pct"/>
                  <w:noWrap w:val="0"/>
                  <w:vAlign w:val="center"/>
                </w:tcPr>
                <w:p w14:paraId="5FD48119">
                  <w:pPr>
                    <w:keepNext w:val="0"/>
                    <w:keepLines w:val="0"/>
                    <w:suppressLineNumbers w:val="0"/>
                    <w:spacing w:before="0" w:beforeAutospacing="0" w:after="0" w:afterAutospacing="0" w:line="0" w:lineRule="atLeast"/>
                    <w:ind w:left="0" w:right="0"/>
                    <w:jc w:val="center"/>
                    <w:rPr>
                      <w:rFonts w:hint="default"/>
                      <w:color w:val="auto"/>
                      <w:szCs w:val="21"/>
                    </w:rPr>
                  </w:pPr>
                </w:p>
              </w:tc>
            </w:tr>
            <w:tr w14:paraId="289F532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vMerge w:val="continue"/>
                  <w:noWrap w:val="0"/>
                  <w:vAlign w:val="center"/>
                </w:tcPr>
                <w:p w14:paraId="3C2BC60C">
                  <w:pPr>
                    <w:keepNext w:val="0"/>
                    <w:keepLines w:val="0"/>
                    <w:suppressLineNumbers w:val="0"/>
                    <w:snapToGrid w:val="0"/>
                    <w:spacing w:before="0" w:beforeAutospacing="0" w:after="0" w:afterAutospacing="0"/>
                    <w:ind w:left="0" w:right="0"/>
                    <w:jc w:val="center"/>
                    <w:rPr>
                      <w:rFonts w:hint="default"/>
                      <w:color w:val="auto"/>
                      <w:szCs w:val="21"/>
                    </w:rPr>
                  </w:pPr>
                </w:p>
              </w:tc>
              <w:tc>
                <w:tcPr>
                  <w:tcW w:w="428" w:type="pct"/>
                  <w:vMerge w:val="continue"/>
                  <w:noWrap w:val="0"/>
                  <w:vAlign w:val="center"/>
                </w:tcPr>
                <w:p w14:paraId="232FFE96">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1235" w:type="pct"/>
                  <w:noWrap w:val="0"/>
                  <w:vAlign w:val="center"/>
                </w:tcPr>
                <w:p w14:paraId="30C59DF6">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破胶脱稳装置</w:t>
                  </w:r>
                </w:p>
              </w:tc>
              <w:tc>
                <w:tcPr>
                  <w:tcW w:w="1378" w:type="pct"/>
                  <w:noWrap w:val="0"/>
                  <w:vAlign w:val="center"/>
                </w:tcPr>
                <w:p w14:paraId="5CDB04BE">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535" w:type="pct"/>
                  <w:noWrap w:val="0"/>
                  <w:vAlign w:val="center"/>
                </w:tcPr>
                <w:p w14:paraId="4FEAE477">
                  <w:pPr>
                    <w:keepNext w:val="0"/>
                    <w:keepLines w:val="0"/>
                    <w:suppressLineNumbers w:val="0"/>
                    <w:snapToGrid w:val="0"/>
                    <w:spacing w:before="0" w:beforeAutospacing="0" w:after="0" w:afterAutospacing="0"/>
                    <w:ind w:left="0" w:right="0"/>
                    <w:jc w:val="center"/>
                    <w:rPr>
                      <w:rFonts w:hint="default"/>
                      <w:color w:val="auto"/>
                      <w:szCs w:val="21"/>
                    </w:rPr>
                  </w:pPr>
                  <w:r>
                    <w:rPr>
                      <w:rFonts w:hint="eastAsia"/>
                      <w:color w:val="auto"/>
                      <w:szCs w:val="21"/>
                    </w:rPr>
                    <w:t>1</w:t>
                  </w:r>
                </w:p>
              </w:tc>
              <w:tc>
                <w:tcPr>
                  <w:tcW w:w="1089" w:type="pct"/>
                  <w:noWrap w:val="0"/>
                  <w:vAlign w:val="center"/>
                </w:tcPr>
                <w:p w14:paraId="33192947">
                  <w:pPr>
                    <w:keepNext w:val="0"/>
                    <w:keepLines w:val="0"/>
                    <w:suppressLineNumbers w:val="0"/>
                    <w:spacing w:before="0" w:beforeAutospacing="0" w:after="0" w:afterAutospacing="0" w:line="0" w:lineRule="atLeast"/>
                    <w:ind w:left="0" w:right="0"/>
                    <w:jc w:val="center"/>
                    <w:rPr>
                      <w:rFonts w:hint="default"/>
                      <w:color w:val="auto"/>
                      <w:szCs w:val="21"/>
                    </w:rPr>
                  </w:pPr>
                </w:p>
              </w:tc>
            </w:tr>
            <w:tr w14:paraId="386D87E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2" w:type="pct"/>
                  <w:vMerge w:val="continue"/>
                  <w:noWrap w:val="0"/>
                  <w:vAlign w:val="center"/>
                </w:tcPr>
                <w:p w14:paraId="4EE4AE0D">
                  <w:pPr>
                    <w:keepNext w:val="0"/>
                    <w:keepLines w:val="0"/>
                    <w:suppressLineNumbers w:val="0"/>
                    <w:snapToGrid w:val="0"/>
                    <w:spacing w:before="0" w:beforeAutospacing="0" w:after="0" w:afterAutospacing="0"/>
                    <w:ind w:left="0" w:right="0"/>
                    <w:jc w:val="center"/>
                    <w:rPr>
                      <w:rFonts w:hint="default"/>
                      <w:color w:val="auto"/>
                      <w:szCs w:val="21"/>
                    </w:rPr>
                  </w:pPr>
                </w:p>
              </w:tc>
              <w:tc>
                <w:tcPr>
                  <w:tcW w:w="428" w:type="pct"/>
                  <w:vMerge w:val="continue"/>
                  <w:noWrap w:val="0"/>
                  <w:vAlign w:val="center"/>
                </w:tcPr>
                <w:p w14:paraId="6344BC6E">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1235" w:type="pct"/>
                  <w:noWrap w:val="0"/>
                  <w:vAlign w:val="center"/>
                </w:tcPr>
                <w:p w14:paraId="2F409DAE">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固液分离装置</w:t>
                  </w:r>
                </w:p>
              </w:tc>
              <w:tc>
                <w:tcPr>
                  <w:tcW w:w="1378" w:type="pct"/>
                  <w:noWrap w:val="0"/>
                  <w:vAlign w:val="center"/>
                </w:tcPr>
                <w:p w14:paraId="0B790CB8">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535" w:type="pct"/>
                  <w:noWrap w:val="0"/>
                  <w:vAlign w:val="center"/>
                </w:tcPr>
                <w:p w14:paraId="0510D4DD">
                  <w:pPr>
                    <w:keepNext w:val="0"/>
                    <w:keepLines w:val="0"/>
                    <w:suppressLineNumbers w:val="0"/>
                    <w:snapToGrid w:val="0"/>
                    <w:spacing w:before="0" w:beforeAutospacing="0" w:after="0" w:afterAutospacing="0"/>
                    <w:ind w:left="0" w:right="0"/>
                    <w:jc w:val="center"/>
                    <w:rPr>
                      <w:rFonts w:hint="default"/>
                      <w:color w:val="auto"/>
                      <w:szCs w:val="21"/>
                    </w:rPr>
                  </w:pPr>
                  <w:r>
                    <w:rPr>
                      <w:rFonts w:hint="eastAsia"/>
                      <w:color w:val="auto"/>
                      <w:szCs w:val="21"/>
                    </w:rPr>
                    <w:t>1</w:t>
                  </w:r>
                </w:p>
              </w:tc>
              <w:tc>
                <w:tcPr>
                  <w:tcW w:w="1089" w:type="pct"/>
                  <w:noWrap w:val="0"/>
                  <w:vAlign w:val="center"/>
                </w:tcPr>
                <w:p w14:paraId="4BC0F4F8">
                  <w:pPr>
                    <w:keepNext w:val="0"/>
                    <w:keepLines w:val="0"/>
                    <w:suppressLineNumbers w:val="0"/>
                    <w:spacing w:before="0" w:beforeAutospacing="0" w:after="0" w:afterAutospacing="0" w:line="0" w:lineRule="atLeast"/>
                    <w:ind w:left="0" w:right="0"/>
                    <w:jc w:val="center"/>
                    <w:rPr>
                      <w:rFonts w:hint="default"/>
                      <w:color w:val="auto"/>
                      <w:szCs w:val="21"/>
                    </w:rPr>
                  </w:pPr>
                </w:p>
              </w:tc>
            </w:tr>
          </w:tbl>
          <w:p w14:paraId="3B557791">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color w:val="auto"/>
                <w:sz w:val="24"/>
              </w:rPr>
              <w:t>（2）</w:t>
            </w:r>
            <w:r>
              <w:rPr>
                <w:rFonts w:hint="default"/>
                <w:color w:val="auto"/>
                <w:sz w:val="24"/>
              </w:rPr>
              <w:t>录井设备</w:t>
            </w:r>
          </w:p>
          <w:p w14:paraId="406DC2B4">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录井是利用肉眼、综合录井仪，观察、采集、收集、记录、分析随钻过程中由井筒返出的固体、液体、气体等井筒返出物信息，以此建立录井地质剖面、发现油气显示，并为钻井提供信息服务。录井主要设备：综合录井仪。</w:t>
            </w:r>
          </w:p>
          <w:p w14:paraId="0EF1E91B">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color w:val="auto"/>
                <w:sz w:val="24"/>
              </w:rPr>
              <w:t>（3）</w:t>
            </w:r>
            <w:r>
              <w:rPr>
                <w:rFonts w:hint="default"/>
                <w:color w:val="auto"/>
                <w:sz w:val="24"/>
              </w:rPr>
              <w:t>测井设备</w:t>
            </w:r>
          </w:p>
          <w:p w14:paraId="1D22F622">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lang w:eastAsia="zh-CN"/>
              </w:rPr>
            </w:pPr>
            <w:r>
              <w:rPr>
                <w:rFonts w:hint="default"/>
                <w:color w:val="auto"/>
                <w:sz w:val="24"/>
              </w:rPr>
              <w:t>测井是利用专用仪器设备测量岩层的电化学特性、导电特性、声学特性、放射性等地球物理特性，以获取岩层的孔隙度、渗透率以及含油气情况等地层信息。</w:t>
            </w:r>
            <w:r>
              <w:rPr>
                <w:rFonts w:hint="eastAsia"/>
                <w:color w:val="auto"/>
                <w:sz w:val="24"/>
                <w:lang w:eastAsia="zh-CN"/>
              </w:rPr>
              <w:t>本工程</w:t>
            </w:r>
            <w:r>
              <w:rPr>
                <w:rFonts w:hint="default"/>
                <w:color w:val="auto"/>
                <w:sz w:val="24"/>
              </w:rPr>
              <w:t>采用Eclips5700以上组合测井系列，对全井段进行电传测井，Eclips5700测井属电</w:t>
            </w:r>
            <w:r>
              <w:rPr>
                <w:rFonts w:hint="default"/>
                <w:color w:val="auto"/>
                <w:sz w:val="24"/>
                <w:highlight w:val="none"/>
              </w:rPr>
              <w:t>传型</w:t>
            </w:r>
            <w:r>
              <w:rPr>
                <w:rFonts w:hint="default"/>
                <w:color w:val="auto"/>
                <w:sz w:val="24"/>
              </w:rPr>
              <w:t>号成像测井系统，分为地面装备（井下电传信号收集设备、计算机分析终端组成）、电缆（500kb/s传输速率电缆）、井下仪器（地层微电阻率扫描、偶极横波声波、超声波成像仪、地层动态检测仪、方位电阻率成像、核孔隙度岩性仪、自然伽马测井、阵列声波等）</w:t>
            </w:r>
            <w:r>
              <w:rPr>
                <w:rFonts w:hint="eastAsia"/>
                <w:color w:val="auto"/>
                <w:sz w:val="24"/>
                <w:lang w:eastAsia="zh-CN"/>
              </w:rPr>
              <w:t>。</w:t>
            </w:r>
          </w:p>
          <w:p w14:paraId="4D21FAC0">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rPr>
            </w:pPr>
            <w:r>
              <w:rPr>
                <w:rFonts w:hint="eastAsia"/>
                <w:color w:val="auto"/>
                <w:sz w:val="24"/>
                <w:highlight w:val="none"/>
                <w:lang w:eastAsia="zh-CN"/>
              </w:rPr>
              <w:t>涉及</w:t>
            </w:r>
            <w:r>
              <w:rPr>
                <w:rFonts w:hint="default"/>
                <w:color w:val="auto"/>
                <w:sz w:val="24"/>
                <w:highlight w:val="none"/>
              </w:rPr>
              <w:t>到</w:t>
            </w:r>
            <w:r>
              <w:rPr>
                <w:rFonts w:hint="default"/>
                <w:color w:val="auto"/>
                <w:sz w:val="24"/>
              </w:rPr>
              <w:t>放射源石油测井项目，应根据国家有关规定，另行办理</w:t>
            </w:r>
            <w:r>
              <w:rPr>
                <w:rFonts w:hint="eastAsia"/>
                <w:color w:val="auto"/>
                <w:sz w:val="24"/>
                <w:lang w:eastAsia="zh-CN"/>
              </w:rPr>
              <w:t>放射源</w:t>
            </w:r>
            <w:r>
              <w:rPr>
                <w:rFonts w:hint="default"/>
                <w:color w:val="auto"/>
                <w:sz w:val="24"/>
              </w:rPr>
              <w:t>测井项目环评手续。</w:t>
            </w:r>
          </w:p>
          <w:p w14:paraId="1E872732">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color w:val="auto"/>
                <w:sz w:val="24"/>
              </w:rPr>
              <w:t>（4）</w:t>
            </w:r>
            <w:r>
              <w:rPr>
                <w:rFonts w:hint="default"/>
                <w:color w:val="auto"/>
                <w:sz w:val="24"/>
              </w:rPr>
              <w:t>试油设备</w:t>
            </w:r>
          </w:p>
          <w:p w14:paraId="0D0C3A33">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rPr>
            </w:pPr>
            <w:r>
              <w:rPr>
                <w:rFonts w:hint="default"/>
                <w:color w:val="auto"/>
                <w:sz w:val="24"/>
              </w:rPr>
              <w:t>根据钻井及测井结果进行试油，试油主要设备有：抽油机、两相分离器、储液罐等。</w:t>
            </w:r>
          </w:p>
          <w:p w14:paraId="36E7CEAD">
            <w:pPr>
              <w:keepNext w:val="0"/>
              <w:keepLines w:val="0"/>
              <w:suppressLineNumbers w:val="0"/>
              <w:spacing w:before="0" w:beforeAutospacing="0" w:after="0" w:afterAutospacing="0"/>
              <w:ind w:left="0" w:right="0"/>
              <w:jc w:val="center"/>
              <w:rPr>
                <w:rFonts w:hint="default"/>
                <w:b/>
                <w:color w:val="auto"/>
                <w:sz w:val="24"/>
              </w:rPr>
            </w:pPr>
            <w:r>
              <w:rPr>
                <w:rFonts w:hint="default"/>
                <w:b/>
                <w:color w:val="auto"/>
                <w:sz w:val="24"/>
              </w:rPr>
              <w:t>表</w:t>
            </w:r>
            <w:r>
              <w:rPr>
                <w:rFonts w:hint="eastAsia"/>
                <w:b/>
                <w:color w:val="auto"/>
                <w:sz w:val="24"/>
              </w:rPr>
              <w:t>2</w:t>
            </w:r>
            <w:r>
              <w:rPr>
                <w:rFonts w:hint="default"/>
                <w:b/>
                <w:color w:val="auto"/>
                <w:sz w:val="24"/>
              </w:rPr>
              <w:t>-</w:t>
            </w:r>
            <w:r>
              <w:rPr>
                <w:rFonts w:hint="eastAsia"/>
                <w:b/>
                <w:color w:val="auto"/>
                <w:sz w:val="24"/>
              </w:rPr>
              <w:t>3 单井</w:t>
            </w:r>
            <w:r>
              <w:rPr>
                <w:rFonts w:hint="default"/>
                <w:b/>
                <w:color w:val="auto"/>
                <w:sz w:val="24"/>
              </w:rPr>
              <w:t>试油主要设备</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730"/>
              <w:gridCol w:w="2586"/>
              <w:gridCol w:w="2806"/>
              <w:gridCol w:w="1248"/>
            </w:tblGrid>
            <w:tr w14:paraId="57C95C9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79" w:hRule="atLeast"/>
                <w:jc w:val="center"/>
              </w:trPr>
              <w:tc>
                <w:tcPr>
                  <w:tcW w:w="1033" w:type="pct"/>
                  <w:noWrap w:val="0"/>
                  <w:vAlign w:val="center"/>
                </w:tcPr>
                <w:p w14:paraId="5A2CC23E">
                  <w:pPr>
                    <w:keepNext w:val="0"/>
                    <w:keepLines w:val="0"/>
                    <w:suppressLineNumbers w:val="0"/>
                    <w:autoSpaceDE w:val="0"/>
                    <w:autoSpaceDN w:val="0"/>
                    <w:adjustRightInd w:val="0"/>
                    <w:spacing w:before="0" w:beforeAutospacing="0" w:after="0" w:afterAutospacing="0"/>
                    <w:ind w:left="0" w:right="0"/>
                    <w:jc w:val="center"/>
                    <w:rPr>
                      <w:rFonts w:hint="default"/>
                      <w:b/>
                      <w:color w:val="auto"/>
                      <w:szCs w:val="21"/>
                    </w:rPr>
                  </w:pPr>
                  <w:r>
                    <w:rPr>
                      <w:rFonts w:hint="eastAsia"/>
                      <w:b/>
                      <w:color w:val="auto"/>
                      <w:szCs w:val="21"/>
                    </w:rPr>
                    <w:t>序号</w:t>
                  </w:r>
                </w:p>
              </w:tc>
              <w:tc>
                <w:tcPr>
                  <w:tcW w:w="1544" w:type="pct"/>
                  <w:noWrap w:val="0"/>
                  <w:vAlign w:val="center"/>
                </w:tcPr>
                <w:p w14:paraId="3400F112">
                  <w:pPr>
                    <w:keepNext w:val="0"/>
                    <w:keepLines w:val="0"/>
                    <w:suppressLineNumbers w:val="0"/>
                    <w:autoSpaceDE w:val="0"/>
                    <w:autoSpaceDN w:val="0"/>
                    <w:adjustRightInd w:val="0"/>
                    <w:spacing w:before="0" w:beforeAutospacing="0" w:after="0" w:afterAutospacing="0"/>
                    <w:ind w:left="0" w:right="0"/>
                    <w:jc w:val="center"/>
                    <w:rPr>
                      <w:rFonts w:hint="default"/>
                      <w:b/>
                      <w:color w:val="auto"/>
                      <w:szCs w:val="21"/>
                    </w:rPr>
                  </w:pPr>
                  <w:r>
                    <w:rPr>
                      <w:rFonts w:hint="eastAsia"/>
                      <w:b/>
                      <w:color w:val="auto"/>
                      <w:szCs w:val="21"/>
                    </w:rPr>
                    <w:t>试油工程</w:t>
                  </w:r>
                </w:p>
              </w:tc>
              <w:tc>
                <w:tcPr>
                  <w:tcW w:w="1675" w:type="pct"/>
                  <w:noWrap w:val="0"/>
                  <w:vAlign w:val="center"/>
                </w:tcPr>
                <w:p w14:paraId="46E115E4">
                  <w:pPr>
                    <w:keepNext w:val="0"/>
                    <w:keepLines w:val="0"/>
                    <w:suppressLineNumbers w:val="0"/>
                    <w:autoSpaceDE w:val="0"/>
                    <w:autoSpaceDN w:val="0"/>
                    <w:adjustRightInd w:val="0"/>
                    <w:spacing w:before="0" w:beforeAutospacing="0" w:after="0" w:afterAutospacing="0"/>
                    <w:ind w:left="0" w:right="0"/>
                    <w:jc w:val="center"/>
                    <w:rPr>
                      <w:rFonts w:hint="default"/>
                      <w:b/>
                      <w:color w:val="auto"/>
                      <w:szCs w:val="21"/>
                    </w:rPr>
                  </w:pPr>
                  <w:r>
                    <w:rPr>
                      <w:rFonts w:hint="eastAsia"/>
                      <w:b/>
                      <w:color w:val="auto"/>
                      <w:szCs w:val="21"/>
                    </w:rPr>
                    <w:t>规格</w:t>
                  </w:r>
                </w:p>
              </w:tc>
              <w:tc>
                <w:tcPr>
                  <w:tcW w:w="745" w:type="pct"/>
                  <w:noWrap w:val="0"/>
                  <w:vAlign w:val="center"/>
                </w:tcPr>
                <w:p w14:paraId="4BF83D33">
                  <w:pPr>
                    <w:keepNext w:val="0"/>
                    <w:keepLines w:val="0"/>
                    <w:suppressLineNumbers w:val="0"/>
                    <w:autoSpaceDE w:val="0"/>
                    <w:autoSpaceDN w:val="0"/>
                    <w:adjustRightInd w:val="0"/>
                    <w:spacing w:before="0" w:beforeAutospacing="0" w:after="0" w:afterAutospacing="0"/>
                    <w:ind w:left="0" w:right="0"/>
                    <w:jc w:val="center"/>
                    <w:rPr>
                      <w:rFonts w:hint="default"/>
                      <w:b/>
                      <w:color w:val="auto"/>
                      <w:szCs w:val="21"/>
                    </w:rPr>
                  </w:pPr>
                  <w:r>
                    <w:rPr>
                      <w:rFonts w:hint="eastAsia"/>
                      <w:b/>
                      <w:color w:val="auto"/>
                      <w:szCs w:val="21"/>
                    </w:rPr>
                    <w:t>数量</w:t>
                  </w:r>
                </w:p>
              </w:tc>
            </w:tr>
            <w:tr w14:paraId="63CF527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65" w:hRule="atLeast"/>
                <w:jc w:val="center"/>
              </w:trPr>
              <w:tc>
                <w:tcPr>
                  <w:tcW w:w="1033" w:type="pct"/>
                  <w:noWrap w:val="0"/>
                  <w:vAlign w:val="center"/>
                </w:tcPr>
                <w:p w14:paraId="5AD9AA3C">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rPr>
                  </w:pPr>
                  <w:r>
                    <w:rPr>
                      <w:rFonts w:hint="default"/>
                      <w:color w:val="auto"/>
                      <w:szCs w:val="21"/>
                    </w:rPr>
                    <w:t>1</w:t>
                  </w:r>
                </w:p>
              </w:tc>
              <w:tc>
                <w:tcPr>
                  <w:tcW w:w="1544" w:type="pct"/>
                  <w:noWrap w:val="0"/>
                  <w:vAlign w:val="center"/>
                </w:tcPr>
                <w:p w14:paraId="093A3A70">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rPr>
                  </w:pPr>
                  <w:r>
                    <w:rPr>
                      <w:rFonts w:hint="eastAsia"/>
                      <w:color w:val="auto"/>
                      <w:szCs w:val="21"/>
                    </w:rPr>
                    <w:t>抽油机</w:t>
                  </w:r>
                </w:p>
              </w:tc>
              <w:tc>
                <w:tcPr>
                  <w:tcW w:w="1675" w:type="pct"/>
                  <w:noWrap w:val="0"/>
                  <w:vAlign w:val="center"/>
                </w:tcPr>
                <w:p w14:paraId="41B625EA">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rPr>
                  </w:pPr>
                </w:p>
              </w:tc>
              <w:tc>
                <w:tcPr>
                  <w:tcW w:w="745" w:type="pct"/>
                  <w:noWrap w:val="0"/>
                  <w:vAlign w:val="center"/>
                </w:tcPr>
                <w:p w14:paraId="4EE500FB">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rPr>
                  </w:pPr>
                  <w:r>
                    <w:rPr>
                      <w:rFonts w:hint="default"/>
                      <w:color w:val="auto"/>
                      <w:szCs w:val="21"/>
                    </w:rPr>
                    <w:t>1</w:t>
                  </w:r>
                </w:p>
              </w:tc>
            </w:tr>
            <w:tr w14:paraId="39409E8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033" w:type="pct"/>
                  <w:noWrap w:val="0"/>
                  <w:vAlign w:val="center"/>
                </w:tcPr>
                <w:p w14:paraId="70EA6583">
                  <w:pPr>
                    <w:keepNext w:val="0"/>
                    <w:keepLines w:val="0"/>
                    <w:suppressLineNumbers w:val="0"/>
                    <w:autoSpaceDE w:val="0"/>
                    <w:autoSpaceDN w:val="0"/>
                    <w:adjustRightInd w:val="0"/>
                    <w:spacing w:before="0" w:beforeAutospacing="0" w:after="0" w:afterAutospacing="0"/>
                    <w:ind w:left="0" w:right="0"/>
                    <w:jc w:val="center"/>
                    <w:rPr>
                      <w:rFonts w:hint="eastAsia" w:eastAsia="宋体"/>
                      <w:color w:val="auto"/>
                      <w:szCs w:val="21"/>
                      <w:lang w:eastAsia="zh-CN"/>
                    </w:rPr>
                  </w:pPr>
                  <w:r>
                    <w:rPr>
                      <w:rFonts w:hint="eastAsia"/>
                      <w:color w:val="auto"/>
                      <w:szCs w:val="21"/>
                      <w:lang w:val="en-US" w:eastAsia="zh-CN"/>
                    </w:rPr>
                    <w:t>2</w:t>
                  </w:r>
                </w:p>
              </w:tc>
              <w:tc>
                <w:tcPr>
                  <w:tcW w:w="1544" w:type="pct"/>
                  <w:noWrap w:val="0"/>
                  <w:vAlign w:val="center"/>
                </w:tcPr>
                <w:p w14:paraId="0D88985B">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rPr>
                  </w:pPr>
                  <w:r>
                    <w:rPr>
                      <w:rFonts w:hint="eastAsia"/>
                      <w:color w:val="auto"/>
                      <w:szCs w:val="21"/>
                    </w:rPr>
                    <w:t>储液罐</w:t>
                  </w:r>
                </w:p>
              </w:tc>
              <w:tc>
                <w:tcPr>
                  <w:tcW w:w="1675" w:type="pct"/>
                  <w:noWrap w:val="0"/>
                  <w:vAlign w:val="center"/>
                </w:tcPr>
                <w:p w14:paraId="6C323B5E">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rPr>
                  </w:pPr>
                  <w:r>
                    <w:rPr>
                      <w:rFonts w:hint="default"/>
                      <w:color w:val="auto"/>
                      <w:szCs w:val="21"/>
                    </w:rPr>
                    <w:t>40m</w:t>
                  </w:r>
                  <w:r>
                    <w:rPr>
                      <w:rFonts w:hint="default"/>
                      <w:color w:val="auto"/>
                      <w:szCs w:val="21"/>
                      <w:vertAlign w:val="superscript"/>
                    </w:rPr>
                    <w:t>3</w:t>
                  </w:r>
                </w:p>
              </w:tc>
              <w:tc>
                <w:tcPr>
                  <w:tcW w:w="745" w:type="pct"/>
                  <w:noWrap w:val="0"/>
                  <w:vAlign w:val="center"/>
                </w:tcPr>
                <w:p w14:paraId="39142D88">
                  <w:pPr>
                    <w:keepNext w:val="0"/>
                    <w:keepLines w:val="0"/>
                    <w:suppressLineNumbers w:val="0"/>
                    <w:autoSpaceDE w:val="0"/>
                    <w:autoSpaceDN w:val="0"/>
                    <w:adjustRightInd w:val="0"/>
                    <w:spacing w:before="0" w:beforeAutospacing="0" w:after="0" w:afterAutospacing="0"/>
                    <w:ind w:left="0" w:right="0"/>
                    <w:jc w:val="center"/>
                    <w:rPr>
                      <w:rFonts w:hint="eastAsia" w:eastAsia="宋体"/>
                      <w:color w:val="auto"/>
                      <w:szCs w:val="21"/>
                      <w:lang w:eastAsia="zh-CN"/>
                    </w:rPr>
                  </w:pPr>
                  <w:r>
                    <w:rPr>
                      <w:rFonts w:hint="default"/>
                      <w:color w:val="auto"/>
                      <w:szCs w:val="21"/>
                    </w:rPr>
                    <w:t>2</w:t>
                  </w:r>
                  <w:r>
                    <w:rPr>
                      <w:rFonts w:hint="eastAsia"/>
                      <w:color w:val="auto"/>
                      <w:szCs w:val="21"/>
                      <w:lang w:eastAsia="zh-CN"/>
                    </w:rPr>
                    <w:t>（一用一备）</w:t>
                  </w:r>
                </w:p>
              </w:tc>
            </w:tr>
            <w:tr w14:paraId="623D487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033" w:type="pct"/>
                  <w:noWrap w:val="0"/>
                  <w:vAlign w:val="center"/>
                </w:tcPr>
                <w:p w14:paraId="6B6C80E7">
                  <w:pPr>
                    <w:keepNext w:val="0"/>
                    <w:keepLines w:val="0"/>
                    <w:suppressLineNumbers w:val="0"/>
                    <w:autoSpaceDE w:val="0"/>
                    <w:autoSpaceDN w:val="0"/>
                    <w:adjustRightInd w:val="0"/>
                    <w:spacing w:before="0" w:beforeAutospacing="0" w:after="0" w:afterAutospacing="0"/>
                    <w:ind w:left="0" w:right="0"/>
                    <w:jc w:val="center"/>
                    <w:rPr>
                      <w:rFonts w:hint="eastAsia" w:eastAsia="宋体"/>
                      <w:color w:val="auto"/>
                      <w:szCs w:val="21"/>
                      <w:lang w:eastAsia="zh-CN"/>
                    </w:rPr>
                  </w:pPr>
                  <w:r>
                    <w:rPr>
                      <w:rFonts w:hint="eastAsia"/>
                      <w:color w:val="auto"/>
                      <w:szCs w:val="21"/>
                      <w:lang w:val="en-US" w:eastAsia="zh-CN"/>
                    </w:rPr>
                    <w:t>3</w:t>
                  </w:r>
                </w:p>
              </w:tc>
              <w:tc>
                <w:tcPr>
                  <w:tcW w:w="1544" w:type="pct"/>
                  <w:noWrap w:val="0"/>
                  <w:vAlign w:val="center"/>
                </w:tcPr>
                <w:p w14:paraId="6D517675">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rPr>
                  </w:pPr>
                  <w:r>
                    <w:rPr>
                      <w:rFonts w:hint="eastAsia"/>
                      <w:color w:val="auto"/>
                      <w:szCs w:val="21"/>
                    </w:rPr>
                    <w:t>放喷系统</w:t>
                  </w:r>
                </w:p>
              </w:tc>
              <w:tc>
                <w:tcPr>
                  <w:tcW w:w="1675" w:type="pct"/>
                  <w:noWrap w:val="0"/>
                  <w:vAlign w:val="center"/>
                </w:tcPr>
                <w:p w14:paraId="68CF0B09">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rPr>
                  </w:pPr>
                  <w:r>
                    <w:rPr>
                      <w:rFonts w:hint="eastAsia"/>
                      <w:color w:val="auto"/>
                      <w:szCs w:val="21"/>
                    </w:rPr>
                    <w:t>含放喷管线，自动点火装置</w:t>
                  </w:r>
                </w:p>
              </w:tc>
              <w:tc>
                <w:tcPr>
                  <w:tcW w:w="745" w:type="pct"/>
                  <w:noWrap w:val="0"/>
                  <w:vAlign w:val="center"/>
                </w:tcPr>
                <w:p w14:paraId="22E40B68">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rPr>
                  </w:pPr>
                  <w:r>
                    <w:rPr>
                      <w:rFonts w:hint="default"/>
                      <w:color w:val="auto"/>
                      <w:szCs w:val="21"/>
                    </w:rPr>
                    <w:t>1</w:t>
                  </w:r>
                </w:p>
              </w:tc>
            </w:tr>
          </w:tbl>
          <w:p w14:paraId="59ABAF74">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rPr>
            </w:pPr>
            <w:r>
              <w:rPr>
                <w:rFonts w:hint="default"/>
                <w:color w:val="auto"/>
                <w:sz w:val="24"/>
              </w:rPr>
              <w:t>根据油田前期勘探及项目周围勘</w:t>
            </w:r>
            <w:r>
              <w:rPr>
                <w:rFonts w:hint="eastAsia"/>
                <w:color w:val="auto"/>
                <w:sz w:val="24"/>
              </w:rPr>
              <w:t>探井</w:t>
            </w:r>
            <w:r>
              <w:rPr>
                <w:rFonts w:hint="default"/>
                <w:color w:val="auto"/>
                <w:sz w:val="24"/>
              </w:rPr>
              <w:t>试油结果分析，本勘探区域地层主要生产原油</w:t>
            </w:r>
            <w:r>
              <w:rPr>
                <w:rFonts w:hint="eastAsia"/>
                <w:color w:val="auto"/>
                <w:sz w:val="24"/>
              </w:rPr>
              <w:t>，</w:t>
            </w:r>
            <w:r>
              <w:rPr>
                <w:rFonts w:hint="default"/>
                <w:color w:val="auto"/>
                <w:sz w:val="24"/>
              </w:rPr>
              <w:t>伴生气含量较小。入口管线使用内径不小于78mm的高压耐火软管线，并用基墩固定。进出口管线、排气管线应采用法兰连接，排气管线内径不小于150mm，接出井口50m远，每10</w:t>
            </w:r>
            <w:r>
              <w:rPr>
                <w:rFonts w:hint="default"/>
                <w:color w:val="auto"/>
                <w:sz w:val="24"/>
                <w:highlight w:val="none"/>
              </w:rPr>
              <w:t>~</w:t>
            </w:r>
            <w:r>
              <w:rPr>
                <w:rFonts w:hint="default"/>
                <w:color w:val="auto"/>
                <w:sz w:val="24"/>
              </w:rPr>
              <w:t>15m固定牢靠，并安装立式点火装置，配套防回火与</w:t>
            </w:r>
            <w:r>
              <w:rPr>
                <w:rFonts w:hint="default"/>
                <w:color w:val="auto"/>
                <w:sz w:val="24"/>
                <w:highlight w:val="none"/>
              </w:rPr>
              <w:t>自动点火装置</w:t>
            </w:r>
            <w:r>
              <w:rPr>
                <w:rFonts w:hint="default"/>
                <w:color w:val="auto"/>
                <w:sz w:val="24"/>
              </w:rPr>
              <w:t>。</w:t>
            </w:r>
          </w:p>
          <w:p w14:paraId="04035BAE">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sz w:val="24"/>
              </w:rPr>
            </w:pPr>
            <w:r>
              <w:rPr>
                <w:rFonts w:hint="eastAsia"/>
                <w:b/>
                <w:color w:val="auto"/>
                <w:sz w:val="24"/>
              </w:rPr>
              <w:t>2</w:t>
            </w:r>
            <w:r>
              <w:rPr>
                <w:rFonts w:hint="default"/>
                <w:b/>
                <w:color w:val="auto"/>
                <w:sz w:val="24"/>
              </w:rPr>
              <w:t>、</w:t>
            </w:r>
            <w:r>
              <w:rPr>
                <w:rFonts w:hint="eastAsia"/>
                <w:b/>
                <w:color w:val="auto"/>
                <w:sz w:val="24"/>
              </w:rPr>
              <w:t>物料消耗</w:t>
            </w:r>
          </w:p>
          <w:p w14:paraId="277F65C8">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color w:val="auto"/>
                <w:sz w:val="24"/>
              </w:rPr>
              <w:t>（1）</w:t>
            </w:r>
            <w:r>
              <w:rPr>
                <w:rFonts w:hint="default"/>
                <w:color w:val="auto"/>
                <w:sz w:val="24"/>
              </w:rPr>
              <w:t>钻井液</w:t>
            </w:r>
          </w:p>
          <w:p w14:paraId="7AB337DD">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eastAsia"/>
                <w:color w:val="auto"/>
                <w:kern w:val="0"/>
                <w:sz w:val="24"/>
                <w:lang w:eastAsia="zh-CN"/>
              </w:rPr>
              <w:t>本工程</w:t>
            </w:r>
            <w:r>
              <w:rPr>
                <w:rFonts w:hint="default"/>
                <w:color w:val="auto"/>
                <w:kern w:val="0"/>
                <w:sz w:val="24"/>
              </w:rPr>
              <w:t>钻井泥浆采用水基泥浆</w:t>
            </w:r>
            <w:r>
              <w:rPr>
                <w:rFonts w:hint="eastAsia"/>
                <w:color w:val="auto"/>
                <w:kern w:val="0"/>
                <w:sz w:val="24"/>
              </w:rPr>
              <w:t>，不是以矿物油为连续相，属于环保型</w:t>
            </w:r>
            <w:r>
              <w:rPr>
                <w:rFonts w:hint="default"/>
                <w:color w:val="auto"/>
                <w:kern w:val="0"/>
                <w:sz w:val="24"/>
              </w:rPr>
              <w:t>。根据实际施工经验，钻井液单井用量、成分及贮存方式见</w:t>
            </w:r>
            <w:r>
              <w:rPr>
                <w:rFonts w:hint="eastAsia"/>
                <w:color w:val="auto"/>
                <w:kern w:val="0"/>
                <w:sz w:val="24"/>
              </w:rPr>
              <w:t>下</w:t>
            </w:r>
            <w:r>
              <w:rPr>
                <w:rFonts w:hint="default"/>
                <w:color w:val="auto"/>
                <w:kern w:val="0"/>
                <w:sz w:val="24"/>
              </w:rPr>
              <w:t>表。</w:t>
            </w:r>
          </w:p>
          <w:p w14:paraId="13801B8C">
            <w:pPr>
              <w:keepNext w:val="0"/>
              <w:keepLines w:val="0"/>
              <w:suppressLineNumbers w:val="0"/>
              <w:spacing w:before="0" w:beforeAutospacing="0" w:after="0" w:afterAutospacing="0"/>
              <w:ind w:left="0" w:right="0"/>
              <w:jc w:val="center"/>
              <w:rPr>
                <w:rFonts w:hint="eastAsia"/>
                <w:b/>
                <w:color w:val="auto"/>
                <w:kern w:val="0"/>
                <w:sz w:val="24"/>
              </w:rPr>
            </w:pPr>
            <w:r>
              <w:rPr>
                <w:rFonts w:hint="default"/>
                <w:b/>
                <w:color w:val="auto"/>
                <w:kern w:val="0"/>
                <w:sz w:val="24"/>
              </w:rPr>
              <w:t>表</w:t>
            </w:r>
            <w:r>
              <w:rPr>
                <w:rFonts w:hint="eastAsia"/>
                <w:b/>
                <w:color w:val="auto"/>
                <w:kern w:val="0"/>
                <w:sz w:val="24"/>
              </w:rPr>
              <w:t>2</w:t>
            </w:r>
            <w:r>
              <w:rPr>
                <w:rFonts w:hint="default"/>
                <w:b/>
                <w:color w:val="auto"/>
                <w:kern w:val="0"/>
                <w:sz w:val="24"/>
              </w:rPr>
              <w:t>-</w:t>
            </w:r>
            <w:r>
              <w:rPr>
                <w:rFonts w:hint="eastAsia"/>
                <w:b/>
                <w:color w:val="auto"/>
                <w:kern w:val="0"/>
                <w:sz w:val="24"/>
              </w:rPr>
              <w:t xml:space="preserve">4 </w:t>
            </w:r>
            <w:r>
              <w:rPr>
                <w:rFonts w:hint="default"/>
                <w:b/>
                <w:color w:val="auto"/>
                <w:kern w:val="0"/>
                <w:sz w:val="24"/>
              </w:rPr>
              <w:t>钻井液用量及成分</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088"/>
              <w:gridCol w:w="551"/>
              <w:gridCol w:w="666"/>
              <w:gridCol w:w="810"/>
              <w:gridCol w:w="554"/>
              <w:gridCol w:w="2196"/>
              <w:gridCol w:w="2505"/>
            </w:tblGrid>
            <w:tr w14:paraId="6EC3ABF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35" w:hRule="atLeast"/>
                <w:jc w:val="center"/>
              </w:trPr>
              <w:tc>
                <w:tcPr>
                  <w:tcW w:w="650" w:type="pct"/>
                  <w:noWrap w:val="0"/>
                  <w:tcMar>
                    <w:top w:w="15" w:type="dxa"/>
                    <w:left w:w="15" w:type="dxa"/>
                    <w:bottom w:w="15" w:type="dxa"/>
                    <w:right w:w="15" w:type="dxa"/>
                  </w:tcMar>
                  <w:vAlign w:val="center"/>
                </w:tcPr>
                <w:p w14:paraId="7874737C">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eastAsia"/>
                      <w:color w:val="auto"/>
                      <w:kern w:val="0"/>
                      <w:szCs w:val="21"/>
                    </w:rPr>
                    <w:t>药品名称</w:t>
                  </w:r>
                </w:p>
              </w:tc>
              <w:tc>
                <w:tcPr>
                  <w:tcW w:w="329" w:type="pct"/>
                  <w:noWrap w:val="0"/>
                  <w:tcMar>
                    <w:top w:w="15" w:type="dxa"/>
                    <w:left w:w="15" w:type="dxa"/>
                    <w:bottom w:w="15" w:type="dxa"/>
                    <w:right w:w="15" w:type="dxa"/>
                  </w:tcMar>
                  <w:vAlign w:val="center"/>
                </w:tcPr>
                <w:p w14:paraId="7515C163">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eastAsia"/>
                      <w:color w:val="auto"/>
                      <w:kern w:val="0"/>
                      <w:szCs w:val="21"/>
                      <w:lang w:eastAsia="zh-CN"/>
                    </w:rPr>
                    <w:t>使用</w:t>
                  </w:r>
                  <w:r>
                    <w:rPr>
                      <w:rFonts w:hint="eastAsia"/>
                      <w:color w:val="auto"/>
                      <w:kern w:val="0"/>
                      <w:szCs w:val="21"/>
                    </w:rPr>
                    <w:t>量</w:t>
                  </w:r>
                </w:p>
                <w:p w14:paraId="7C53F241">
                  <w:pPr>
                    <w:keepNext w:val="0"/>
                    <w:keepLines w:val="0"/>
                    <w:widowControl/>
                    <w:suppressLineNumbers w:val="0"/>
                    <w:spacing w:before="0" w:beforeAutospacing="0" w:after="0" w:afterAutospacing="0"/>
                    <w:ind w:left="0" w:right="0"/>
                    <w:jc w:val="center"/>
                    <w:textAlignment w:val="center"/>
                    <w:rPr>
                      <w:rFonts w:hint="eastAsia" w:eastAsia="宋体"/>
                      <w:color w:val="auto"/>
                      <w:szCs w:val="21"/>
                      <w:lang w:val="en-US" w:eastAsia="zh-CN"/>
                    </w:rPr>
                  </w:pPr>
                  <w:r>
                    <w:rPr>
                      <w:rFonts w:hint="eastAsia"/>
                      <w:color w:val="auto"/>
                      <w:kern w:val="0"/>
                      <w:szCs w:val="21"/>
                      <w:lang w:val="en-US" w:eastAsia="zh-CN"/>
                    </w:rPr>
                    <w:t>t/勘探期</w:t>
                  </w:r>
                </w:p>
              </w:tc>
              <w:tc>
                <w:tcPr>
                  <w:tcW w:w="398" w:type="pct"/>
                  <w:noWrap w:val="0"/>
                  <w:tcMar>
                    <w:top w:w="15" w:type="dxa"/>
                    <w:left w:w="15" w:type="dxa"/>
                    <w:bottom w:w="15" w:type="dxa"/>
                    <w:right w:w="15" w:type="dxa"/>
                  </w:tcMar>
                  <w:vAlign w:val="center"/>
                </w:tcPr>
                <w:p w14:paraId="083BFC1C">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eastAsia"/>
                      <w:color w:val="auto"/>
                      <w:kern w:val="0"/>
                      <w:szCs w:val="21"/>
                    </w:rPr>
                    <w:t>储量</w:t>
                  </w:r>
                </w:p>
                <w:p w14:paraId="77E5F444">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eastAsia"/>
                      <w:color w:val="auto"/>
                      <w:kern w:val="0"/>
                      <w:szCs w:val="21"/>
                      <w:lang w:val="en-US" w:eastAsia="zh-CN"/>
                    </w:rPr>
                    <w:t>t/勘探期</w:t>
                  </w:r>
                </w:p>
              </w:tc>
              <w:tc>
                <w:tcPr>
                  <w:tcW w:w="484" w:type="pct"/>
                  <w:noWrap w:val="0"/>
                  <w:tcMar>
                    <w:top w:w="15" w:type="dxa"/>
                    <w:left w:w="15" w:type="dxa"/>
                    <w:bottom w:w="15" w:type="dxa"/>
                    <w:right w:w="15" w:type="dxa"/>
                  </w:tcMar>
                  <w:vAlign w:val="center"/>
                </w:tcPr>
                <w:p w14:paraId="6B0E1CFF">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eastAsia"/>
                      <w:color w:val="auto"/>
                      <w:kern w:val="0"/>
                      <w:szCs w:val="21"/>
                    </w:rPr>
                    <w:t>存储方式</w:t>
                  </w:r>
                </w:p>
              </w:tc>
              <w:tc>
                <w:tcPr>
                  <w:tcW w:w="331" w:type="pct"/>
                  <w:noWrap w:val="0"/>
                  <w:tcMar>
                    <w:top w:w="15" w:type="dxa"/>
                    <w:left w:w="15" w:type="dxa"/>
                    <w:bottom w:w="15" w:type="dxa"/>
                    <w:right w:w="15" w:type="dxa"/>
                  </w:tcMar>
                  <w:vAlign w:val="center"/>
                </w:tcPr>
                <w:p w14:paraId="42F1C47C">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eastAsia"/>
                      <w:color w:val="auto"/>
                      <w:kern w:val="0"/>
                      <w:szCs w:val="21"/>
                    </w:rPr>
                    <w:t>储存位置</w:t>
                  </w:r>
                </w:p>
              </w:tc>
              <w:tc>
                <w:tcPr>
                  <w:tcW w:w="1312" w:type="pct"/>
                  <w:noWrap w:val="0"/>
                  <w:tcMar>
                    <w:top w:w="15" w:type="dxa"/>
                    <w:left w:w="15" w:type="dxa"/>
                    <w:bottom w:w="15" w:type="dxa"/>
                    <w:right w:w="15" w:type="dxa"/>
                  </w:tcMar>
                  <w:vAlign w:val="center"/>
                </w:tcPr>
                <w:p w14:paraId="32DA9335">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eastAsia"/>
                      <w:color w:val="auto"/>
                      <w:kern w:val="0"/>
                      <w:szCs w:val="21"/>
                    </w:rPr>
                    <w:t>理化特性</w:t>
                  </w:r>
                </w:p>
              </w:tc>
              <w:tc>
                <w:tcPr>
                  <w:tcW w:w="1496" w:type="pct"/>
                  <w:noWrap w:val="0"/>
                  <w:tcMar>
                    <w:top w:w="15" w:type="dxa"/>
                    <w:left w:w="15" w:type="dxa"/>
                    <w:bottom w:w="15" w:type="dxa"/>
                    <w:right w:w="15" w:type="dxa"/>
                  </w:tcMar>
                  <w:vAlign w:val="center"/>
                </w:tcPr>
                <w:p w14:paraId="06FBEA81">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eastAsia"/>
                      <w:color w:val="auto"/>
                      <w:kern w:val="0"/>
                      <w:szCs w:val="21"/>
                    </w:rPr>
                    <w:t>备注</w:t>
                  </w:r>
                </w:p>
              </w:tc>
            </w:tr>
            <w:tr w14:paraId="620F7A7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800" w:hRule="atLeast"/>
                <w:jc w:val="center"/>
              </w:trPr>
              <w:tc>
                <w:tcPr>
                  <w:tcW w:w="650" w:type="pct"/>
                  <w:noWrap w:val="0"/>
                  <w:tcMar>
                    <w:top w:w="15" w:type="dxa"/>
                    <w:left w:w="15" w:type="dxa"/>
                    <w:bottom w:w="15" w:type="dxa"/>
                    <w:right w:w="15" w:type="dxa"/>
                  </w:tcMar>
                  <w:vAlign w:val="center"/>
                </w:tcPr>
                <w:p w14:paraId="3329EDAA">
                  <w:pPr>
                    <w:keepNext w:val="0"/>
                    <w:keepLines w:val="0"/>
                    <w:widowControl/>
                    <w:suppressLineNumbers w:val="0"/>
                    <w:spacing w:before="0" w:beforeAutospacing="0" w:after="0" w:afterAutospacing="0"/>
                    <w:ind w:left="0" w:right="0"/>
                    <w:jc w:val="center"/>
                    <w:textAlignment w:val="center"/>
                    <w:rPr>
                      <w:rFonts w:hint="default" w:eastAsia="Times New Roman"/>
                      <w:color w:val="auto"/>
                      <w:szCs w:val="21"/>
                    </w:rPr>
                  </w:pPr>
                  <w:r>
                    <w:rPr>
                      <w:rFonts w:hint="default"/>
                      <w:color w:val="auto"/>
                      <w:szCs w:val="21"/>
                    </w:rPr>
                    <w:t>膨润土</w:t>
                  </w:r>
                </w:p>
              </w:tc>
              <w:tc>
                <w:tcPr>
                  <w:tcW w:w="329" w:type="pct"/>
                  <w:noWrap w:val="0"/>
                  <w:tcMar>
                    <w:top w:w="15" w:type="dxa"/>
                    <w:left w:w="15" w:type="dxa"/>
                    <w:bottom w:w="15" w:type="dxa"/>
                    <w:right w:w="15" w:type="dxa"/>
                  </w:tcMar>
                  <w:vAlign w:val="center"/>
                </w:tcPr>
                <w:p w14:paraId="6E65A0D4">
                  <w:pPr>
                    <w:keepNext w:val="0"/>
                    <w:keepLines w:val="0"/>
                    <w:widowControl/>
                    <w:suppressLineNumbers w:val="0"/>
                    <w:spacing w:before="0" w:beforeAutospacing="0" w:after="0" w:afterAutospacing="0"/>
                    <w:ind w:left="0" w:right="0"/>
                    <w:jc w:val="center"/>
                    <w:textAlignment w:val="center"/>
                    <w:rPr>
                      <w:rFonts w:hint="default" w:eastAsia="Times New Roman"/>
                      <w:color w:val="auto"/>
                      <w:szCs w:val="21"/>
                    </w:rPr>
                  </w:pPr>
                  <w:r>
                    <w:rPr>
                      <w:rFonts w:hint="default" w:eastAsia="Times New Roman"/>
                      <w:color w:val="auto"/>
                      <w:kern w:val="0"/>
                      <w:szCs w:val="21"/>
                    </w:rPr>
                    <w:t>5</w:t>
                  </w:r>
                </w:p>
              </w:tc>
              <w:tc>
                <w:tcPr>
                  <w:tcW w:w="398" w:type="pct"/>
                  <w:noWrap w:val="0"/>
                  <w:tcMar>
                    <w:top w:w="15" w:type="dxa"/>
                    <w:left w:w="15" w:type="dxa"/>
                    <w:bottom w:w="15" w:type="dxa"/>
                    <w:right w:w="15" w:type="dxa"/>
                  </w:tcMar>
                  <w:vAlign w:val="center"/>
                </w:tcPr>
                <w:p w14:paraId="6B245E74">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1.5</w:t>
                  </w:r>
                </w:p>
              </w:tc>
              <w:tc>
                <w:tcPr>
                  <w:tcW w:w="484" w:type="pct"/>
                  <w:noWrap w:val="0"/>
                  <w:tcMar>
                    <w:top w:w="15" w:type="dxa"/>
                    <w:left w:w="15" w:type="dxa"/>
                    <w:bottom w:w="15" w:type="dxa"/>
                    <w:right w:w="15" w:type="dxa"/>
                  </w:tcMar>
                  <w:vAlign w:val="center"/>
                </w:tcPr>
                <w:p w14:paraId="7C9156B6">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袋装，25kg/袋</w:t>
                  </w:r>
                </w:p>
              </w:tc>
              <w:tc>
                <w:tcPr>
                  <w:tcW w:w="331" w:type="pct"/>
                  <w:noWrap w:val="0"/>
                  <w:tcMar>
                    <w:top w:w="15" w:type="dxa"/>
                    <w:left w:w="15" w:type="dxa"/>
                    <w:bottom w:w="15" w:type="dxa"/>
                    <w:right w:w="15" w:type="dxa"/>
                  </w:tcMar>
                  <w:vAlign w:val="center"/>
                </w:tcPr>
                <w:p w14:paraId="589ED12A">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材料堆场</w:t>
                  </w:r>
                </w:p>
              </w:tc>
              <w:tc>
                <w:tcPr>
                  <w:tcW w:w="1312" w:type="pct"/>
                  <w:noWrap w:val="0"/>
                  <w:tcMar>
                    <w:top w:w="15" w:type="dxa"/>
                    <w:left w:w="15" w:type="dxa"/>
                    <w:bottom w:w="15" w:type="dxa"/>
                    <w:right w:w="15" w:type="dxa"/>
                  </w:tcMar>
                  <w:vAlign w:val="center"/>
                </w:tcPr>
                <w:p w14:paraId="382C838D">
                  <w:pPr>
                    <w:keepNext w:val="0"/>
                    <w:keepLines w:val="0"/>
                    <w:widowControl/>
                    <w:suppressLineNumbers w:val="0"/>
                    <w:spacing w:before="0" w:beforeAutospacing="0" w:after="0" w:afterAutospacing="0"/>
                    <w:ind w:left="0" w:right="0"/>
                    <w:jc w:val="center"/>
                    <w:textAlignment w:val="center"/>
                    <w:rPr>
                      <w:rFonts w:hint="default" w:eastAsia="Times New Roman"/>
                      <w:color w:val="auto"/>
                      <w:szCs w:val="21"/>
                    </w:rPr>
                  </w:pPr>
                  <w:r>
                    <w:rPr>
                      <w:rFonts w:hint="default"/>
                      <w:color w:val="auto"/>
                      <w:kern w:val="0"/>
                      <w:szCs w:val="21"/>
                    </w:rPr>
                    <w:t>无毒、不溶于水、固体粉末</w:t>
                  </w:r>
                </w:p>
              </w:tc>
              <w:tc>
                <w:tcPr>
                  <w:tcW w:w="1496" w:type="pct"/>
                  <w:noWrap w:val="0"/>
                  <w:tcMar>
                    <w:top w:w="15" w:type="dxa"/>
                    <w:left w:w="15" w:type="dxa"/>
                    <w:bottom w:w="15" w:type="dxa"/>
                    <w:right w:w="15" w:type="dxa"/>
                  </w:tcMar>
                  <w:vAlign w:val="center"/>
                </w:tcPr>
                <w:p w14:paraId="7AE67CB2">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rPr>
                    <w:t>基础配浆材料，不含放射性和重金属材料，不属于危废</w:t>
                  </w:r>
                </w:p>
              </w:tc>
            </w:tr>
            <w:tr w14:paraId="38E6591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654" w:hRule="atLeast"/>
                <w:jc w:val="center"/>
              </w:trPr>
              <w:tc>
                <w:tcPr>
                  <w:tcW w:w="650" w:type="pct"/>
                  <w:noWrap w:val="0"/>
                  <w:tcMar>
                    <w:top w:w="15" w:type="dxa"/>
                    <w:left w:w="15" w:type="dxa"/>
                    <w:bottom w:w="15" w:type="dxa"/>
                    <w:right w:w="15" w:type="dxa"/>
                  </w:tcMar>
                  <w:vAlign w:val="center"/>
                </w:tcPr>
                <w:p w14:paraId="088327F9">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kern w:val="0"/>
                      <w:szCs w:val="21"/>
                    </w:rPr>
                    <w:t>NaOH</w:t>
                  </w:r>
                </w:p>
              </w:tc>
              <w:tc>
                <w:tcPr>
                  <w:tcW w:w="329" w:type="pct"/>
                  <w:noWrap w:val="0"/>
                  <w:tcMar>
                    <w:top w:w="15" w:type="dxa"/>
                    <w:left w:w="15" w:type="dxa"/>
                    <w:bottom w:w="15" w:type="dxa"/>
                    <w:right w:w="15" w:type="dxa"/>
                  </w:tcMar>
                  <w:vAlign w:val="center"/>
                </w:tcPr>
                <w:p w14:paraId="50674364">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kern w:val="0"/>
                      <w:szCs w:val="21"/>
                    </w:rPr>
                    <w:t>0.3</w:t>
                  </w:r>
                </w:p>
              </w:tc>
              <w:tc>
                <w:tcPr>
                  <w:tcW w:w="398" w:type="pct"/>
                  <w:noWrap w:val="0"/>
                  <w:tcMar>
                    <w:top w:w="15" w:type="dxa"/>
                    <w:left w:w="15" w:type="dxa"/>
                    <w:bottom w:w="15" w:type="dxa"/>
                    <w:right w:w="15" w:type="dxa"/>
                  </w:tcMar>
                  <w:vAlign w:val="center"/>
                </w:tcPr>
                <w:p w14:paraId="42BF8552">
                  <w:pPr>
                    <w:keepNext w:val="0"/>
                    <w:keepLines w:val="0"/>
                    <w:widowControl/>
                    <w:suppressLineNumbers w:val="0"/>
                    <w:spacing w:before="0" w:beforeAutospacing="0" w:after="0" w:afterAutospacing="0"/>
                    <w:ind w:left="0" w:right="0"/>
                    <w:jc w:val="center"/>
                    <w:textAlignment w:val="center"/>
                    <w:rPr>
                      <w:rFonts w:hint="default" w:eastAsia="Times New Roman"/>
                      <w:color w:val="auto"/>
                      <w:szCs w:val="21"/>
                    </w:rPr>
                  </w:pPr>
                  <w:r>
                    <w:rPr>
                      <w:rFonts w:hint="default"/>
                      <w:color w:val="auto"/>
                      <w:kern w:val="0"/>
                      <w:szCs w:val="21"/>
                    </w:rPr>
                    <w:t>0.3</w:t>
                  </w:r>
                </w:p>
              </w:tc>
              <w:tc>
                <w:tcPr>
                  <w:tcW w:w="484" w:type="pct"/>
                  <w:noWrap w:val="0"/>
                  <w:tcMar>
                    <w:top w:w="15" w:type="dxa"/>
                    <w:left w:w="15" w:type="dxa"/>
                    <w:bottom w:w="15" w:type="dxa"/>
                    <w:right w:w="15" w:type="dxa"/>
                  </w:tcMar>
                  <w:vAlign w:val="center"/>
                </w:tcPr>
                <w:p w14:paraId="4CF2EA72">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袋装，25kg/袋</w:t>
                  </w:r>
                </w:p>
              </w:tc>
              <w:tc>
                <w:tcPr>
                  <w:tcW w:w="331" w:type="pct"/>
                  <w:noWrap w:val="0"/>
                  <w:tcMar>
                    <w:top w:w="15" w:type="dxa"/>
                    <w:left w:w="15" w:type="dxa"/>
                    <w:bottom w:w="15" w:type="dxa"/>
                    <w:right w:w="15" w:type="dxa"/>
                  </w:tcMar>
                  <w:vAlign w:val="center"/>
                </w:tcPr>
                <w:p w14:paraId="3AB7BEE5">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材料堆场</w:t>
                  </w:r>
                </w:p>
              </w:tc>
              <w:tc>
                <w:tcPr>
                  <w:tcW w:w="1312" w:type="pct"/>
                  <w:noWrap w:val="0"/>
                  <w:tcMar>
                    <w:top w:w="15" w:type="dxa"/>
                    <w:left w:w="15" w:type="dxa"/>
                    <w:bottom w:w="15" w:type="dxa"/>
                    <w:right w:w="15" w:type="dxa"/>
                  </w:tcMar>
                  <w:vAlign w:val="center"/>
                </w:tcPr>
                <w:p w14:paraId="00D9E00C">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rPr>
                    <w:t>腐蚀性、白色片状半透明结晶</w:t>
                  </w:r>
                </w:p>
              </w:tc>
              <w:tc>
                <w:tcPr>
                  <w:tcW w:w="1496" w:type="pct"/>
                  <w:noWrap w:val="0"/>
                  <w:tcMar>
                    <w:top w:w="15" w:type="dxa"/>
                    <w:left w:w="15" w:type="dxa"/>
                    <w:bottom w:w="15" w:type="dxa"/>
                    <w:right w:w="15" w:type="dxa"/>
                  </w:tcMar>
                  <w:vAlign w:val="center"/>
                </w:tcPr>
                <w:p w14:paraId="0DB6700A">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p>
              </w:tc>
            </w:tr>
            <w:tr w14:paraId="1C66E40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762" w:hRule="atLeast"/>
                <w:jc w:val="center"/>
              </w:trPr>
              <w:tc>
                <w:tcPr>
                  <w:tcW w:w="650" w:type="pct"/>
                  <w:noWrap w:val="0"/>
                  <w:tcMar>
                    <w:top w:w="15" w:type="dxa"/>
                    <w:left w:w="15" w:type="dxa"/>
                    <w:bottom w:w="15" w:type="dxa"/>
                    <w:right w:w="15" w:type="dxa"/>
                  </w:tcMar>
                  <w:vAlign w:val="center"/>
                </w:tcPr>
                <w:p w14:paraId="42DAF1C4">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kern w:val="0"/>
                      <w:szCs w:val="21"/>
                    </w:rPr>
                    <w:t>Na</w:t>
                  </w:r>
                  <w:r>
                    <w:rPr>
                      <w:rFonts w:hint="default"/>
                      <w:color w:val="auto"/>
                      <w:kern w:val="0"/>
                      <w:szCs w:val="21"/>
                      <w:vertAlign w:val="subscript"/>
                    </w:rPr>
                    <w:t>2</w:t>
                  </w:r>
                  <w:r>
                    <w:rPr>
                      <w:rFonts w:hint="default"/>
                      <w:color w:val="auto"/>
                      <w:kern w:val="0"/>
                      <w:szCs w:val="21"/>
                    </w:rPr>
                    <w:t>CO</w:t>
                  </w:r>
                  <w:r>
                    <w:rPr>
                      <w:rFonts w:hint="default"/>
                      <w:color w:val="auto"/>
                      <w:kern w:val="0"/>
                      <w:szCs w:val="21"/>
                      <w:vertAlign w:val="subscript"/>
                    </w:rPr>
                    <w:t>3</w:t>
                  </w:r>
                </w:p>
              </w:tc>
              <w:tc>
                <w:tcPr>
                  <w:tcW w:w="329" w:type="pct"/>
                  <w:noWrap w:val="0"/>
                  <w:tcMar>
                    <w:top w:w="15" w:type="dxa"/>
                    <w:left w:w="15" w:type="dxa"/>
                    <w:bottom w:w="15" w:type="dxa"/>
                    <w:right w:w="15" w:type="dxa"/>
                  </w:tcMar>
                  <w:vAlign w:val="center"/>
                </w:tcPr>
                <w:p w14:paraId="7D6AFF19">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kern w:val="0"/>
                      <w:szCs w:val="21"/>
                    </w:rPr>
                    <w:t>0.08</w:t>
                  </w:r>
                </w:p>
              </w:tc>
              <w:tc>
                <w:tcPr>
                  <w:tcW w:w="398" w:type="pct"/>
                  <w:noWrap w:val="0"/>
                  <w:tcMar>
                    <w:top w:w="15" w:type="dxa"/>
                    <w:left w:w="15" w:type="dxa"/>
                    <w:bottom w:w="15" w:type="dxa"/>
                    <w:right w:w="15" w:type="dxa"/>
                  </w:tcMar>
                  <w:vAlign w:val="center"/>
                </w:tcPr>
                <w:p w14:paraId="1B407623">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w:t>
                  </w:r>
                </w:p>
              </w:tc>
              <w:tc>
                <w:tcPr>
                  <w:tcW w:w="484" w:type="pct"/>
                  <w:noWrap w:val="0"/>
                  <w:tcMar>
                    <w:top w:w="15" w:type="dxa"/>
                    <w:left w:w="15" w:type="dxa"/>
                    <w:bottom w:w="15" w:type="dxa"/>
                    <w:right w:w="15" w:type="dxa"/>
                  </w:tcMar>
                  <w:vAlign w:val="center"/>
                </w:tcPr>
                <w:p w14:paraId="36EB0DDB">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袋装，25kg/袋</w:t>
                  </w:r>
                </w:p>
              </w:tc>
              <w:tc>
                <w:tcPr>
                  <w:tcW w:w="331" w:type="pct"/>
                  <w:noWrap w:val="0"/>
                  <w:tcMar>
                    <w:top w:w="15" w:type="dxa"/>
                    <w:left w:w="15" w:type="dxa"/>
                    <w:bottom w:w="15" w:type="dxa"/>
                    <w:right w:w="15" w:type="dxa"/>
                  </w:tcMar>
                  <w:vAlign w:val="center"/>
                </w:tcPr>
                <w:p w14:paraId="09751AA7">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材料堆场</w:t>
                  </w:r>
                </w:p>
              </w:tc>
              <w:tc>
                <w:tcPr>
                  <w:tcW w:w="1312" w:type="pct"/>
                  <w:noWrap w:val="0"/>
                  <w:tcMar>
                    <w:top w:w="15" w:type="dxa"/>
                    <w:left w:w="15" w:type="dxa"/>
                    <w:bottom w:w="15" w:type="dxa"/>
                    <w:right w:w="15" w:type="dxa"/>
                  </w:tcMar>
                  <w:vAlign w:val="center"/>
                </w:tcPr>
                <w:p w14:paraId="18BB825E">
                  <w:pPr>
                    <w:keepNext w:val="0"/>
                    <w:keepLines w:val="0"/>
                    <w:widowControl/>
                    <w:suppressLineNumbers w:val="0"/>
                    <w:spacing w:before="0" w:beforeAutospacing="0" w:after="0" w:afterAutospacing="0"/>
                    <w:ind w:left="0" w:right="0"/>
                    <w:jc w:val="center"/>
                    <w:textAlignment w:val="center"/>
                    <w:rPr>
                      <w:rFonts w:hint="default" w:eastAsia="Times New Roman"/>
                      <w:color w:val="auto"/>
                      <w:szCs w:val="21"/>
                    </w:rPr>
                  </w:pPr>
                  <w:r>
                    <w:rPr>
                      <w:rFonts w:hint="default"/>
                      <w:color w:val="auto"/>
                      <w:kern w:val="0"/>
                      <w:szCs w:val="21"/>
                    </w:rPr>
                    <w:t>白色溶于水、结晶粉末</w:t>
                  </w:r>
                </w:p>
              </w:tc>
              <w:tc>
                <w:tcPr>
                  <w:tcW w:w="1496" w:type="pct"/>
                  <w:noWrap w:val="0"/>
                  <w:tcMar>
                    <w:top w:w="15" w:type="dxa"/>
                    <w:left w:w="15" w:type="dxa"/>
                    <w:bottom w:w="15" w:type="dxa"/>
                    <w:right w:w="15" w:type="dxa"/>
                  </w:tcMar>
                  <w:vAlign w:val="center"/>
                </w:tcPr>
                <w:p w14:paraId="72413283">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rPr>
                    <w:t>与膨润土发生水化作用</w:t>
                  </w:r>
                  <w:r>
                    <w:rPr>
                      <w:rFonts w:hint="eastAsia"/>
                      <w:color w:val="auto"/>
                      <w:kern w:val="0"/>
                      <w:szCs w:val="21"/>
                      <w:lang w:eastAsia="zh-CN"/>
                    </w:rPr>
                    <w:t>增加黏性</w:t>
                  </w:r>
                </w:p>
              </w:tc>
            </w:tr>
            <w:tr w14:paraId="4E0B1AF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031" w:hRule="atLeast"/>
                <w:jc w:val="center"/>
              </w:trPr>
              <w:tc>
                <w:tcPr>
                  <w:tcW w:w="650" w:type="pct"/>
                  <w:noWrap w:val="0"/>
                  <w:tcMar>
                    <w:top w:w="15" w:type="dxa"/>
                    <w:left w:w="15" w:type="dxa"/>
                    <w:bottom w:w="15" w:type="dxa"/>
                    <w:right w:w="15" w:type="dxa"/>
                  </w:tcMar>
                  <w:vAlign w:val="center"/>
                </w:tcPr>
                <w:p w14:paraId="296EAEE7">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rPr>
                    <w:t>NH</w:t>
                  </w:r>
                  <w:r>
                    <w:rPr>
                      <w:rFonts w:hint="default"/>
                      <w:color w:val="auto"/>
                      <w:kern w:val="0"/>
                      <w:szCs w:val="21"/>
                      <w:vertAlign w:val="subscript"/>
                    </w:rPr>
                    <w:t>4</w:t>
                  </w:r>
                  <w:r>
                    <w:rPr>
                      <w:rFonts w:hint="default"/>
                      <w:color w:val="auto"/>
                      <w:kern w:val="0"/>
                      <w:szCs w:val="21"/>
                    </w:rPr>
                    <w:t xml:space="preserve"> -HPAN（水解聚丙烯腈氨）</w:t>
                  </w:r>
                </w:p>
              </w:tc>
              <w:tc>
                <w:tcPr>
                  <w:tcW w:w="329" w:type="pct"/>
                  <w:noWrap w:val="0"/>
                  <w:tcMar>
                    <w:top w:w="15" w:type="dxa"/>
                    <w:left w:w="15" w:type="dxa"/>
                    <w:bottom w:w="15" w:type="dxa"/>
                    <w:right w:w="15" w:type="dxa"/>
                  </w:tcMar>
                  <w:vAlign w:val="center"/>
                </w:tcPr>
                <w:p w14:paraId="22955C8F">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kern w:val="0"/>
                      <w:szCs w:val="21"/>
                    </w:rPr>
                    <w:t>0.5</w:t>
                  </w:r>
                </w:p>
              </w:tc>
              <w:tc>
                <w:tcPr>
                  <w:tcW w:w="398" w:type="pct"/>
                  <w:noWrap w:val="0"/>
                  <w:tcMar>
                    <w:top w:w="15" w:type="dxa"/>
                    <w:left w:w="15" w:type="dxa"/>
                    <w:bottom w:w="15" w:type="dxa"/>
                    <w:right w:w="15" w:type="dxa"/>
                  </w:tcMar>
                  <w:vAlign w:val="center"/>
                </w:tcPr>
                <w:p w14:paraId="43ED329F">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0.04</w:t>
                  </w:r>
                </w:p>
              </w:tc>
              <w:tc>
                <w:tcPr>
                  <w:tcW w:w="484" w:type="pct"/>
                  <w:noWrap w:val="0"/>
                  <w:tcMar>
                    <w:top w:w="15" w:type="dxa"/>
                    <w:left w:w="15" w:type="dxa"/>
                    <w:bottom w:w="15" w:type="dxa"/>
                    <w:right w:w="15" w:type="dxa"/>
                  </w:tcMar>
                  <w:vAlign w:val="center"/>
                </w:tcPr>
                <w:p w14:paraId="65090428">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袋装，25kg/袋</w:t>
                  </w:r>
                </w:p>
              </w:tc>
              <w:tc>
                <w:tcPr>
                  <w:tcW w:w="331" w:type="pct"/>
                  <w:noWrap w:val="0"/>
                  <w:tcMar>
                    <w:top w:w="15" w:type="dxa"/>
                    <w:left w:w="15" w:type="dxa"/>
                    <w:bottom w:w="15" w:type="dxa"/>
                    <w:right w:w="15" w:type="dxa"/>
                  </w:tcMar>
                  <w:vAlign w:val="center"/>
                </w:tcPr>
                <w:p w14:paraId="1C6D780D">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材料堆场</w:t>
                  </w:r>
                </w:p>
              </w:tc>
              <w:tc>
                <w:tcPr>
                  <w:tcW w:w="1312" w:type="pct"/>
                  <w:noWrap w:val="0"/>
                  <w:tcMar>
                    <w:top w:w="15" w:type="dxa"/>
                    <w:left w:w="15" w:type="dxa"/>
                    <w:bottom w:w="15" w:type="dxa"/>
                    <w:right w:w="15" w:type="dxa"/>
                  </w:tcMar>
                  <w:vAlign w:val="center"/>
                </w:tcPr>
                <w:p w14:paraId="15CF8999">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rPr>
                    <w:t>淡黄色粉末，是一种钻井液用降滤</w:t>
                  </w:r>
                  <w:r>
                    <w:rPr>
                      <w:rFonts w:hint="eastAsia"/>
                      <w:color w:val="auto"/>
                      <w:kern w:val="0"/>
                      <w:szCs w:val="21"/>
                      <w:lang w:eastAsia="zh-CN"/>
                    </w:rPr>
                    <w:t>试剂</w:t>
                  </w:r>
                </w:p>
              </w:tc>
              <w:tc>
                <w:tcPr>
                  <w:tcW w:w="1496" w:type="pct"/>
                  <w:noWrap w:val="0"/>
                  <w:tcMar>
                    <w:top w:w="15" w:type="dxa"/>
                    <w:left w:w="15" w:type="dxa"/>
                    <w:bottom w:w="15" w:type="dxa"/>
                    <w:right w:w="15" w:type="dxa"/>
                  </w:tcMar>
                  <w:vAlign w:val="center"/>
                </w:tcPr>
                <w:p w14:paraId="59DD91A6">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rPr>
                    <w:t>抑制</w:t>
                  </w:r>
                  <w:r>
                    <w:rPr>
                      <w:rFonts w:hint="default"/>
                      <w:color w:val="auto"/>
                      <w:kern w:val="0"/>
                      <w:szCs w:val="21"/>
                      <w:highlight w:val="none"/>
                    </w:rPr>
                    <w:t>粘土</w:t>
                  </w:r>
                  <w:r>
                    <w:rPr>
                      <w:rFonts w:hint="default"/>
                      <w:color w:val="auto"/>
                      <w:kern w:val="0"/>
                      <w:szCs w:val="21"/>
                    </w:rPr>
                    <w:t>水化分散，是一种良好的页岩抑制剂，同时兼有降低钻井液</w:t>
                  </w:r>
                  <w:r>
                    <w:rPr>
                      <w:rFonts w:hint="default"/>
                      <w:color w:val="auto"/>
                      <w:kern w:val="0"/>
                      <w:szCs w:val="21"/>
                      <w:highlight w:val="none"/>
                    </w:rPr>
                    <w:t>粘度</w:t>
                  </w:r>
                  <w:r>
                    <w:rPr>
                      <w:rFonts w:hint="default"/>
                      <w:color w:val="auto"/>
                      <w:kern w:val="0"/>
                      <w:szCs w:val="21"/>
                    </w:rPr>
                    <w:t>和降低滤失作用</w:t>
                  </w:r>
                </w:p>
              </w:tc>
            </w:tr>
            <w:tr w14:paraId="3218B5F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987" w:hRule="atLeast"/>
                <w:jc w:val="center"/>
              </w:trPr>
              <w:tc>
                <w:tcPr>
                  <w:tcW w:w="650" w:type="pct"/>
                  <w:noWrap w:val="0"/>
                  <w:tcMar>
                    <w:top w:w="15" w:type="dxa"/>
                    <w:left w:w="15" w:type="dxa"/>
                    <w:bottom w:w="15" w:type="dxa"/>
                    <w:right w:w="15" w:type="dxa"/>
                  </w:tcMar>
                  <w:vAlign w:val="center"/>
                </w:tcPr>
                <w:p w14:paraId="2629AAF6">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kern w:val="0"/>
                      <w:szCs w:val="21"/>
                      <w:highlight w:val="none"/>
                    </w:rPr>
                    <w:t>单项</w:t>
                  </w:r>
                  <w:r>
                    <w:rPr>
                      <w:rFonts w:hint="default"/>
                      <w:color w:val="auto"/>
                      <w:kern w:val="0"/>
                      <w:szCs w:val="21"/>
                    </w:rPr>
                    <w:t>压力封闭剂</w:t>
                  </w:r>
                </w:p>
              </w:tc>
              <w:tc>
                <w:tcPr>
                  <w:tcW w:w="329" w:type="pct"/>
                  <w:noWrap w:val="0"/>
                  <w:tcMar>
                    <w:top w:w="15" w:type="dxa"/>
                    <w:left w:w="15" w:type="dxa"/>
                    <w:bottom w:w="15" w:type="dxa"/>
                    <w:right w:w="15" w:type="dxa"/>
                  </w:tcMar>
                  <w:vAlign w:val="center"/>
                </w:tcPr>
                <w:p w14:paraId="2E978812">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kern w:val="0"/>
                      <w:szCs w:val="21"/>
                    </w:rPr>
                    <w:t>1</w:t>
                  </w:r>
                </w:p>
              </w:tc>
              <w:tc>
                <w:tcPr>
                  <w:tcW w:w="398" w:type="pct"/>
                  <w:noWrap w:val="0"/>
                  <w:tcMar>
                    <w:top w:w="15" w:type="dxa"/>
                    <w:left w:w="15" w:type="dxa"/>
                    <w:bottom w:w="15" w:type="dxa"/>
                    <w:right w:w="15" w:type="dxa"/>
                  </w:tcMar>
                  <w:vAlign w:val="center"/>
                </w:tcPr>
                <w:p w14:paraId="7ECA7FDB">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0.5</w:t>
                  </w:r>
                </w:p>
              </w:tc>
              <w:tc>
                <w:tcPr>
                  <w:tcW w:w="484" w:type="pct"/>
                  <w:noWrap w:val="0"/>
                  <w:tcMar>
                    <w:top w:w="15" w:type="dxa"/>
                    <w:left w:w="15" w:type="dxa"/>
                    <w:bottom w:w="15" w:type="dxa"/>
                    <w:right w:w="15" w:type="dxa"/>
                  </w:tcMar>
                  <w:vAlign w:val="center"/>
                </w:tcPr>
                <w:p w14:paraId="3171FFD8">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袋装，25kg/袋</w:t>
                  </w:r>
                </w:p>
              </w:tc>
              <w:tc>
                <w:tcPr>
                  <w:tcW w:w="331" w:type="pct"/>
                  <w:noWrap w:val="0"/>
                  <w:tcMar>
                    <w:top w:w="15" w:type="dxa"/>
                    <w:left w:w="15" w:type="dxa"/>
                    <w:bottom w:w="15" w:type="dxa"/>
                    <w:right w:w="15" w:type="dxa"/>
                  </w:tcMar>
                  <w:vAlign w:val="center"/>
                </w:tcPr>
                <w:p w14:paraId="4188BD7B">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材料堆场</w:t>
                  </w:r>
                </w:p>
              </w:tc>
              <w:tc>
                <w:tcPr>
                  <w:tcW w:w="1312" w:type="pct"/>
                  <w:noWrap w:val="0"/>
                  <w:tcMar>
                    <w:top w:w="15" w:type="dxa"/>
                    <w:left w:w="15" w:type="dxa"/>
                    <w:bottom w:w="15" w:type="dxa"/>
                    <w:right w:w="15" w:type="dxa"/>
                  </w:tcMar>
                  <w:vAlign w:val="center"/>
                </w:tcPr>
                <w:p w14:paraId="6E6224E8">
                  <w:pPr>
                    <w:keepNext w:val="0"/>
                    <w:keepLines w:val="0"/>
                    <w:widowControl/>
                    <w:suppressLineNumbers w:val="0"/>
                    <w:spacing w:before="0" w:beforeAutospacing="0" w:after="0" w:afterAutospacing="0"/>
                    <w:ind w:left="0" w:right="0"/>
                    <w:jc w:val="center"/>
                    <w:textAlignment w:val="center"/>
                    <w:rPr>
                      <w:rFonts w:hint="default" w:eastAsia="Times New Roman"/>
                      <w:color w:val="auto"/>
                      <w:szCs w:val="21"/>
                    </w:rPr>
                  </w:pPr>
                  <w:r>
                    <w:rPr>
                      <w:rFonts w:hint="default"/>
                      <w:color w:val="auto"/>
                      <w:kern w:val="0"/>
                      <w:szCs w:val="21"/>
                    </w:rPr>
                    <w:t>经特别工艺处理的多种天然纤维与填充粒子及添加剂，按适当的级配和一定的工艺复合而成的灰黄色粉末状产品。无毒、不溶于水、淡黄色粉末</w:t>
                  </w:r>
                </w:p>
              </w:tc>
              <w:tc>
                <w:tcPr>
                  <w:tcW w:w="1496" w:type="pct"/>
                  <w:noWrap w:val="0"/>
                  <w:tcMar>
                    <w:top w:w="15" w:type="dxa"/>
                    <w:left w:w="15" w:type="dxa"/>
                    <w:bottom w:w="15" w:type="dxa"/>
                    <w:right w:w="15" w:type="dxa"/>
                  </w:tcMar>
                  <w:vAlign w:val="center"/>
                </w:tcPr>
                <w:p w14:paraId="3441878C">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rPr>
                    <w:t>能显著降低泥浆的滤失量，又不影响泥浆的流变性能，耐温性能优良</w:t>
                  </w:r>
                </w:p>
              </w:tc>
            </w:tr>
            <w:tr w14:paraId="6816E46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714" w:hRule="atLeast"/>
                <w:jc w:val="center"/>
              </w:trPr>
              <w:tc>
                <w:tcPr>
                  <w:tcW w:w="650" w:type="pct"/>
                  <w:noWrap w:val="0"/>
                  <w:tcMar>
                    <w:top w:w="15" w:type="dxa"/>
                    <w:left w:w="15" w:type="dxa"/>
                    <w:bottom w:w="15" w:type="dxa"/>
                    <w:right w:w="15" w:type="dxa"/>
                  </w:tcMar>
                  <w:vAlign w:val="center"/>
                </w:tcPr>
                <w:p w14:paraId="75405602">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rPr>
                    <w:t>LV-CMC（</w:t>
                  </w:r>
                  <w:r>
                    <w:rPr>
                      <w:rFonts w:hint="eastAsia"/>
                      <w:color w:val="auto"/>
                      <w:kern w:val="0"/>
                      <w:szCs w:val="21"/>
                      <w:lang w:eastAsia="zh-CN"/>
                    </w:rPr>
                    <w:t>羧甲基纤维素钠</w:t>
                  </w:r>
                  <w:r>
                    <w:rPr>
                      <w:rFonts w:hint="default"/>
                      <w:color w:val="auto"/>
                      <w:kern w:val="0"/>
                      <w:szCs w:val="21"/>
                    </w:rPr>
                    <w:t>）</w:t>
                  </w:r>
                </w:p>
              </w:tc>
              <w:tc>
                <w:tcPr>
                  <w:tcW w:w="329" w:type="pct"/>
                  <w:noWrap w:val="0"/>
                  <w:tcMar>
                    <w:top w:w="15" w:type="dxa"/>
                    <w:left w:w="15" w:type="dxa"/>
                    <w:bottom w:w="15" w:type="dxa"/>
                    <w:right w:w="15" w:type="dxa"/>
                  </w:tcMar>
                  <w:vAlign w:val="center"/>
                </w:tcPr>
                <w:p w14:paraId="35D9FFAD">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rPr>
                    <w:t>1</w:t>
                  </w:r>
                </w:p>
              </w:tc>
              <w:tc>
                <w:tcPr>
                  <w:tcW w:w="398" w:type="pct"/>
                  <w:noWrap w:val="0"/>
                  <w:tcMar>
                    <w:top w:w="15" w:type="dxa"/>
                    <w:left w:w="15" w:type="dxa"/>
                    <w:bottom w:w="15" w:type="dxa"/>
                    <w:right w:w="15" w:type="dxa"/>
                  </w:tcMar>
                  <w:vAlign w:val="center"/>
                </w:tcPr>
                <w:p w14:paraId="58720C93">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1</w:t>
                  </w:r>
                </w:p>
              </w:tc>
              <w:tc>
                <w:tcPr>
                  <w:tcW w:w="484" w:type="pct"/>
                  <w:noWrap w:val="0"/>
                  <w:tcMar>
                    <w:top w:w="15" w:type="dxa"/>
                    <w:left w:w="15" w:type="dxa"/>
                    <w:bottom w:w="15" w:type="dxa"/>
                    <w:right w:w="15" w:type="dxa"/>
                  </w:tcMar>
                  <w:vAlign w:val="center"/>
                </w:tcPr>
                <w:p w14:paraId="418DF0A7">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袋装，25kg/袋</w:t>
                  </w:r>
                </w:p>
              </w:tc>
              <w:tc>
                <w:tcPr>
                  <w:tcW w:w="331" w:type="pct"/>
                  <w:noWrap w:val="0"/>
                  <w:tcMar>
                    <w:top w:w="15" w:type="dxa"/>
                    <w:left w:w="15" w:type="dxa"/>
                    <w:bottom w:w="15" w:type="dxa"/>
                    <w:right w:w="15" w:type="dxa"/>
                  </w:tcMar>
                  <w:vAlign w:val="center"/>
                </w:tcPr>
                <w:p w14:paraId="1F724A08">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材料堆场</w:t>
                  </w:r>
                </w:p>
              </w:tc>
              <w:tc>
                <w:tcPr>
                  <w:tcW w:w="1312" w:type="pct"/>
                  <w:noWrap w:val="0"/>
                  <w:tcMar>
                    <w:top w:w="15" w:type="dxa"/>
                    <w:left w:w="15" w:type="dxa"/>
                    <w:bottom w:w="15" w:type="dxa"/>
                    <w:right w:w="15" w:type="dxa"/>
                  </w:tcMar>
                  <w:vAlign w:val="center"/>
                </w:tcPr>
                <w:p w14:paraId="74DE8B4D">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rPr>
                    <w:t>白色</w:t>
                  </w:r>
                  <w:r>
                    <w:rPr>
                      <w:rFonts w:hint="default"/>
                      <w:color w:val="auto"/>
                      <w:szCs w:val="21"/>
                    </w:rPr>
                    <w:fldChar w:fldCharType="begin"/>
                  </w:r>
                  <w:r>
                    <w:rPr>
                      <w:rFonts w:hint="default"/>
                      <w:color w:val="auto"/>
                      <w:szCs w:val="21"/>
                    </w:rPr>
                    <w:instrText xml:space="preserve"> HYPERLINK "https://baike.so.com/doc/5333866.html" \t "_blank" </w:instrText>
                  </w:r>
                  <w:r>
                    <w:rPr>
                      <w:rFonts w:hint="default"/>
                      <w:color w:val="auto"/>
                      <w:szCs w:val="21"/>
                    </w:rPr>
                    <w:fldChar w:fldCharType="separate"/>
                  </w:r>
                  <w:r>
                    <w:rPr>
                      <w:rFonts w:hint="default"/>
                      <w:color w:val="auto"/>
                      <w:szCs w:val="21"/>
                    </w:rPr>
                    <w:t>颗粒</w:t>
                  </w:r>
                  <w:r>
                    <w:rPr>
                      <w:rFonts w:hint="default"/>
                      <w:color w:val="auto"/>
                      <w:szCs w:val="21"/>
                    </w:rPr>
                    <w:fldChar w:fldCharType="end"/>
                  </w:r>
                </w:p>
              </w:tc>
              <w:tc>
                <w:tcPr>
                  <w:tcW w:w="1496" w:type="pct"/>
                  <w:noWrap w:val="0"/>
                  <w:tcMar>
                    <w:top w:w="15" w:type="dxa"/>
                    <w:left w:w="15" w:type="dxa"/>
                    <w:bottom w:w="15" w:type="dxa"/>
                    <w:right w:w="15" w:type="dxa"/>
                  </w:tcMar>
                  <w:vAlign w:val="center"/>
                </w:tcPr>
                <w:p w14:paraId="26514195">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rPr>
                    <w:t>主要用作滤失剂</w:t>
                  </w:r>
                </w:p>
              </w:tc>
            </w:tr>
            <w:tr w14:paraId="2B6400B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714" w:hRule="atLeast"/>
                <w:jc w:val="center"/>
              </w:trPr>
              <w:tc>
                <w:tcPr>
                  <w:tcW w:w="650" w:type="pct"/>
                  <w:noWrap w:val="0"/>
                  <w:tcMar>
                    <w:top w:w="15" w:type="dxa"/>
                    <w:left w:w="15" w:type="dxa"/>
                    <w:bottom w:w="15" w:type="dxa"/>
                    <w:right w:w="15" w:type="dxa"/>
                  </w:tcMar>
                  <w:vAlign w:val="center"/>
                </w:tcPr>
                <w:p w14:paraId="73D01E45">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rPr>
                    <w:t>K-HPAN（水解聚丙烯腈钾盐）</w:t>
                  </w:r>
                </w:p>
              </w:tc>
              <w:tc>
                <w:tcPr>
                  <w:tcW w:w="329" w:type="pct"/>
                  <w:noWrap w:val="0"/>
                  <w:tcMar>
                    <w:top w:w="15" w:type="dxa"/>
                    <w:left w:w="15" w:type="dxa"/>
                    <w:bottom w:w="15" w:type="dxa"/>
                    <w:right w:w="15" w:type="dxa"/>
                  </w:tcMar>
                  <w:vAlign w:val="center"/>
                </w:tcPr>
                <w:p w14:paraId="5E00AA1F">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kern w:val="0"/>
                      <w:szCs w:val="21"/>
                    </w:rPr>
                    <w:t>2</w:t>
                  </w:r>
                </w:p>
              </w:tc>
              <w:tc>
                <w:tcPr>
                  <w:tcW w:w="398" w:type="pct"/>
                  <w:noWrap w:val="0"/>
                  <w:tcMar>
                    <w:top w:w="15" w:type="dxa"/>
                    <w:left w:w="15" w:type="dxa"/>
                    <w:bottom w:w="15" w:type="dxa"/>
                    <w:right w:w="15" w:type="dxa"/>
                  </w:tcMar>
                  <w:vAlign w:val="center"/>
                </w:tcPr>
                <w:p w14:paraId="16A6B96D">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0.05</w:t>
                  </w:r>
                </w:p>
              </w:tc>
              <w:tc>
                <w:tcPr>
                  <w:tcW w:w="484" w:type="pct"/>
                  <w:noWrap w:val="0"/>
                  <w:tcMar>
                    <w:top w:w="15" w:type="dxa"/>
                    <w:left w:w="15" w:type="dxa"/>
                    <w:bottom w:w="15" w:type="dxa"/>
                    <w:right w:w="15" w:type="dxa"/>
                  </w:tcMar>
                  <w:vAlign w:val="center"/>
                </w:tcPr>
                <w:p w14:paraId="5BE63C79">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袋装，50kg/袋</w:t>
                  </w:r>
                </w:p>
              </w:tc>
              <w:tc>
                <w:tcPr>
                  <w:tcW w:w="331" w:type="pct"/>
                  <w:noWrap w:val="0"/>
                  <w:tcMar>
                    <w:top w:w="15" w:type="dxa"/>
                    <w:left w:w="15" w:type="dxa"/>
                    <w:bottom w:w="15" w:type="dxa"/>
                    <w:right w:w="15" w:type="dxa"/>
                  </w:tcMar>
                  <w:vAlign w:val="center"/>
                </w:tcPr>
                <w:p w14:paraId="28AC8B3E">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材料堆场</w:t>
                  </w:r>
                </w:p>
              </w:tc>
              <w:tc>
                <w:tcPr>
                  <w:tcW w:w="1312" w:type="pct"/>
                  <w:noWrap w:val="0"/>
                  <w:tcMar>
                    <w:top w:w="15" w:type="dxa"/>
                    <w:left w:w="15" w:type="dxa"/>
                    <w:bottom w:w="15" w:type="dxa"/>
                    <w:right w:w="15" w:type="dxa"/>
                  </w:tcMar>
                  <w:vAlign w:val="center"/>
                </w:tcPr>
                <w:p w14:paraId="6C83C5DC">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rPr>
                    <w:t>白色溶于水、结晶粉末</w:t>
                  </w:r>
                </w:p>
              </w:tc>
              <w:tc>
                <w:tcPr>
                  <w:tcW w:w="1496" w:type="pct"/>
                  <w:noWrap w:val="0"/>
                  <w:tcMar>
                    <w:top w:w="15" w:type="dxa"/>
                    <w:left w:w="15" w:type="dxa"/>
                    <w:bottom w:w="15" w:type="dxa"/>
                    <w:right w:w="15" w:type="dxa"/>
                  </w:tcMar>
                  <w:vAlign w:val="center"/>
                </w:tcPr>
                <w:p w14:paraId="1E753680">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rPr>
                    <w:t>调整泥浆流态</w:t>
                  </w:r>
                </w:p>
              </w:tc>
            </w:tr>
            <w:tr w14:paraId="36CEB6A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966" w:hRule="atLeast"/>
                <w:jc w:val="center"/>
              </w:trPr>
              <w:tc>
                <w:tcPr>
                  <w:tcW w:w="650" w:type="pct"/>
                  <w:noWrap w:val="0"/>
                  <w:tcMar>
                    <w:top w:w="15" w:type="dxa"/>
                    <w:left w:w="15" w:type="dxa"/>
                    <w:bottom w:w="15" w:type="dxa"/>
                    <w:right w:w="15" w:type="dxa"/>
                  </w:tcMar>
                  <w:vAlign w:val="center"/>
                </w:tcPr>
                <w:p w14:paraId="0C472C55">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eastAsia"/>
                      <w:color w:val="auto"/>
                      <w:kern w:val="0"/>
                      <w:szCs w:val="21"/>
                    </w:rPr>
                    <w:t>聚胺抑制剂</w:t>
                  </w:r>
                  <w:r>
                    <w:rPr>
                      <w:rFonts w:hint="default"/>
                      <w:color w:val="auto"/>
                      <w:kern w:val="0"/>
                      <w:szCs w:val="21"/>
                    </w:rPr>
                    <w:t>K-PAM（聚丙烯酰钾）</w:t>
                  </w:r>
                </w:p>
              </w:tc>
              <w:tc>
                <w:tcPr>
                  <w:tcW w:w="329" w:type="pct"/>
                  <w:noWrap w:val="0"/>
                  <w:tcMar>
                    <w:top w:w="15" w:type="dxa"/>
                    <w:left w:w="15" w:type="dxa"/>
                    <w:bottom w:w="15" w:type="dxa"/>
                    <w:right w:w="15" w:type="dxa"/>
                  </w:tcMar>
                  <w:vAlign w:val="center"/>
                </w:tcPr>
                <w:p w14:paraId="79BF7165">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kern w:val="0"/>
                      <w:szCs w:val="21"/>
                    </w:rPr>
                    <w:t>3</w:t>
                  </w:r>
                </w:p>
              </w:tc>
              <w:tc>
                <w:tcPr>
                  <w:tcW w:w="398" w:type="pct"/>
                  <w:noWrap w:val="0"/>
                  <w:tcMar>
                    <w:top w:w="15" w:type="dxa"/>
                    <w:left w:w="15" w:type="dxa"/>
                    <w:bottom w:w="15" w:type="dxa"/>
                    <w:right w:w="15" w:type="dxa"/>
                  </w:tcMar>
                  <w:vAlign w:val="center"/>
                </w:tcPr>
                <w:p w14:paraId="056C56EB">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1</w:t>
                  </w:r>
                </w:p>
              </w:tc>
              <w:tc>
                <w:tcPr>
                  <w:tcW w:w="484" w:type="pct"/>
                  <w:noWrap w:val="0"/>
                  <w:tcMar>
                    <w:top w:w="15" w:type="dxa"/>
                    <w:left w:w="15" w:type="dxa"/>
                    <w:bottom w:w="15" w:type="dxa"/>
                    <w:right w:w="15" w:type="dxa"/>
                  </w:tcMar>
                  <w:vAlign w:val="center"/>
                </w:tcPr>
                <w:p w14:paraId="4F8B67B5">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袋装，25kg/袋</w:t>
                  </w:r>
                </w:p>
              </w:tc>
              <w:tc>
                <w:tcPr>
                  <w:tcW w:w="331" w:type="pct"/>
                  <w:noWrap w:val="0"/>
                  <w:tcMar>
                    <w:top w:w="15" w:type="dxa"/>
                    <w:left w:w="15" w:type="dxa"/>
                    <w:bottom w:w="15" w:type="dxa"/>
                    <w:right w:w="15" w:type="dxa"/>
                  </w:tcMar>
                  <w:vAlign w:val="center"/>
                </w:tcPr>
                <w:p w14:paraId="23F953E8">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材料堆场</w:t>
                  </w:r>
                </w:p>
              </w:tc>
              <w:tc>
                <w:tcPr>
                  <w:tcW w:w="1312" w:type="pct"/>
                  <w:noWrap w:val="0"/>
                  <w:tcMar>
                    <w:top w:w="15" w:type="dxa"/>
                    <w:left w:w="15" w:type="dxa"/>
                    <w:bottom w:w="15" w:type="dxa"/>
                    <w:right w:w="15" w:type="dxa"/>
                  </w:tcMar>
                  <w:vAlign w:val="center"/>
                </w:tcPr>
                <w:p w14:paraId="5333715A">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rPr>
                    <w:t>白色溶于水、结晶粉末</w:t>
                  </w:r>
                </w:p>
              </w:tc>
              <w:tc>
                <w:tcPr>
                  <w:tcW w:w="1496" w:type="pct"/>
                  <w:noWrap w:val="0"/>
                  <w:tcMar>
                    <w:top w:w="15" w:type="dxa"/>
                    <w:left w:w="15" w:type="dxa"/>
                    <w:bottom w:w="15" w:type="dxa"/>
                    <w:right w:w="15" w:type="dxa"/>
                  </w:tcMar>
                  <w:vAlign w:val="center"/>
                </w:tcPr>
                <w:p w14:paraId="38852B7B">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rPr>
                    <w:t>能有效包被钻屑、抑制地层造浆，起稳定井壁、防塌降低滤失作用，</w:t>
                  </w:r>
                  <w:r>
                    <w:rPr>
                      <w:rFonts w:hint="default"/>
                      <w:color w:val="auto"/>
                      <w:kern w:val="0"/>
                      <w:szCs w:val="21"/>
                      <w:highlight w:val="none"/>
                    </w:rPr>
                    <w:t>可以有效的抑制</w:t>
                  </w:r>
                  <w:r>
                    <w:rPr>
                      <w:rFonts w:hint="default"/>
                      <w:color w:val="auto"/>
                      <w:kern w:val="0"/>
                      <w:szCs w:val="21"/>
                    </w:rPr>
                    <w:t>地层造浆并能与多种处理剂配伍，是一种应用广、较理想的井壁稳定剂</w:t>
                  </w:r>
                </w:p>
              </w:tc>
            </w:tr>
            <w:tr w14:paraId="7459E47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8" w:hRule="atLeast"/>
                <w:jc w:val="center"/>
              </w:trPr>
              <w:tc>
                <w:tcPr>
                  <w:tcW w:w="650" w:type="pct"/>
                  <w:noWrap w:val="0"/>
                  <w:tcMar>
                    <w:top w:w="15" w:type="dxa"/>
                    <w:left w:w="15" w:type="dxa"/>
                    <w:bottom w:w="15" w:type="dxa"/>
                    <w:right w:w="15" w:type="dxa"/>
                  </w:tcMar>
                  <w:vAlign w:val="center"/>
                </w:tcPr>
                <w:p w14:paraId="72633606">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kern w:val="0"/>
                      <w:szCs w:val="21"/>
                    </w:rPr>
                    <w:t>乳化石蜡</w:t>
                  </w:r>
                </w:p>
              </w:tc>
              <w:tc>
                <w:tcPr>
                  <w:tcW w:w="329" w:type="pct"/>
                  <w:noWrap w:val="0"/>
                  <w:tcMar>
                    <w:top w:w="15" w:type="dxa"/>
                    <w:left w:w="15" w:type="dxa"/>
                    <w:bottom w:w="15" w:type="dxa"/>
                    <w:right w:w="15" w:type="dxa"/>
                  </w:tcMar>
                  <w:vAlign w:val="center"/>
                </w:tcPr>
                <w:p w14:paraId="58365BED">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kern w:val="0"/>
                      <w:szCs w:val="21"/>
                    </w:rPr>
                    <w:t>1</w:t>
                  </w:r>
                </w:p>
              </w:tc>
              <w:tc>
                <w:tcPr>
                  <w:tcW w:w="398" w:type="pct"/>
                  <w:noWrap w:val="0"/>
                  <w:tcMar>
                    <w:top w:w="15" w:type="dxa"/>
                    <w:left w:w="15" w:type="dxa"/>
                    <w:bottom w:w="15" w:type="dxa"/>
                    <w:right w:w="15" w:type="dxa"/>
                  </w:tcMar>
                  <w:vAlign w:val="center"/>
                </w:tcPr>
                <w:p w14:paraId="460F0253">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w:t>
                  </w:r>
                </w:p>
              </w:tc>
              <w:tc>
                <w:tcPr>
                  <w:tcW w:w="484" w:type="pct"/>
                  <w:noWrap w:val="0"/>
                  <w:tcMar>
                    <w:top w:w="15" w:type="dxa"/>
                    <w:left w:w="15" w:type="dxa"/>
                    <w:bottom w:w="15" w:type="dxa"/>
                    <w:right w:w="15" w:type="dxa"/>
                  </w:tcMar>
                  <w:vAlign w:val="center"/>
                </w:tcPr>
                <w:p w14:paraId="486CC5B4">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袋装，25kg/袋</w:t>
                  </w:r>
                </w:p>
              </w:tc>
              <w:tc>
                <w:tcPr>
                  <w:tcW w:w="331" w:type="pct"/>
                  <w:noWrap w:val="0"/>
                  <w:tcMar>
                    <w:top w:w="15" w:type="dxa"/>
                    <w:left w:w="15" w:type="dxa"/>
                    <w:bottom w:w="15" w:type="dxa"/>
                    <w:right w:w="15" w:type="dxa"/>
                  </w:tcMar>
                  <w:vAlign w:val="center"/>
                </w:tcPr>
                <w:p w14:paraId="42107BC8">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材料堆场</w:t>
                  </w:r>
                </w:p>
              </w:tc>
              <w:tc>
                <w:tcPr>
                  <w:tcW w:w="1312" w:type="pct"/>
                  <w:noWrap w:val="0"/>
                  <w:tcMar>
                    <w:top w:w="15" w:type="dxa"/>
                    <w:left w:w="15" w:type="dxa"/>
                    <w:bottom w:w="15" w:type="dxa"/>
                    <w:right w:w="15" w:type="dxa"/>
                  </w:tcMar>
                  <w:vAlign w:val="center"/>
                </w:tcPr>
                <w:p w14:paraId="5FC7106F">
                  <w:pPr>
                    <w:keepNext w:val="0"/>
                    <w:keepLines w:val="0"/>
                    <w:widowControl/>
                    <w:suppressLineNumbers w:val="0"/>
                    <w:spacing w:before="0" w:beforeAutospacing="0" w:after="0" w:afterAutospacing="0"/>
                    <w:ind w:left="0" w:right="0"/>
                    <w:jc w:val="center"/>
                    <w:textAlignment w:val="center"/>
                    <w:rPr>
                      <w:rFonts w:hint="default" w:eastAsia="Times New Roman"/>
                      <w:color w:val="auto"/>
                      <w:szCs w:val="21"/>
                    </w:rPr>
                  </w:pPr>
                  <w:r>
                    <w:rPr>
                      <w:rFonts w:hint="default"/>
                      <w:color w:val="auto"/>
                      <w:kern w:val="0"/>
                      <w:szCs w:val="21"/>
                    </w:rPr>
                    <w:t>无毒、淡黄色至乳白色液体</w:t>
                  </w:r>
                </w:p>
              </w:tc>
              <w:tc>
                <w:tcPr>
                  <w:tcW w:w="1496" w:type="pct"/>
                  <w:noWrap w:val="0"/>
                  <w:tcMar>
                    <w:top w:w="15" w:type="dxa"/>
                    <w:left w:w="15" w:type="dxa"/>
                    <w:bottom w:w="15" w:type="dxa"/>
                    <w:right w:w="15" w:type="dxa"/>
                  </w:tcMar>
                  <w:vAlign w:val="center"/>
                </w:tcPr>
                <w:p w14:paraId="7BD4A294">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rPr>
                    <w:t>形成泥饼，保护井壁；控制与平衡地层压力等</w:t>
                  </w:r>
                </w:p>
              </w:tc>
            </w:tr>
            <w:tr w14:paraId="09B7561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786" w:hRule="atLeast"/>
                <w:jc w:val="center"/>
              </w:trPr>
              <w:tc>
                <w:tcPr>
                  <w:tcW w:w="650" w:type="pct"/>
                  <w:noWrap w:val="0"/>
                  <w:tcMar>
                    <w:top w:w="15" w:type="dxa"/>
                    <w:left w:w="15" w:type="dxa"/>
                    <w:bottom w:w="15" w:type="dxa"/>
                    <w:right w:w="15" w:type="dxa"/>
                  </w:tcMar>
                  <w:vAlign w:val="center"/>
                </w:tcPr>
                <w:p w14:paraId="7D95C29D">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kern w:val="0"/>
                      <w:szCs w:val="21"/>
                    </w:rPr>
                    <w:t>复合堵漏剂</w:t>
                  </w:r>
                </w:p>
              </w:tc>
              <w:tc>
                <w:tcPr>
                  <w:tcW w:w="329" w:type="pct"/>
                  <w:noWrap w:val="0"/>
                  <w:tcMar>
                    <w:top w:w="15" w:type="dxa"/>
                    <w:left w:w="15" w:type="dxa"/>
                    <w:bottom w:w="15" w:type="dxa"/>
                    <w:right w:w="15" w:type="dxa"/>
                  </w:tcMar>
                  <w:vAlign w:val="center"/>
                </w:tcPr>
                <w:p w14:paraId="2C01A1EE">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kern w:val="0"/>
                      <w:szCs w:val="21"/>
                    </w:rPr>
                    <w:t>2</w:t>
                  </w:r>
                </w:p>
              </w:tc>
              <w:tc>
                <w:tcPr>
                  <w:tcW w:w="398" w:type="pct"/>
                  <w:noWrap w:val="0"/>
                  <w:tcMar>
                    <w:top w:w="15" w:type="dxa"/>
                    <w:left w:w="15" w:type="dxa"/>
                    <w:bottom w:w="15" w:type="dxa"/>
                    <w:right w:w="15" w:type="dxa"/>
                  </w:tcMar>
                  <w:vAlign w:val="center"/>
                </w:tcPr>
                <w:p w14:paraId="583CED6A">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2</w:t>
                  </w:r>
                </w:p>
              </w:tc>
              <w:tc>
                <w:tcPr>
                  <w:tcW w:w="484" w:type="pct"/>
                  <w:noWrap w:val="0"/>
                  <w:tcMar>
                    <w:top w:w="15" w:type="dxa"/>
                    <w:left w:w="15" w:type="dxa"/>
                    <w:bottom w:w="15" w:type="dxa"/>
                    <w:right w:w="15" w:type="dxa"/>
                  </w:tcMar>
                  <w:vAlign w:val="center"/>
                </w:tcPr>
                <w:p w14:paraId="495B1C6E">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袋装，25kg/袋</w:t>
                  </w:r>
                </w:p>
              </w:tc>
              <w:tc>
                <w:tcPr>
                  <w:tcW w:w="331" w:type="pct"/>
                  <w:noWrap w:val="0"/>
                  <w:tcMar>
                    <w:top w:w="15" w:type="dxa"/>
                    <w:left w:w="15" w:type="dxa"/>
                    <w:bottom w:w="15" w:type="dxa"/>
                    <w:right w:w="15" w:type="dxa"/>
                  </w:tcMar>
                  <w:vAlign w:val="center"/>
                </w:tcPr>
                <w:p w14:paraId="0572E046">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材料堆场</w:t>
                  </w:r>
                </w:p>
              </w:tc>
              <w:tc>
                <w:tcPr>
                  <w:tcW w:w="1312" w:type="pct"/>
                  <w:noWrap w:val="0"/>
                  <w:tcMar>
                    <w:top w:w="15" w:type="dxa"/>
                    <w:left w:w="15" w:type="dxa"/>
                    <w:bottom w:w="15" w:type="dxa"/>
                    <w:right w:w="15" w:type="dxa"/>
                  </w:tcMar>
                  <w:vAlign w:val="center"/>
                </w:tcPr>
                <w:p w14:paraId="1E3C0791">
                  <w:pPr>
                    <w:keepNext w:val="0"/>
                    <w:keepLines w:val="0"/>
                    <w:widowControl/>
                    <w:suppressLineNumbers w:val="0"/>
                    <w:spacing w:before="0" w:beforeAutospacing="0" w:after="0" w:afterAutospacing="0"/>
                    <w:ind w:left="0" w:right="0"/>
                    <w:jc w:val="center"/>
                    <w:textAlignment w:val="center"/>
                    <w:rPr>
                      <w:rFonts w:hint="default" w:eastAsia="Times New Roman"/>
                      <w:color w:val="auto"/>
                      <w:szCs w:val="21"/>
                    </w:rPr>
                  </w:pPr>
                  <w:r>
                    <w:rPr>
                      <w:rFonts w:hint="default"/>
                      <w:color w:val="auto"/>
                      <w:kern w:val="0"/>
                      <w:szCs w:val="21"/>
                    </w:rPr>
                    <w:t>主要由植物硬质果壳，云母</w:t>
                  </w:r>
                  <w:r>
                    <w:rPr>
                      <w:rFonts w:hint="eastAsia"/>
                      <w:color w:val="auto"/>
                      <w:kern w:val="0"/>
                      <w:szCs w:val="21"/>
                      <w:lang w:eastAsia="zh-CN"/>
                    </w:rPr>
                    <w:t>和其他</w:t>
                  </w:r>
                  <w:r>
                    <w:rPr>
                      <w:rFonts w:hint="default"/>
                      <w:color w:val="auto"/>
                      <w:kern w:val="0"/>
                      <w:szCs w:val="21"/>
                    </w:rPr>
                    <w:t>植物纤维组成。无毒、不溶于水、固体粉末</w:t>
                  </w:r>
                </w:p>
              </w:tc>
              <w:tc>
                <w:tcPr>
                  <w:tcW w:w="1496" w:type="pct"/>
                  <w:noWrap w:val="0"/>
                  <w:tcMar>
                    <w:top w:w="15" w:type="dxa"/>
                    <w:left w:w="15" w:type="dxa"/>
                    <w:bottom w:w="15" w:type="dxa"/>
                    <w:right w:w="15" w:type="dxa"/>
                  </w:tcMar>
                  <w:vAlign w:val="center"/>
                </w:tcPr>
                <w:p w14:paraId="77AEF227">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rPr>
                    <w:t>适用于钻井裂缝，多孔隙地层的堵漏，若</w:t>
                  </w:r>
                  <w:r>
                    <w:rPr>
                      <w:rFonts w:hint="eastAsia"/>
                      <w:color w:val="auto"/>
                      <w:kern w:val="0"/>
                      <w:szCs w:val="21"/>
                      <w:lang w:eastAsia="zh-CN"/>
                    </w:rPr>
                    <w:t>与其他</w:t>
                  </w:r>
                  <w:r>
                    <w:rPr>
                      <w:rFonts w:hint="default"/>
                      <w:color w:val="auto"/>
                      <w:kern w:val="0"/>
                      <w:szCs w:val="21"/>
                    </w:rPr>
                    <w:t>堵漏材料混合使用</w:t>
                  </w:r>
                  <w:r>
                    <w:rPr>
                      <w:rFonts w:hint="eastAsia"/>
                      <w:color w:val="auto"/>
                      <w:kern w:val="0"/>
                      <w:szCs w:val="21"/>
                      <w:lang w:eastAsia="zh-CN"/>
                    </w:rPr>
                    <w:t>效果更佳</w:t>
                  </w:r>
                </w:p>
              </w:tc>
            </w:tr>
            <w:tr w14:paraId="01E84B9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650" w:type="pct"/>
                  <w:noWrap w:val="0"/>
                  <w:tcMar>
                    <w:top w:w="15" w:type="dxa"/>
                    <w:left w:w="15" w:type="dxa"/>
                    <w:bottom w:w="15" w:type="dxa"/>
                    <w:right w:w="15" w:type="dxa"/>
                  </w:tcMar>
                  <w:vAlign w:val="center"/>
                </w:tcPr>
                <w:p w14:paraId="74DB59C2">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kern w:val="0"/>
                      <w:szCs w:val="21"/>
                    </w:rPr>
                    <w:t>重晶石粉（BaSO</w:t>
                  </w:r>
                  <w:r>
                    <w:rPr>
                      <w:rFonts w:hint="default"/>
                      <w:color w:val="auto"/>
                      <w:kern w:val="0"/>
                      <w:szCs w:val="21"/>
                      <w:vertAlign w:val="subscript"/>
                    </w:rPr>
                    <w:t>4</w:t>
                  </w:r>
                  <w:r>
                    <w:rPr>
                      <w:rFonts w:hint="default"/>
                      <w:color w:val="auto"/>
                      <w:kern w:val="0"/>
                      <w:szCs w:val="21"/>
                    </w:rPr>
                    <w:t>）</w:t>
                  </w:r>
                </w:p>
              </w:tc>
              <w:tc>
                <w:tcPr>
                  <w:tcW w:w="329" w:type="pct"/>
                  <w:noWrap w:val="0"/>
                  <w:tcMar>
                    <w:top w:w="15" w:type="dxa"/>
                    <w:left w:w="15" w:type="dxa"/>
                    <w:bottom w:w="15" w:type="dxa"/>
                    <w:right w:w="15" w:type="dxa"/>
                  </w:tcMar>
                  <w:vAlign w:val="center"/>
                </w:tcPr>
                <w:p w14:paraId="0FC198AB">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kern w:val="0"/>
                      <w:szCs w:val="21"/>
                    </w:rPr>
                    <w:t>20</w:t>
                  </w:r>
                </w:p>
              </w:tc>
              <w:tc>
                <w:tcPr>
                  <w:tcW w:w="398" w:type="pct"/>
                  <w:noWrap w:val="0"/>
                  <w:tcMar>
                    <w:top w:w="15" w:type="dxa"/>
                    <w:left w:w="15" w:type="dxa"/>
                    <w:bottom w:w="15" w:type="dxa"/>
                    <w:right w:w="15" w:type="dxa"/>
                  </w:tcMar>
                  <w:vAlign w:val="center"/>
                </w:tcPr>
                <w:p w14:paraId="10283454">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5</w:t>
                  </w:r>
                </w:p>
              </w:tc>
              <w:tc>
                <w:tcPr>
                  <w:tcW w:w="484" w:type="pct"/>
                  <w:noWrap w:val="0"/>
                  <w:tcMar>
                    <w:top w:w="15" w:type="dxa"/>
                    <w:left w:w="15" w:type="dxa"/>
                    <w:bottom w:w="15" w:type="dxa"/>
                    <w:right w:w="15" w:type="dxa"/>
                  </w:tcMar>
                  <w:vAlign w:val="center"/>
                </w:tcPr>
                <w:p w14:paraId="03D7A22B">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罐装，60t/罐</w:t>
                  </w:r>
                </w:p>
              </w:tc>
              <w:tc>
                <w:tcPr>
                  <w:tcW w:w="331" w:type="pct"/>
                  <w:noWrap w:val="0"/>
                  <w:tcMar>
                    <w:top w:w="15" w:type="dxa"/>
                    <w:left w:w="15" w:type="dxa"/>
                    <w:bottom w:w="15" w:type="dxa"/>
                    <w:right w:w="15" w:type="dxa"/>
                  </w:tcMar>
                  <w:vAlign w:val="center"/>
                </w:tcPr>
                <w:p w14:paraId="0966CEC8">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材料堆场</w:t>
                  </w:r>
                </w:p>
              </w:tc>
              <w:tc>
                <w:tcPr>
                  <w:tcW w:w="1312" w:type="pct"/>
                  <w:noWrap w:val="0"/>
                  <w:tcMar>
                    <w:top w:w="15" w:type="dxa"/>
                    <w:left w:w="15" w:type="dxa"/>
                    <w:bottom w:w="15" w:type="dxa"/>
                    <w:right w:w="15" w:type="dxa"/>
                  </w:tcMar>
                  <w:vAlign w:val="center"/>
                </w:tcPr>
                <w:p w14:paraId="4C1C1933">
                  <w:pPr>
                    <w:keepNext w:val="0"/>
                    <w:keepLines w:val="0"/>
                    <w:widowControl/>
                    <w:suppressLineNumbers w:val="0"/>
                    <w:spacing w:before="0" w:beforeAutospacing="0" w:after="0" w:afterAutospacing="0"/>
                    <w:ind w:left="0" w:right="0"/>
                    <w:jc w:val="center"/>
                    <w:textAlignment w:val="center"/>
                    <w:rPr>
                      <w:rFonts w:hint="default" w:eastAsia="Times New Roman"/>
                      <w:color w:val="auto"/>
                      <w:szCs w:val="21"/>
                    </w:rPr>
                  </w:pPr>
                  <w:r>
                    <w:rPr>
                      <w:rFonts w:hint="default"/>
                      <w:color w:val="auto"/>
                      <w:kern w:val="0"/>
                      <w:szCs w:val="21"/>
                    </w:rPr>
                    <w:t>无毒、不溶于水、灰色固体粉末</w:t>
                  </w:r>
                </w:p>
              </w:tc>
              <w:tc>
                <w:tcPr>
                  <w:tcW w:w="1496" w:type="pct"/>
                  <w:noWrap w:val="0"/>
                  <w:tcMar>
                    <w:top w:w="15" w:type="dxa"/>
                    <w:left w:w="15" w:type="dxa"/>
                    <w:bottom w:w="15" w:type="dxa"/>
                    <w:right w:w="15" w:type="dxa"/>
                  </w:tcMar>
                  <w:vAlign w:val="center"/>
                </w:tcPr>
                <w:p w14:paraId="5D7E72CE">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rPr>
                    <w:t>油气井旋转钻探中的环流泥浆加重剂冷却钻头，带走切削下来的碎屑物，润滑钻杆，封闭孔壁，控制油气压力，防止油井自喷</w:t>
                  </w:r>
                </w:p>
              </w:tc>
            </w:tr>
            <w:tr w14:paraId="3E415E7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071" w:type="dxa"/>
                  <w:noWrap w:val="0"/>
                  <w:tcMar>
                    <w:top w:w="15" w:type="dxa"/>
                    <w:left w:w="15" w:type="dxa"/>
                    <w:bottom w:w="15" w:type="dxa"/>
                    <w:right w:w="15" w:type="dxa"/>
                  </w:tcMar>
                  <w:vAlign w:val="center"/>
                </w:tcPr>
                <w:p w14:paraId="21DDC800">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eastAsia"/>
                      <w:color w:val="auto"/>
                      <w:szCs w:val="21"/>
                    </w:rPr>
                    <w:t>破胶脱稳剂</w:t>
                  </w:r>
                </w:p>
              </w:tc>
              <w:tc>
                <w:tcPr>
                  <w:tcW w:w="542" w:type="dxa"/>
                  <w:noWrap w:val="0"/>
                  <w:tcMar>
                    <w:top w:w="15" w:type="dxa"/>
                    <w:left w:w="15" w:type="dxa"/>
                    <w:bottom w:w="15" w:type="dxa"/>
                    <w:right w:w="15" w:type="dxa"/>
                  </w:tcMar>
                  <w:vAlign w:val="center"/>
                </w:tcPr>
                <w:p w14:paraId="0820D7C6">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eastAsia"/>
                      <w:color w:val="auto"/>
                      <w:kern w:val="0"/>
                      <w:szCs w:val="21"/>
                    </w:rPr>
                    <w:t>1</w:t>
                  </w:r>
                </w:p>
              </w:tc>
              <w:tc>
                <w:tcPr>
                  <w:tcW w:w="656" w:type="dxa"/>
                  <w:noWrap w:val="0"/>
                  <w:tcMar>
                    <w:top w:w="15" w:type="dxa"/>
                    <w:left w:w="15" w:type="dxa"/>
                    <w:bottom w:w="15" w:type="dxa"/>
                    <w:right w:w="15" w:type="dxa"/>
                  </w:tcMar>
                  <w:vAlign w:val="center"/>
                </w:tcPr>
                <w:p w14:paraId="25EF1B4F">
                  <w:pPr>
                    <w:keepNext w:val="0"/>
                    <w:keepLines w:val="0"/>
                    <w:suppressLineNumbers w:val="0"/>
                    <w:adjustRightInd w:val="0"/>
                    <w:snapToGrid w:val="0"/>
                    <w:spacing w:before="0" w:beforeAutospacing="0" w:after="0" w:afterAutospacing="0"/>
                    <w:ind w:left="0" w:right="0"/>
                    <w:jc w:val="center"/>
                    <w:rPr>
                      <w:rFonts w:hint="eastAsia"/>
                      <w:color w:val="auto"/>
                      <w:szCs w:val="21"/>
                    </w:rPr>
                  </w:pPr>
                  <w:r>
                    <w:rPr>
                      <w:rFonts w:hint="eastAsia"/>
                      <w:color w:val="auto"/>
                      <w:szCs w:val="21"/>
                    </w:rPr>
                    <w:t>1</w:t>
                  </w:r>
                </w:p>
              </w:tc>
              <w:tc>
                <w:tcPr>
                  <w:tcW w:w="797" w:type="dxa"/>
                  <w:noWrap w:val="0"/>
                  <w:tcMar>
                    <w:top w:w="15" w:type="dxa"/>
                    <w:left w:w="15" w:type="dxa"/>
                    <w:bottom w:w="15" w:type="dxa"/>
                    <w:right w:w="15" w:type="dxa"/>
                  </w:tcMar>
                  <w:vAlign w:val="center"/>
                </w:tcPr>
                <w:p w14:paraId="1BCED602">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袋装，25kg/袋</w:t>
                  </w:r>
                </w:p>
              </w:tc>
              <w:tc>
                <w:tcPr>
                  <w:tcW w:w="545" w:type="dxa"/>
                  <w:noWrap w:val="0"/>
                  <w:tcMar>
                    <w:top w:w="15" w:type="dxa"/>
                    <w:left w:w="15" w:type="dxa"/>
                    <w:bottom w:w="15" w:type="dxa"/>
                    <w:right w:w="15" w:type="dxa"/>
                  </w:tcMar>
                  <w:vAlign w:val="center"/>
                </w:tcPr>
                <w:p w14:paraId="002A7798">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材料堆场</w:t>
                  </w:r>
                </w:p>
              </w:tc>
              <w:tc>
                <w:tcPr>
                  <w:tcW w:w="2161" w:type="dxa"/>
                  <w:noWrap w:val="0"/>
                  <w:tcMar>
                    <w:top w:w="15" w:type="dxa"/>
                    <w:left w:w="15" w:type="dxa"/>
                    <w:bottom w:w="15" w:type="dxa"/>
                    <w:right w:w="15" w:type="dxa"/>
                  </w:tcMar>
                  <w:vAlign w:val="center"/>
                </w:tcPr>
                <w:p w14:paraId="5FAF1A3A">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eastAsia"/>
                      <w:color w:val="auto"/>
                      <w:kern w:val="0"/>
                      <w:szCs w:val="21"/>
                    </w:rPr>
                    <w:t>白色晶体粉末，易溶于水，工业废水处理中作为絮凝剂，能吸附和沉淀出胶体和其他悬浮物</w:t>
                  </w:r>
                </w:p>
              </w:tc>
              <w:tc>
                <w:tcPr>
                  <w:tcW w:w="2465" w:type="dxa"/>
                  <w:noWrap w:val="0"/>
                  <w:tcMar>
                    <w:top w:w="15" w:type="dxa"/>
                    <w:left w:w="15" w:type="dxa"/>
                    <w:bottom w:w="15" w:type="dxa"/>
                    <w:right w:w="15" w:type="dxa"/>
                  </w:tcMar>
                  <w:vAlign w:val="center"/>
                </w:tcPr>
                <w:p w14:paraId="42CA75E7">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eastAsia"/>
                      <w:color w:val="auto"/>
                      <w:kern w:val="0"/>
                      <w:szCs w:val="21"/>
                    </w:rPr>
                    <w:t>改变钻井泥浆的物理、化学性质，破坏钻井泥浆的胶体体系，促使悬浮的细小颗粒聚结成较大的絮凝体</w:t>
                  </w:r>
                </w:p>
              </w:tc>
            </w:tr>
          </w:tbl>
          <w:p w14:paraId="016846E8">
            <w:pPr>
              <w:keepNext w:val="0"/>
              <w:keepLines w:val="0"/>
              <w:suppressLineNumbers w:val="0"/>
              <w:adjustRightInd w:val="0"/>
              <w:snapToGrid w:val="0"/>
              <w:spacing w:before="120" w:beforeLines="50" w:beforeAutospacing="0" w:after="0" w:afterAutospacing="0" w:line="360" w:lineRule="auto"/>
              <w:ind w:left="0" w:right="0" w:firstLine="480" w:firstLineChars="200"/>
              <w:rPr>
                <w:rFonts w:hint="eastAsia"/>
                <w:color w:val="auto"/>
                <w:sz w:val="24"/>
              </w:rPr>
            </w:pPr>
            <w:r>
              <w:rPr>
                <w:rFonts w:hint="eastAsia"/>
                <w:color w:val="auto"/>
                <w:sz w:val="24"/>
              </w:rPr>
              <w:t>钻井泥浆初期在场地内配备并储存于钻井泥浆循环罐中，调配钻井泥浆原料（如膨润土等）分区分类贮存于井场材料堆场内。材料堆场上部设雨篷遮挡，钻井泥浆原料按月需求量贮存于井场内。各种钻井材料袋装或者罐装，无散装物料存储。钻井液材料场地面底部利用机械将衬层压实，四周加设高度为20cm的围堰，铺设双层1.5mm厚高密度聚乙烯防渗膜（覆盖围堰并外延0.5m以上），等效黏土防渗层Mb≥1.5m，K≤1×10-7cm/s</w:t>
            </w:r>
            <w:r>
              <w:rPr>
                <w:rFonts w:hint="eastAsia"/>
                <w:color w:val="auto"/>
                <w:sz w:val="24"/>
                <w:lang w:eastAsia="zh-CN"/>
              </w:rPr>
              <w:t>，</w:t>
            </w:r>
            <w:r>
              <w:rPr>
                <w:rFonts w:hint="eastAsia"/>
                <w:color w:val="auto"/>
                <w:sz w:val="24"/>
              </w:rPr>
              <w:t>防止物料泄漏污染土壤及地下水。</w:t>
            </w:r>
          </w:p>
          <w:p w14:paraId="5DBF9AFB">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（2）能源消耗</w:t>
            </w:r>
          </w:p>
          <w:p w14:paraId="13FA41B4">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能源消耗主要为柴油发电机所用柴油和生产生活用水。</w:t>
            </w:r>
          </w:p>
          <w:p w14:paraId="757CD52B">
            <w:pPr>
              <w:keepNext w:val="0"/>
              <w:keepLines w:val="0"/>
              <w:suppressLineNumbers w:val="0"/>
              <w:spacing w:before="0" w:beforeAutospacing="0" w:after="0" w:afterAutospacing="0"/>
              <w:ind w:left="0" w:right="0"/>
              <w:jc w:val="center"/>
              <w:rPr>
                <w:rFonts w:hint="default"/>
                <w:b/>
                <w:color w:val="auto"/>
                <w:kern w:val="0"/>
                <w:sz w:val="24"/>
                <w:highlight w:val="none"/>
              </w:rPr>
            </w:pPr>
            <w:r>
              <w:rPr>
                <w:rFonts w:hint="default"/>
                <w:b/>
                <w:color w:val="auto"/>
                <w:kern w:val="0"/>
                <w:sz w:val="24"/>
                <w:highlight w:val="none"/>
              </w:rPr>
              <w:t>表</w:t>
            </w:r>
            <w:r>
              <w:rPr>
                <w:rFonts w:hint="eastAsia"/>
                <w:b/>
                <w:color w:val="auto"/>
                <w:kern w:val="0"/>
                <w:sz w:val="24"/>
                <w:highlight w:val="none"/>
              </w:rPr>
              <w:t>2</w:t>
            </w:r>
            <w:r>
              <w:rPr>
                <w:rFonts w:hint="default"/>
                <w:b/>
                <w:color w:val="auto"/>
                <w:kern w:val="0"/>
                <w:sz w:val="24"/>
                <w:highlight w:val="none"/>
              </w:rPr>
              <w:t>-</w:t>
            </w:r>
            <w:r>
              <w:rPr>
                <w:rFonts w:hint="eastAsia"/>
                <w:b/>
                <w:color w:val="auto"/>
                <w:kern w:val="0"/>
                <w:sz w:val="24"/>
                <w:highlight w:val="none"/>
              </w:rPr>
              <w:t xml:space="preserve">5 </w:t>
            </w:r>
            <w:r>
              <w:rPr>
                <w:rFonts w:hint="default"/>
                <w:b/>
                <w:color w:val="auto"/>
                <w:kern w:val="0"/>
                <w:sz w:val="24"/>
                <w:highlight w:val="none"/>
              </w:rPr>
              <w:t>能源消耗一览表</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28" w:type="dxa"/>
                <w:bottom w:w="0" w:type="dxa"/>
                <w:right w:w="28" w:type="dxa"/>
              </w:tblCellMar>
            </w:tblPr>
            <w:tblGrid>
              <w:gridCol w:w="1673"/>
              <w:gridCol w:w="1674"/>
              <w:gridCol w:w="1674"/>
              <w:gridCol w:w="1674"/>
              <w:gridCol w:w="1675"/>
            </w:tblGrid>
            <w:tr w14:paraId="13A7C94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95" w:hRule="atLeast"/>
                <w:jc w:val="center"/>
              </w:trPr>
              <w:tc>
                <w:tcPr>
                  <w:tcW w:w="999" w:type="pct"/>
                  <w:noWrap w:val="0"/>
                  <w:tcMar>
                    <w:top w:w="15" w:type="dxa"/>
                    <w:left w:w="15" w:type="dxa"/>
                    <w:bottom w:w="15" w:type="dxa"/>
                    <w:right w:w="15" w:type="dxa"/>
                  </w:tcMar>
                  <w:vAlign w:val="center"/>
                </w:tcPr>
                <w:p w14:paraId="459132A9">
                  <w:pPr>
                    <w:keepNext w:val="0"/>
                    <w:keepLines w:val="0"/>
                    <w:widowControl/>
                    <w:suppressLineNumbers w:val="0"/>
                    <w:spacing w:before="0" w:beforeAutospacing="0" w:after="0" w:afterAutospacing="0"/>
                    <w:ind w:left="0" w:right="0"/>
                    <w:jc w:val="center"/>
                    <w:textAlignment w:val="center"/>
                    <w:rPr>
                      <w:rFonts w:hint="default"/>
                      <w:color w:val="auto"/>
                      <w:szCs w:val="21"/>
                      <w:highlight w:val="none"/>
                    </w:rPr>
                  </w:pPr>
                  <w:r>
                    <w:rPr>
                      <w:rFonts w:hint="eastAsia"/>
                      <w:color w:val="auto"/>
                      <w:kern w:val="0"/>
                      <w:szCs w:val="21"/>
                      <w:highlight w:val="none"/>
                    </w:rPr>
                    <w:t>名称</w:t>
                  </w:r>
                </w:p>
              </w:tc>
              <w:tc>
                <w:tcPr>
                  <w:tcW w:w="1000" w:type="pct"/>
                  <w:noWrap w:val="0"/>
                  <w:tcMar>
                    <w:top w:w="15" w:type="dxa"/>
                    <w:left w:w="15" w:type="dxa"/>
                    <w:bottom w:w="15" w:type="dxa"/>
                    <w:right w:w="15" w:type="dxa"/>
                  </w:tcMar>
                  <w:vAlign w:val="center"/>
                </w:tcPr>
                <w:p w14:paraId="1FF8AE8C">
                  <w:pPr>
                    <w:keepNext w:val="0"/>
                    <w:keepLines w:val="0"/>
                    <w:widowControl/>
                    <w:suppressLineNumbers w:val="0"/>
                    <w:spacing w:before="0" w:beforeAutospacing="0" w:after="0" w:afterAutospacing="0"/>
                    <w:ind w:left="0" w:right="0"/>
                    <w:jc w:val="center"/>
                    <w:textAlignment w:val="center"/>
                    <w:rPr>
                      <w:rFonts w:hint="default"/>
                      <w:color w:val="auto"/>
                      <w:szCs w:val="21"/>
                      <w:highlight w:val="none"/>
                    </w:rPr>
                  </w:pPr>
                  <w:r>
                    <w:rPr>
                      <w:rFonts w:hint="eastAsia"/>
                      <w:color w:val="auto"/>
                      <w:kern w:val="0"/>
                      <w:szCs w:val="21"/>
                      <w:highlight w:val="none"/>
                    </w:rPr>
                    <w:t>用量</w:t>
                  </w:r>
                  <w:r>
                    <w:rPr>
                      <w:rFonts w:hint="default"/>
                      <w:color w:val="auto"/>
                      <w:kern w:val="0"/>
                      <w:szCs w:val="21"/>
                      <w:highlight w:val="none"/>
                    </w:rPr>
                    <w:t>t</w:t>
                  </w:r>
                </w:p>
              </w:tc>
              <w:tc>
                <w:tcPr>
                  <w:tcW w:w="1000" w:type="pct"/>
                  <w:noWrap w:val="0"/>
                  <w:tcMar>
                    <w:top w:w="15" w:type="dxa"/>
                    <w:left w:w="15" w:type="dxa"/>
                    <w:bottom w:w="15" w:type="dxa"/>
                    <w:right w:w="15" w:type="dxa"/>
                  </w:tcMar>
                  <w:vAlign w:val="center"/>
                </w:tcPr>
                <w:p w14:paraId="5B6E9786">
                  <w:pPr>
                    <w:keepNext w:val="0"/>
                    <w:keepLines w:val="0"/>
                    <w:widowControl/>
                    <w:suppressLineNumbers w:val="0"/>
                    <w:spacing w:before="0" w:beforeAutospacing="0" w:after="0" w:afterAutospacing="0"/>
                    <w:ind w:left="0" w:right="0"/>
                    <w:jc w:val="center"/>
                    <w:textAlignment w:val="center"/>
                    <w:rPr>
                      <w:rFonts w:hint="default"/>
                      <w:color w:val="auto"/>
                      <w:kern w:val="0"/>
                      <w:szCs w:val="21"/>
                      <w:highlight w:val="none"/>
                    </w:rPr>
                  </w:pPr>
                  <w:r>
                    <w:rPr>
                      <w:rFonts w:hint="eastAsia"/>
                      <w:color w:val="auto"/>
                      <w:kern w:val="0"/>
                      <w:szCs w:val="21"/>
                      <w:highlight w:val="none"/>
                    </w:rPr>
                    <w:t>储量</w:t>
                  </w:r>
                  <w:r>
                    <w:rPr>
                      <w:rFonts w:hint="default"/>
                      <w:color w:val="auto"/>
                      <w:kern w:val="0"/>
                      <w:szCs w:val="21"/>
                      <w:highlight w:val="none"/>
                    </w:rPr>
                    <w:t>t</w:t>
                  </w:r>
                </w:p>
              </w:tc>
              <w:tc>
                <w:tcPr>
                  <w:tcW w:w="1000" w:type="pct"/>
                  <w:tcBorders>
                    <w:right w:val="single" w:color="auto" w:sz="4" w:space="0"/>
                  </w:tcBorders>
                  <w:noWrap w:val="0"/>
                  <w:tcMar>
                    <w:top w:w="15" w:type="dxa"/>
                    <w:left w:w="15" w:type="dxa"/>
                    <w:bottom w:w="15" w:type="dxa"/>
                    <w:right w:w="15" w:type="dxa"/>
                  </w:tcMar>
                  <w:vAlign w:val="center"/>
                </w:tcPr>
                <w:p w14:paraId="7BB8DA77">
                  <w:pPr>
                    <w:keepNext w:val="0"/>
                    <w:keepLines w:val="0"/>
                    <w:widowControl/>
                    <w:suppressLineNumbers w:val="0"/>
                    <w:spacing w:before="0" w:beforeAutospacing="0" w:after="0" w:afterAutospacing="0"/>
                    <w:ind w:left="0" w:right="0"/>
                    <w:jc w:val="center"/>
                    <w:textAlignment w:val="center"/>
                    <w:rPr>
                      <w:rFonts w:hint="default"/>
                      <w:color w:val="auto"/>
                      <w:kern w:val="0"/>
                      <w:szCs w:val="21"/>
                      <w:highlight w:val="none"/>
                    </w:rPr>
                  </w:pPr>
                  <w:r>
                    <w:rPr>
                      <w:rFonts w:hint="eastAsia"/>
                      <w:color w:val="auto"/>
                      <w:kern w:val="0"/>
                      <w:szCs w:val="21"/>
                      <w:highlight w:val="none"/>
                    </w:rPr>
                    <w:t>存储方式</w:t>
                  </w:r>
                </w:p>
              </w:tc>
              <w:tc>
                <w:tcPr>
                  <w:tcW w:w="1000" w:type="pct"/>
                  <w:tcBorders>
                    <w:left w:val="single" w:color="auto" w:sz="4" w:space="0"/>
                  </w:tcBorders>
                  <w:noWrap w:val="0"/>
                  <w:vAlign w:val="center"/>
                </w:tcPr>
                <w:p w14:paraId="288209E9">
                  <w:pPr>
                    <w:keepNext w:val="0"/>
                    <w:keepLines w:val="0"/>
                    <w:widowControl/>
                    <w:suppressLineNumbers w:val="0"/>
                    <w:spacing w:before="0" w:beforeAutospacing="0" w:after="0" w:afterAutospacing="0"/>
                    <w:ind w:left="0" w:right="0"/>
                    <w:jc w:val="center"/>
                    <w:textAlignment w:val="center"/>
                    <w:rPr>
                      <w:rFonts w:hint="default"/>
                      <w:color w:val="auto"/>
                      <w:kern w:val="0"/>
                      <w:szCs w:val="21"/>
                      <w:highlight w:val="none"/>
                    </w:rPr>
                  </w:pPr>
                  <w:r>
                    <w:rPr>
                      <w:rFonts w:hint="eastAsia"/>
                      <w:color w:val="auto"/>
                      <w:kern w:val="0"/>
                      <w:szCs w:val="21"/>
                      <w:highlight w:val="none"/>
                    </w:rPr>
                    <w:t>备注</w:t>
                  </w:r>
                </w:p>
              </w:tc>
            </w:tr>
            <w:tr w14:paraId="3B52B91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999" w:type="pct"/>
                  <w:noWrap w:val="0"/>
                  <w:tcMar>
                    <w:top w:w="15" w:type="dxa"/>
                    <w:left w:w="15" w:type="dxa"/>
                    <w:bottom w:w="15" w:type="dxa"/>
                    <w:right w:w="15" w:type="dxa"/>
                  </w:tcMar>
                  <w:vAlign w:val="center"/>
                </w:tcPr>
                <w:p w14:paraId="2FDEA556">
                  <w:pPr>
                    <w:keepNext w:val="0"/>
                    <w:keepLines w:val="0"/>
                    <w:widowControl/>
                    <w:suppressLineNumbers w:val="0"/>
                    <w:spacing w:before="0" w:beforeAutospacing="0" w:after="0" w:afterAutospacing="0"/>
                    <w:ind w:left="0" w:right="0"/>
                    <w:jc w:val="center"/>
                    <w:textAlignment w:val="center"/>
                    <w:rPr>
                      <w:rFonts w:hint="default" w:eastAsia="Times New Roman"/>
                      <w:color w:val="auto"/>
                      <w:szCs w:val="21"/>
                    </w:rPr>
                  </w:pPr>
                  <w:r>
                    <w:rPr>
                      <w:rFonts w:hint="default"/>
                      <w:color w:val="auto"/>
                      <w:szCs w:val="21"/>
                    </w:rPr>
                    <w:t>柴油</w:t>
                  </w:r>
                </w:p>
              </w:tc>
              <w:tc>
                <w:tcPr>
                  <w:tcW w:w="1000" w:type="pct"/>
                  <w:noWrap w:val="0"/>
                  <w:tcMar>
                    <w:top w:w="15" w:type="dxa"/>
                    <w:left w:w="15" w:type="dxa"/>
                    <w:bottom w:w="15" w:type="dxa"/>
                    <w:right w:w="15" w:type="dxa"/>
                  </w:tcMar>
                  <w:vAlign w:val="center"/>
                </w:tcPr>
                <w:p w14:paraId="415500E5">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eastAsia"/>
                      <w:color w:val="auto"/>
                      <w:kern w:val="0"/>
                      <w:szCs w:val="21"/>
                      <w:lang w:val="en-US" w:eastAsia="zh-CN"/>
                    </w:rPr>
                    <w:t>240</w:t>
                  </w:r>
                </w:p>
              </w:tc>
              <w:tc>
                <w:tcPr>
                  <w:tcW w:w="1000" w:type="pct"/>
                  <w:noWrap w:val="0"/>
                  <w:tcMar>
                    <w:top w:w="15" w:type="dxa"/>
                    <w:left w:w="15" w:type="dxa"/>
                    <w:bottom w:w="15" w:type="dxa"/>
                    <w:right w:w="15" w:type="dxa"/>
                  </w:tcMar>
                  <w:vAlign w:val="center"/>
                </w:tcPr>
                <w:p w14:paraId="468EC82A">
                  <w:pPr>
                    <w:keepNext w:val="0"/>
                    <w:keepLines w:val="0"/>
                    <w:suppressLineNumbers w:val="0"/>
                    <w:adjustRightInd w:val="0"/>
                    <w:snapToGrid w:val="0"/>
                    <w:spacing w:before="0" w:beforeAutospacing="0" w:after="0" w:afterAutospacing="0"/>
                    <w:ind w:left="0" w:right="0"/>
                    <w:jc w:val="center"/>
                    <w:rPr>
                      <w:rFonts w:hint="eastAsia" w:eastAsia="宋体"/>
                      <w:color w:val="auto"/>
                      <w:szCs w:val="21"/>
                      <w:lang w:eastAsia="zh-CN"/>
                    </w:rPr>
                  </w:pPr>
                  <w:r>
                    <w:rPr>
                      <w:rFonts w:hint="eastAsia"/>
                      <w:color w:val="auto"/>
                      <w:szCs w:val="21"/>
                      <w:lang w:val="en-US" w:eastAsia="zh-CN"/>
                    </w:rPr>
                    <w:t>30.6</w:t>
                  </w:r>
                  <w:r>
                    <w:rPr>
                      <w:rFonts w:hint="default"/>
                      <w:color w:val="auto"/>
                      <w:kern w:val="0"/>
                      <w:szCs w:val="21"/>
                    </w:rPr>
                    <w:t>/</w:t>
                  </w:r>
                  <w:r>
                    <w:rPr>
                      <w:rFonts w:hint="eastAsia"/>
                      <w:color w:val="auto"/>
                      <w:kern w:val="0"/>
                      <w:szCs w:val="21"/>
                      <w:lang w:eastAsia="zh-CN"/>
                    </w:rPr>
                    <w:t>罐</w:t>
                  </w:r>
                </w:p>
              </w:tc>
              <w:tc>
                <w:tcPr>
                  <w:tcW w:w="1000" w:type="pct"/>
                  <w:tcBorders>
                    <w:right w:val="single" w:color="auto" w:sz="4" w:space="0"/>
                  </w:tcBorders>
                  <w:noWrap w:val="0"/>
                  <w:tcMar>
                    <w:top w:w="15" w:type="dxa"/>
                    <w:left w:w="15" w:type="dxa"/>
                    <w:bottom w:w="15" w:type="dxa"/>
                    <w:right w:w="15" w:type="dxa"/>
                  </w:tcMar>
                  <w:vAlign w:val="center"/>
                </w:tcPr>
                <w:p w14:paraId="7275A730">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罐装</w:t>
                  </w:r>
                </w:p>
              </w:tc>
              <w:tc>
                <w:tcPr>
                  <w:tcW w:w="1000" w:type="pct"/>
                  <w:tcBorders>
                    <w:left w:val="single" w:color="auto" w:sz="4" w:space="0"/>
                  </w:tcBorders>
                  <w:noWrap w:val="0"/>
                  <w:vAlign w:val="center"/>
                </w:tcPr>
                <w:p w14:paraId="64759E95">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外部购买</w:t>
                  </w:r>
                </w:p>
              </w:tc>
            </w:tr>
            <w:tr w14:paraId="174227E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999" w:type="pct"/>
                  <w:noWrap w:val="0"/>
                  <w:tcMar>
                    <w:top w:w="15" w:type="dxa"/>
                    <w:left w:w="15" w:type="dxa"/>
                    <w:bottom w:w="15" w:type="dxa"/>
                    <w:right w:w="15" w:type="dxa"/>
                  </w:tcMar>
                  <w:vAlign w:val="center"/>
                </w:tcPr>
                <w:p w14:paraId="4B3EABBC">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kern w:val="0"/>
                      <w:szCs w:val="21"/>
                    </w:rPr>
                    <w:t>水</w:t>
                  </w:r>
                </w:p>
              </w:tc>
              <w:tc>
                <w:tcPr>
                  <w:tcW w:w="1000" w:type="pct"/>
                  <w:noWrap w:val="0"/>
                  <w:tcMar>
                    <w:top w:w="15" w:type="dxa"/>
                    <w:left w:w="15" w:type="dxa"/>
                    <w:bottom w:w="15" w:type="dxa"/>
                    <w:right w:w="15" w:type="dxa"/>
                  </w:tcMar>
                  <w:vAlign w:val="center"/>
                </w:tcPr>
                <w:p w14:paraId="1152A650">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eastAsia"/>
                      <w:color w:val="auto"/>
                      <w:szCs w:val="21"/>
                      <w:highlight w:val="none"/>
                      <w:lang w:val="en-US" w:eastAsia="zh-CN"/>
                    </w:rPr>
                    <w:t>840</w:t>
                  </w:r>
                </w:p>
              </w:tc>
              <w:tc>
                <w:tcPr>
                  <w:tcW w:w="1000" w:type="pct"/>
                  <w:noWrap w:val="0"/>
                  <w:tcMar>
                    <w:top w:w="15" w:type="dxa"/>
                    <w:left w:w="15" w:type="dxa"/>
                    <w:bottom w:w="15" w:type="dxa"/>
                    <w:right w:w="15" w:type="dxa"/>
                  </w:tcMar>
                  <w:vAlign w:val="center"/>
                </w:tcPr>
                <w:p w14:paraId="1D531387">
                  <w:pPr>
                    <w:keepNext w:val="0"/>
                    <w:keepLines w:val="0"/>
                    <w:widowControl/>
                    <w:suppressLineNumbers w:val="0"/>
                    <w:spacing w:before="0" w:beforeAutospacing="0" w:after="0" w:afterAutospacing="0"/>
                    <w:ind w:left="0" w:right="0"/>
                    <w:jc w:val="center"/>
                    <w:textAlignment w:val="center"/>
                    <w:rPr>
                      <w:rFonts w:hint="eastAsia" w:eastAsia="宋体"/>
                      <w:color w:val="auto"/>
                      <w:szCs w:val="21"/>
                      <w:lang w:eastAsia="zh-CN"/>
                    </w:rPr>
                  </w:pPr>
                  <w:r>
                    <w:rPr>
                      <w:rFonts w:hint="default"/>
                      <w:color w:val="auto"/>
                      <w:kern w:val="0"/>
                      <w:szCs w:val="21"/>
                    </w:rPr>
                    <w:t>40/</w:t>
                  </w:r>
                  <w:r>
                    <w:rPr>
                      <w:rFonts w:hint="eastAsia"/>
                      <w:color w:val="auto"/>
                      <w:kern w:val="0"/>
                      <w:szCs w:val="21"/>
                      <w:lang w:eastAsia="zh-CN"/>
                    </w:rPr>
                    <w:t>罐</w:t>
                  </w:r>
                </w:p>
              </w:tc>
              <w:tc>
                <w:tcPr>
                  <w:tcW w:w="1000" w:type="pct"/>
                  <w:tcBorders>
                    <w:right w:val="single" w:color="auto" w:sz="4" w:space="0"/>
                  </w:tcBorders>
                  <w:noWrap w:val="0"/>
                  <w:tcMar>
                    <w:top w:w="15" w:type="dxa"/>
                    <w:left w:w="15" w:type="dxa"/>
                    <w:bottom w:w="15" w:type="dxa"/>
                    <w:right w:w="15" w:type="dxa"/>
                  </w:tcMar>
                  <w:vAlign w:val="center"/>
                </w:tcPr>
                <w:p w14:paraId="110E7FE0">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罐装</w:t>
                  </w:r>
                </w:p>
              </w:tc>
              <w:tc>
                <w:tcPr>
                  <w:tcW w:w="1000" w:type="pct"/>
                  <w:tcBorders>
                    <w:left w:val="single" w:color="auto" w:sz="4" w:space="0"/>
                  </w:tcBorders>
                  <w:noWrap w:val="0"/>
                  <w:vAlign w:val="center"/>
                </w:tcPr>
                <w:p w14:paraId="7283FCEC">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eastAsia"/>
                      <w:color w:val="auto"/>
                      <w:szCs w:val="21"/>
                    </w:rPr>
                    <w:t>就近乡镇村庄拉运</w:t>
                  </w:r>
                </w:p>
              </w:tc>
            </w:tr>
          </w:tbl>
          <w:p w14:paraId="77BECF93">
            <w:pPr>
              <w:keepNext w:val="0"/>
              <w:keepLines w:val="0"/>
              <w:suppressLineNumbers w:val="0"/>
              <w:adjustRightInd w:val="0"/>
              <w:snapToGrid w:val="0"/>
              <w:spacing w:before="0" w:beforeAutospacing="0" w:after="0" w:afterAutospacing="0" w:line="360" w:lineRule="auto"/>
              <w:ind w:left="0" w:right="0" w:firstLine="482" w:firstLineChars="200"/>
              <w:rPr>
                <w:rFonts w:hint="default"/>
                <w:b/>
                <w:color w:val="auto"/>
                <w:sz w:val="24"/>
              </w:rPr>
            </w:pPr>
            <w:r>
              <w:rPr>
                <w:rFonts w:hint="eastAsia"/>
                <w:b/>
                <w:color w:val="auto"/>
                <w:sz w:val="24"/>
              </w:rPr>
              <w:t>3</w:t>
            </w:r>
            <w:r>
              <w:rPr>
                <w:rFonts w:hint="default"/>
                <w:b/>
                <w:color w:val="auto"/>
                <w:sz w:val="24"/>
              </w:rPr>
              <w:t>、劳动定员及工作制度</w:t>
            </w:r>
          </w:p>
          <w:p w14:paraId="3058E092">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井场设置办公及生活区，不再另选场地设置施工营地。项目劳动定员40人，</w:t>
            </w:r>
            <w:r>
              <w:rPr>
                <w:rFonts w:hint="eastAsia"/>
                <w:color w:val="auto"/>
                <w:sz w:val="24"/>
              </w:rPr>
              <w:t>勘探过程为连续24小时作业，三班制，</w:t>
            </w:r>
            <w:r>
              <w:rPr>
                <w:rFonts w:hint="eastAsia"/>
                <w:color w:val="auto"/>
                <w:sz w:val="24"/>
                <w:lang w:eastAsia="zh-CN"/>
              </w:rPr>
              <w:t>其中一班值班时，剩余两班人员依托</w:t>
            </w:r>
            <w:r>
              <w:rPr>
                <w:rFonts w:hint="eastAsia"/>
                <w:color w:val="auto"/>
                <w:sz w:val="24"/>
                <w:lang w:eastAsia="zh-CN"/>
              </w:rPr>
              <w:t>附近</w:t>
            </w:r>
            <w:r>
              <w:rPr>
                <w:rFonts w:hint="eastAsia"/>
                <w:color w:val="auto"/>
                <w:sz w:val="24"/>
                <w:lang w:eastAsia="zh-CN"/>
              </w:rPr>
              <w:t>村庄民房，</w:t>
            </w:r>
            <w:r>
              <w:rPr>
                <w:rFonts w:hint="eastAsia"/>
                <w:color w:val="auto"/>
                <w:sz w:val="24"/>
              </w:rPr>
              <w:t>每班8小时，施工</w:t>
            </w:r>
            <w:r>
              <w:rPr>
                <w:rFonts w:hint="default"/>
                <w:color w:val="auto"/>
                <w:sz w:val="24"/>
              </w:rPr>
              <w:t>期为</w:t>
            </w:r>
            <w:r>
              <w:rPr>
                <w:rFonts w:hint="eastAsia"/>
                <w:color w:val="auto"/>
                <w:sz w:val="24"/>
              </w:rPr>
              <w:t>60d</w:t>
            </w:r>
            <w:r>
              <w:rPr>
                <w:rFonts w:hint="default"/>
                <w:color w:val="auto"/>
                <w:sz w:val="24"/>
              </w:rPr>
              <w:t>。</w:t>
            </w:r>
          </w:p>
          <w:p w14:paraId="58393100">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sz w:val="24"/>
              </w:rPr>
            </w:pPr>
            <w:r>
              <w:rPr>
                <w:rFonts w:hint="eastAsia"/>
                <w:b/>
                <w:color w:val="auto"/>
                <w:sz w:val="24"/>
              </w:rPr>
              <w:t>4、工程用地</w:t>
            </w:r>
          </w:p>
          <w:p w14:paraId="65DBA292">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highlight w:val="none"/>
              </w:rPr>
            </w:pPr>
            <w:r>
              <w:rPr>
                <w:rFonts w:hint="eastAsia"/>
                <w:color w:val="auto"/>
                <w:sz w:val="24"/>
                <w:highlight w:val="none"/>
              </w:rPr>
              <w:t>202</w:t>
            </w:r>
            <w:r>
              <w:rPr>
                <w:rFonts w:hint="eastAsia"/>
                <w:color w:val="auto"/>
                <w:sz w:val="24"/>
                <w:highlight w:val="none"/>
                <w:lang w:val="en-US" w:eastAsia="zh-CN"/>
              </w:rPr>
              <w:t>4</w:t>
            </w:r>
            <w:r>
              <w:rPr>
                <w:rFonts w:hint="eastAsia"/>
                <w:color w:val="auto"/>
                <w:sz w:val="24"/>
                <w:highlight w:val="none"/>
              </w:rPr>
              <w:t>年</w:t>
            </w:r>
            <w:r>
              <w:rPr>
                <w:rFonts w:hint="eastAsia"/>
                <w:color w:val="auto"/>
                <w:sz w:val="24"/>
                <w:highlight w:val="none"/>
                <w:lang w:val="en-US" w:eastAsia="zh-CN"/>
              </w:rPr>
              <w:t>11</w:t>
            </w:r>
            <w:r>
              <w:rPr>
                <w:rFonts w:hint="eastAsia"/>
                <w:color w:val="auto"/>
                <w:sz w:val="24"/>
                <w:highlight w:val="none"/>
              </w:rPr>
              <w:t>月</w:t>
            </w:r>
            <w:r>
              <w:rPr>
                <w:rFonts w:hint="eastAsia"/>
                <w:color w:val="auto"/>
                <w:sz w:val="24"/>
                <w:highlight w:val="none"/>
                <w:lang w:val="en-US" w:eastAsia="zh-CN"/>
              </w:rPr>
              <w:t>19</w:t>
            </w:r>
            <w:r>
              <w:rPr>
                <w:rFonts w:hint="eastAsia"/>
                <w:color w:val="auto"/>
                <w:sz w:val="24"/>
                <w:highlight w:val="none"/>
              </w:rPr>
              <w:t>日巴彦淖尔市自然资源局下发《</w:t>
            </w:r>
            <w:r>
              <w:rPr>
                <w:rFonts w:hint="eastAsia"/>
                <w:color w:val="auto"/>
                <w:sz w:val="24"/>
                <w:highlight w:val="none"/>
                <w:lang w:eastAsia="zh-CN"/>
              </w:rPr>
              <w:t>巴彦淖尔市自然资源局关于中国石油天然气股份有限公司华北油田巴彦勘探开发分公司扎格6井项目临时用地的批复</w:t>
            </w:r>
            <w:r>
              <w:rPr>
                <w:rFonts w:hint="eastAsia"/>
                <w:color w:val="auto"/>
                <w:sz w:val="24"/>
                <w:highlight w:val="none"/>
              </w:rPr>
              <w:t>》（</w:t>
            </w:r>
            <w:r>
              <w:rPr>
                <w:rFonts w:hint="eastAsia"/>
                <w:color w:val="auto"/>
                <w:sz w:val="24"/>
                <w:highlight w:val="none"/>
                <w:lang w:eastAsia="zh-CN"/>
              </w:rPr>
              <w:t>巴自然资字〔2024〕85号</w:t>
            </w:r>
            <w:r>
              <w:rPr>
                <w:rFonts w:hint="eastAsia"/>
                <w:color w:val="auto"/>
                <w:sz w:val="24"/>
                <w:highlight w:val="none"/>
              </w:rPr>
              <w:t>），同意</w:t>
            </w:r>
            <w:r>
              <w:rPr>
                <w:rFonts w:hint="eastAsia"/>
                <w:color w:val="auto"/>
                <w:sz w:val="24"/>
                <w:highlight w:val="none"/>
                <w:lang w:eastAsia="zh-CN"/>
              </w:rPr>
              <w:t>扎格</w:t>
            </w:r>
            <w:r>
              <w:rPr>
                <w:rFonts w:hint="eastAsia"/>
                <w:color w:val="auto"/>
                <w:sz w:val="24"/>
                <w:highlight w:val="none"/>
                <w:lang w:val="en-US" w:eastAsia="zh-CN"/>
              </w:rPr>
              <w:t>6</w:t>
            </w:r>
            <w:r>
              <w:rPr>
                <w:rFonts w:hint="eastAsia"/>
                <w:color w:val="auto"/>
                <w:sz w:val="24"/>
                <w:highlight w:val="none"/>
              </w:rPr>
              <w:t>井临时用地。</w:t>
            </w:r>
          </w:p>
          <w:p w14:paraId="3047BEE1">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highlight w:val="none"/>
              </w:rPr>
            </w:pPr>
            <w:r>
              <w:rPr>
                <w:rFonts w:hint="eastAsia"/>
                <w:color w:val="auto"/>
                <w:sz w:val="24"/>
                <w:highlight w:val="none"/>
              </w:rPr>
              <w:t>根据现场踏勘，</w:t>
            </w:r>
            <w:r>
              <w:rPr>
                <w:rFonts w:hint="eastAsia"/>
                <w:color w:val="auto"/>
                <w:sz w:val="24"/>
                <w:highlight w:val="none"/>
                <w:lang w:eastAsia="zh-CN"/>
              </w:rPr>
              <w:t>扎格6</w:t>
            </w:r>
            <w:r>
              <w:rPr>
                <w:rFonts w:hint="eastAsia"/>
                <w:color w:val="auto"/>
                <w:sz w:val="24"/>
                <w:highlight w:val="none"/>
              </w:rPr>
              <w:t>井位于</w:t>
            </w:r>
            <w:r>
              <w:rPr>
                <w:rFonts w:hint="eastAsia"/>
                <w:color w:val="auto"/>
                <w:sz w:val="24"/>
                <w:highlight w:val="none"/>
                <w:lang w:eastAsia="zh-CN"/>
              </w:rPr>
              <w:t>磴口县哈腾套海农场，</w:t>
            </w:r>
            <w:r>
              <w:rPr>
                <w:rFonts w:hint="eastAsia"/>
                <w:color w:val="auto"/>
                <w:sz w:val="24"/>
                <w:highlight w:val="none"/>
              </w:rPr>
              <w:t>井场四至均为</w:t>
            </w:r>
            <w:r>
              <w:rPr>
                <w:rFonts w:hint="eastAsia"/>
                <w:color w:val="auto"/>
                <w:sz w:val="24"/>
                <w:highlight w:val="none"/>
                <w:lang w:eastAsia="zh-CN"/>
              </w:rPr>
              <w:t>农用地</w:t>
            </w:r>
            <w:r>
              <w:rPr>
                <w:rFonts w:hint="eastAsia"/>
                <w:color w:val="auto"/>
                <w:sz w:val="24"/>
                <w:highlight w:val="none"/>
              </w:rPr>
              <w:t>，</w:t>
            </w:r>
            <w:r>
              <w:rPr>
                <w:rFonts w:hint="default"/>
                <w:color w:val="auto"/>
                <w:sz w:val="24"/>
                <w:highlight w:val="none"/>
              </w:rPr>
              <w:t>总占地面积</w:t>
            </w:r>
            <w:r>
              <w:rPr>
                <w:rFonts w:hint="eastAsia"/>
                <w:color w:val="auto"/>
                <w:sz w:val="24"/>
                <w:highlight w:val="none"/>
                <w:lang w:val="en-US" w:eastAsia="zh-CN"/>
              </w:rPr>
              <w:t>16709</w:t>
            </w:r>
            <w:r>
              <w:rPr>
                <w:rFonts w:hint="default"/>
                <w:color w:val="auto"/>
                <w:sz w:val="24"/>
                <w:highlight w:val="none"/>
              </w:rPr>
              <w:t>m</w:t>
            </w:r>
            <w:r>
              <w:rPr>
                <w:rFonts w:hint="default"/>
                <w:color w:val="auto"/>
                <w:sz w:val="24"/>
                <w:highlight w:val="none"/>
                <w:vertAlign w:val="superscript"/>
              </w:rPr>
              <w:t>2</w:t>
            </w:r>
            <w:r>
              <w:rPr>
                <w:rFonts w:hint="eastAsia"/>
                <w:color w:val="auto"/>
                <w:sz w:val="24"/>
                <w:highlight w:val="none"/>
              </w:rPr>
              <w:t>，</w:t>
            </w:r>
            <w:r>
              <w:rPr>
                <w:rFonts w:hint="default"/>
                <w:color w:val="auto"/>
                <w:sz w:val="24"/>
                <w:highlight w:val="none"/>
              </w:rPr>
              <w:t>其中井场占地面积</w:t>
            </w:r>
            <w:r>
              <w:rPr>
                <w:rFonts w:hint="eastAsia"/>
                <w:color w:val="auto"/>
                <w:sz w:val="24"/>
                <w:highlight w:val="none"/>
                <w:lang w:val="en-US" w:eastAsia="zh-CN"/>
              </w:rPr>
              <w:t>13514</w:t>
            </w:r>
            <w:r>
              <w:rPr>
                <w:rFonts w:hint="eastAsia"/>
                <w:color w:val="auto"/>
                <w:sz w:val="24"/>
                <w:highlight w:val="none"/>
              </w:rPr>
              <w:t>m</w:t>
            </w:r>
            <w:r>
              <w:rPr>
                <w:rFonts w:hint="eastAsia"/>
                <w:color w:val="auto"/>
                <w:sz w:val="24"/>
                <w:highlight w:val="none"/>
                <w:vertAlign w:val="superscript"/>
              </w:rPr>
              <w:t>2</w:t>
            </w:r>
            <w:r>
              <w:rPr>
                <w:rFonts w:hint="eastAsia"/>
                <w:color w:val="auto"/>
                <w:sz w:val="24"/>
                <w:highlight w:val="none"/>
                <w:vertAlign w:val="baseline"/>
                <w:lang w:eastAsia="zh-CN"/>
              </w:rPr>
              <w:t>，临时道路占地为</w:t>
            </w:r>
            <w:r>
              <w:rPr>
                <w:rFonts w:hint="eastAsia"/>
                <w:color w:val="auto"/>
                <w:sz w:val="24"/>
                <w:highlight w:val="none"/>
                <w:vertAlign w:val="baseline"/>
                <w:lang w:val="en-US" w:eastAsia="zh-CN"/>
              </w:rPr>
              <w:t>3195</w:t>
            </w:r>
            <w:r>
              <w:rPr>
                <w:rFonts w:hint="eastAsia"/>
                <w:color w:val="auto"/>
                <w:szCs w:val="21"/>
                <w:highlight w:val="none"/>
              </w:rPr>
              <w:t>m</w:t>
            </w:r>
            <w:r>
              <w:rPr>
                <w:rFonts w:hint="eastAsia"/>
                <w:color w:val="auto"/>
                <w:szCs w:val="21"/>
                <w:highlight w:val="none"/>
                <w:vertAlign w:val="superscript"/>
              </w:rPr>
              <w:t>2</w:t>
            </w:r>
            <w:r>
              <w:rPr>
                <w:rFonts w:hint="eastAsia"/>
                <w:color w:val="auto"/>
                <w:sz w:val="24"/>
                <w:highlight w:val="none"/>
                <w:vertAlign w:val="baseline"/>
                <w:lang w:eastAsia="zh-CN"/>
              </w:rPr>
              <w:t>。</w:t>
            </w:r>
          </w:p>
          <w:p w14:paraId="40EE8577">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highlight w:val="none"/>
              </w:rPr>
            </w:pPr>
            <w:r>
              <w:rPr>
                <w:rFonts w:hint="eastAsia"/>
                <w:color w:val="auto"/>
                <w:sz w:val="24"/>
                <w:highlight w:val="none"/>
                <w:lang w:eastAsia="zh-CN"/>
              </w:rPr>
              <w:t>扎格6井占用土</w:t>
            </w:r>
            <w:r>
              <w:rPr>
                <w:rFonts w:hint="eastAsia"/>
                <w:color w:val="auto"/>
                <w:sz w:val="22"/>
                <w:szCs w:val="22"/>
                <w:highlight w:val="none"/>
                <w:lang w:eastAsia="zh-CN"/>
              </w:rPr>
              <w:t>地</w:t>
            </w:r>
            <w:r>
              <w:rPr>
                <w:rFonts w:hint="eastAsia"/>
                <w:color w:val="auto"/>
                <w:sz w:val="24"/>
                <w:highlight w:val="none"/>
              </w:rPr>
              <w:t>类型为</w:t>
            </w:r>
            <w:r>
              <w:rPr>
                <w:rFonts w:hint="eastAsia"/>
                <w:color w:val="auto"/>
                <w:sz w:val="24"/>
                <w:highlight w:val="none"/>
                <w:lang w:eastAsia="zh-CN"/>
              </w:rPr>
              <w:t>农用地</w:t>
            </w:r>
            <w:r>
              <w:rPr>
                <w:rFonts w:hint="eastAsia"/>
                <w:color w:val="auto"/>
                <w:sz w:val="24"/>
                <w:highlight w:val="none"/>
              </w:rPr>
              <w:t>，土地利用现状为</w:t>
            </w:r>
            <w:r>
              <w:rPr>
                <w:rFonts w:hint="eastAsia"/>
                <w:color w:val="auto"/>
                <w:sz w:val="24"/>
                <w:highlight w:val="none"/>
                <w:lang w:eastAsia="zh-CN"/>
              </w:rPr>
              <w:t>耕地</w:t>
            </w:r>
            <w:r>
              <w:rPr>
                <w:rFonts w:hint="eastAsia"/>
                <w:color w:val="auto"/>
                <w:sz w:val="24"/>
                <w:highlight w:val="none"/>
              </w:rPr>
              <w:t>，施工结束后恢复原有植被状态。</w:t>
            </w:r>
          </w:p>
          <w:p w14:paraId="472173DF">
            <w:pPr>
              <w:keepNext w:val="0"/>
              <w:keepLines w:val="0"/>
              <w:suppressLineNumbers w:val="0"/>
              <w:spacing w:before="0" w:beforeAutospacing="0" w:after="0" w:afterAutospacing="0"/>
              <w:ind w:left="0" w:right="0"/>
              <w:jc w:val="center"/>
              <w:rPr>
                <w:rFonts w:hint="eastAsia"/>
                <w:b/>
                <w:color w:val="auto"/>
                <w:sz w:val="24"/>
                <w:highlight w:val="none"/>
              </w:rPr>
            </w:pPr>
            <w:r>
              <w:rPr>
                <w:rFonts w:hint="eastAsia"/>
                <w:b/>
                <w:color w:val="auto"/>
                <w:sz w:val="24"/>
                <w:highlight w:val="none"/>
              </w:rPr>
              <w:t>表2-6 项目临时用地情况表</w:t>
            </w:r>
          </w:p>
          <w:tbl>
            <w:tblPr>
              <w:tblStyle w:val="30"/>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875"/>
              <w:gridCol w:w="1052"/>
              <w:gridCol w:w="1209"/>
              <w:gridCol w:w="1783"/>
              <w:gridCol w:w="1850"/>
              <w:gridCol w:w="1601"/>
            </w:tblGrid>
            <w:tr w14:paraId="1364CED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23" w:type="pct"/>
                  <w:vMerge w:val="restart"/>
                  <w:noWrap w:val="0"/>
                  <w:vAlign w:val="center"/>
                </w:tcPr>
                <w:p w14:paraId="25D97A64">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井号</w:t>
                  </w:r>
                </w:p>
              </w:tc>
              <w:tc>
                <w:tcPr>
                  <w:tcW w:w="628" w:type="pct"/>
                  <w:vMerge w:val="restart"/>
                  <w:noWrap w:val="0"/>
                  <w:vAlign w:val="center"/>
                </w:tcPr>
                <w:p w14:paraId="32DD8029">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井别</w:t>
                  </w:r>
                </w:p>
              </w:tc>
              <w:tc>
                <w:tcPr>
                  <w:tcW w:w="722" w:type="pct"/>
                  <w:vMerge w:val="restart"/>
                  <w:noWrap w:val="0"/>
                  <w:vAlign w:val="center"/>
                </w:tcPr>
                <w:p w14:paraId="2C7AA95C">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设计井深m</w:t>
                  </w:r>
                </w:p>
              </w:tc>
              <w:tc>
                <w:tcPr>
                  <w:tcW w:w="2170" w:type="pct"/>
                  <w:gridSpan w:val="2"/>
                  <w:tcBorders>
                    <w:bottom w:val="single" w:color="auto" w:sz="4" w:space="0"/>
                  </w:tcBorders>
                  <w:noWrap w:val="0"/>
                  <w:vAlign w:val="center"/>
                </w:tcPr>
                <w:p w14:paraId="2F67727D">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占地面积m</w:t>
                  </w:r>
                  <w:r>
                    <w:rPr>
                      <w:rFonts w:hint="eastAsia"/>
                      <w:color w:val="auto"/>
                      <w:szCs w:val="21"/>
                      <w:highlight w:val="none"/>
                      <w:vertAlign w:val="superscript"/>
                    </w:rPr>
                    <w:t>2</w:t>
                  </w:r>
                </w:p>
              </w:tc>
              <w:tc>
                <w:tcPr>
                  <w:tcW w:w="956" w:type="pct"/>
                  <w:vMerge w:val="restart"/>
                  <w:noWrap w:val="0"/>
                  <w:vAlign w:val="center"/>
                </w:tcPr>
                <w:p w14:paraId="206B1054">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占地类型</w:t>
                  </w:r>
                </w:p>
              </w:tc>
            </w:tr>
            <w:tr w14:paraId="469BC41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23" w:type="pct"/>
                  <w:vMerge w:val="continue"/>
                  <w:noWrap w:val="0"/>
                  <w:vAlign w:val="center"/>
                </w:tcPr>
                <w:p w14:paraId="65C22311">
                  <w:pPr>
                    <w:keepNext w:val="0"/>
                    <w:keepLines w:val="0"/>
                    <w:suppressLineNumbers w:val="0"/>
                    <w:spacing w:before="0" w:beforeAutospacing="0" w:after="0" w:afterAutospacing="0"/>
                    <w:ind w:left="0" w:right="0"/>
                    <w:jc w:val="center"/>
                    <w:rPr>
                      <w:rFonts w:hint="eastAsia"/>
                      <w:color w:val="auto"/>
                      <w:szCs w:val="21"/>
                      <w:highlight w:val="none"/>
                    </w:rPr>
                  </w:pPr>
                </w:p>
              </w:tc>
              <w:tc>
                <w:tcPr>
                  <w:tcW w:w="628" w:type="pct"/>
                  <w:vMerge w:val="continue"/>
                  <w:noWrap w:val="0"/>
                  <w:vAlign w:val="center"/>
                </w:tcPr>
                <w:p w14:paraId="48F47EAA">
                  <w:pPr>
                    <w:keepNext w:val="0"/>
                    <w:keepLines w:val="0"/>
                    <w:suppressLineNumbers w:val="0"/>
                    <w:spacing w:before="0" w:beforeAutospacing="0" w:after="0" w:afterAutospacing="0"/>
                    <w:ind w:left="0" w:right="0"/>
                    <w:jc w:val="center"/>
                    <w:rPr>
                      <w:rFonts w:hint="eastAsia"/>
                      <w:color w:val="auto"/>
                      <w:szCs w:val="21"/>
                      <w:highlight w:val="none"/>
                    </w:rPr>
                  </w:pPr>
                </w:p>
              </w:tc>
              <w:tc>
                <w:tcPr>
                  <w:tcW w:w="722" w:type="pct"/>
                  <w:vMerge w:val="continue"/>
                  <w:noWrap w:val="0"/>
                  <w:vAlign w:val="center"/>
                </w:tcPr>
                <w:p w14:paraId="1667E763">
                  <w:pPr>
                    <w:keepNext w:val="0"/>
                    <w:keepLines w:val="0"/>
                    <w:suppressLineNumbers w:val="0"/>
                    <w:spacing w:before="0" w:beforeAutospacing="0" w:after="0" w:afterAutospacing="0"/>
                    <w:ind w:left="0" w:right="0"/>
                    <w:jc w:val="center"/>
                    <w:rPr>
                      <w:rFonts w:hint="eastAsia"/>
                      <w:color w:val="auto"/>
                      <w:szCs w:val="21"/>
                      <w:highlight w:val="none"/>
                    </w:rPr>
                  </w:pPr>
                </w:p>
              </w:tc>
              <w:tc>
                <w:tcPr>
                  <w:tcW w:w="1065" w:type="pct"/>
                  <w:tcBorders>
                    <w:top w:val="single" w:color="auto" w:sz="4" w:space="0"/>
                    <w:right w:val="single" w:color="auto" w:sz="4" w:space="0"/>
                  </w:tcBorders>
                  <w:noWrap w:val="0"/>
                  <w:vAlign w:val="center"/>
                </w:tcPr>
                <w:p w14:paraId="6FFABF93">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井场</w:t>
                  </w:r>
                </w:p>
              </w:tc>
              <w:tc>
                <w:tcPr>
                  <w:tcW w:w="1104" w:type="pct"/>
                  <w:tcBorders>
                    <w:top w:val="single" w:color="auto" w:sz="4" w:space="0"/>
                    <w:left w:val="single" w:color="auto" w:sz="4" w:space="0"/>
                  </w:tcBorders>
                  <w:noWrap w:val="0"/>
                  <w:vAlign w:val="center"/>
                </w:tcPr>
                <w:p w14:paraId="527EFF80">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szCs w:val="21"/>
                      <w:highlight w:val="none"/>
                    </w:rPr>
                    <w:t>进场</w:t>
                  </w:r>
                  <w:r>
                    <w:rPr>
                      <w:rFonts w:hint="default"/>
                      <w:color w:val="auto"/>
                      <w:szCs w:val="21"/>
                      <w:highlight w:val="none"/>
                    </w:rPr>
                    <w:t>道路</w:t>
                  </w:r>
                </w:p>
              </w:tc>
              <w:tc>
                <w:tcPr>
                  <w:tcW w:w="956" w:type="pct"/>
                  <w:vMerge w:val="continue"/>
                  <w:noWrap w:val="0"/>
                  <w:vAlign w:val="top"/>
                </w:tcPr>
                <w:p w14:paraId="1493D342">
                  <w:pPr>
                    <w:keepNext w:val="0"/>
                    <w:keepLines w:val="0"/>
                    <w:suppressLineNumbers w:val="0"/>
                    <w:spacing w:before="0" w:beforeAutospacing="0" w:after="0" w:afterAutospacing="0"/>
                    <w:ind w:left="0" w:right="0"/>
                    <w:jc w:val="center"/>
                    <w:rPr>
                      <w:rFonts w:hint="eastAsia"/>
                      <w:color w:val="auto"/>
                      <w:szCs w:val="21"/>
                      <w:highlight w:val="none"/>
                    </w:rPr>
                  </w:pPr>
                </w:p>
              </w:tc>
            </w:tr>
            <w:tr w14:paraId="006F311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523" w:type="pct"/>
                  <w:noWrap w:val="0"/>
                  <w:vAlign w:val="center"/>
                </w:tcPr>
                <w:p w14:paraId="7A0CD3AE">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eastAsia="zh-CN"/>
                    </w:rPr>
                    <w:t>扎格6</w:t>
                  </w:r>
                  <w:r>
                    <w:rPr>
                      <w:rFonts w:hint="eastAsia"/>
                      <w:color w:val="auto"/>
                      <w:szCs w:val="21"/>
                      <w:highlight w:val="none"/>
                      <w:lang w:val="en-US" w:eastAsia="zh-CN"/>
                    </w:rPr>
                    <w:t>井</w:t>
                  </w:r>
                </w:p>
              </w:tc>
              <w:tc>
                <w:tcPr>
                  <w:tcW w:w="628" w:type="pct"/>
                  <w:noWrap w:val="0"/>
                  <w:vAlign w:val="center"/>
                </w:tcPr>
                <w:p w14:paraId="083ADA89">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rPr>
                  </w:pPr>
                  <w:r>
                    <w:rPr>
                      <w:rFonts w:hint="eastAsia"/>
                      <w:color w:val="auto"/>
                      <w:szCs w:val="21"/>
                      <w:highlight w:val="none"/>
                    </w:rPr>
                    <w:t>探</w:t>
                  </w:r>
                  <w:r>
                    <w:rPr>
                      <w:rFonts w:hint="eastAsia"/>
                      <w:color w:val="auto"/>
                      <w:szCs w:val="21"/>
                      <w:highlight w:val="none"/>
                      <w:lang w:eastAsia="zh-CN"/>
                    </w:rPr>
                    <w:t>评</w:t>
                  </w:r>
                  <w:r>
                    <w:rPr>
                      <w:rFonts w:hint="eastAsia"/>
                      <w:color w:val="auto"/>
                      <w:szCs w:val="21"/>
                      <w:highlight w:val="none"/>
                    </w:rPr>
                    <w:t>井</w:t>
                  </w:r>
                </w:p>
              </w:tc>
              <w:tc>
                <w:tcPr>
                  <w:tcW w:w="722" w:type="pct"/>
                  <w:noWrap w:val="0"/>
                  <w:vAlign w:val="center"/>
                </w:tcPr>
                <w:p w14:paraId="0995F542">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6600</w:t>
                  </w:r>
                </w:p>
              </w:tc>
              <w:tc>
                <w:tcPr>
                  <w:tcW w:w="1065" w:type="pct"/>
                  <w:tcBorders>
                    <w:right w:val="single" w:color="auto" w:sz="4" w:space="0"/>
                  </w:tcBorders>
                  <w:noWrap w:val="0"/>
                  <w:vAlign w:val="center"/>
                </w:tcPr>
                <w:p w14:paraId="3602D618">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13514</w:t>
                  </w:r>
                </w:p>
              </w:tc>
              <w:tc>
                <w:tcPr>
                  <w:tcW w:w="1104" w:type="pct"/>
                  <w:tcBorders>
                    <w:left w:val="single" w:color="auto" w:sz="4" w:space="0"/>
                  </w:tcBorders>
                  <w:noWrap w:val="0"/>
                  <w:vAlign w:val="center"/>
                </w:tcPr>
                <w:p w14:paraId="4E4B149C">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3195</w:t>
                  </w:r>
                </w:p>
              </w:tc>
              <w:tc>
                <w:tcPr>
                  <w:tcW w:w="956" w:type="pct"/>
                  <w:noWrap w:val="0"/>
                  <w:vAlign w:val="center"/>
                </w:tcPr>
                <w:p w14:paraId="3FF8C27D">
                  <w:pPr>
                    <w:keepNext w:val="0"/>
                    <w:keepLines w:val="0"/>
                    <w:suppressLineNumbers w:val="0"/>
                    <w:adjustRightInd w:val="0"/>
                    <w:snapToGrid w:val="0"/>
                    <w:spacing w:before="0" w:beforeAutospacing="0" w:after="0" w:afterAutospacing="0"/>
                    <w:ind w:left="0" w:right="0"/>
                    <w:jc w:val="center"/>
                    <w:rPr>
                      <w:rFonts w:hint="eastAsia" w:eastAsia="宋体"/>
                      <w:color w:val="auto"/>
                      <w:szCs w:val="21"/>
                      <w:highlight w:val="none"/>
                      <w:lang w:eastAsia="zh-CN"/>
                    </w:rPr>
                  </w:pPr>
                  <w:r>
                    <w:rPr>
                      <w:rFonts w:hint="eastAsia"/>
                      <w:color w:val="auto"/>
                      <w:szCs w:val="21"/>
                      <w:highlight w:val="none"/>
                      <w:lang w:eastAsia="zh-CN"/>
                    </w:rPr>
                    <w:t>农用地</w:t>
                  </w:r>
                </w:p>
              </w:tc>
            </w:tr>
          </w:tbl>
          <w:p w14:paraId="118374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center"/>
              <w:textAlignment w:val="auto"/>
              <w:rPr>
                <w:rFonts w:hint="eastAsia"/>
                <w:b/>
                <w:color w:val="auto"/>
                <w:sz w:val="24"/>
                <w:lang w:val="en-US" w:eastAsia="zh-CN"/>
              </w:rPr>
            </w:pPr>
            <w:r>
              <w:rPr>
                <w:rFonts w:hint="eastAsia"/>
                <w:b/>
                <w:color w:val="auto"/>
                <w:sz w:val="24"/>
                <w:lang w:val="en-US" w:eastAsia="zh-CN"/>
              </w:rPr>
              <w:t>续表2-6 井场占地情况表</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83"/>
              <w:gridCol w:w="4093"/>
              <w:gridCol w:w="2791"/>
            </w:tblGrid>
            <w:tr w14:paraId="7E982F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86" w:type="pct"/>
                  <w:tcBorders>
                    <w:tl2br w:val="nil"/>
                    <w:tr2bl w:val="nil"/>
                  </w:tcBorders>
                  <w:noWrap w:val="0"/>
                  <w:vAlign w:val="center"/>
                </w:tcPr>
                <w:p w14:paraId="75FFD8EA">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序号</w:t>
                  </w:r>
                </w:p>
              </w:tc>
              <w:tc>
                <w:tcPr>
                  <w:tcW w:w="2445" w:type="pct"/>
                  <w:tcBorders>
                    <w:tl2br w:val="nil"/>
                    <w:tr2bl w:val="nil"/>
                  </w:tcBorders>
                  <w:noWrap w:val="0"/>
                  <w:vAlign w:val="center"/>
                </w:tcPr>
                <w:p w14:paraId="66A73BCB">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占地名称</w:t>
                  </w:r>
                </w:p>
              </w:tc>
              <w:tc>
                <w:tcPr>
                  <w:tcW w:w="1667" w:type="pct"/>
                  <w:tcBorders>
                    <w:tl2br w:val="nil"/>
                    <w:tr2bl w:val="nil"/>
                  </w:tcBorders>
                  <w:noWrap w:val="0"/>
                  <w:vAlign w:val="center"/>
                </w:tcPr>
                <w:p w14:paraId="44BD8C09">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面积</w:t>
                  </w:r>
                </w:p>
              </w:tc>
            </w:tr>
            <w:tr w14:paraId="79908D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86" w:type="pct"/>
                  <w:tcBorders>
                    <w:tl2br w:val="nil"/>
                    <w:tr2bl w:val="nil"/>
                  </w:tcBorders>
                  <w:noWrap w:val="0"/>
                  <w:vAlign w:val="center"/>
                </w:tcPr>
                <w:p w14:paraId="4F931980">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p>
              </w:tc>
              <w:tc>
                <w:tcPr>
                  <w:tcW w:w="2445" w:type="pct"/>
                  <w:tcBorders>
                    <w:tl2br w:val="nil"/>
                    <w:tr2bl w:val="nil"/>
                  </w:tcBorders>
                  <w:noWrap w:val="0"/>
                  <w:vAlign w:val="center"/>
                </w:tcPr>
                <w:p w14:paraId="0CDC5E86">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eastAsia="zh-CN"/>
                    </w:rPr>
                    <w:t>表土堆存</w:t>
                  </w:r>
                  <w:r>
                    <w:rPr>
                      <w:rFonts w:hint="eastAsia" w:ascii="Times New Roman" w:hAnsi="Times New Roman" w:eastAsia="宋体" w:cs="Times New Roman"/>
                      <w:b w:val="0"/>
                      <w:bCs/>
                      <w:color w:val="auto"/>
                      <w:sz w:val="21"/>
                      <w:szCs w:val="21"/>
                      <w:lang w:eastAsia="zh-CN"/>
                    </w:rPr>
                    <w:t>区</w:t>
                  </w:r>
                </w:p>
              </w:tc>
              <w:tc>
                <w:tcPr>
                  <w:tcW w:w="1667" w:type="pct"/>
                  <w:tcBorders>
                    <w:tl2br w:val="nil"/>
                    <w:tr2bl w:val="nil"/>
                  </w:tcBorders>
                  <w:noWrap w:val="0"/>
                  <w:vAlign w:val="center"/>
                </w:tcPr>
                <w:p w14:paraId="1771B14E">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2475</w:t>
                  </w:r>
                </w:p>
              </w:tc>
            </w:tr>
            <w:tr w14:paraId="109E6B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86" w:type="pct"/>
                  <w:tcBorders>
                    <w:tl2br w:val="nil"/>
                    <w:tr2bl w:val="nil"/>
                  </w:tcBorders>
                  <w:noWrap w:val="0"/>
                  <w:vAlign w:val="center"/>
                </w:tcPr>
                <w:p w14:paraId="66D4C653">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w:t>
                  </w:r>
                </w:p>
              </w:tc>
              <w:tc>
                <w:tcPr>
                  <w:tcW w:w="2445" w:type="pct"/>
                  <w:tcBorders>
                    <w:tl2br w:val="nil"/>
                    <w:tr2bl w:val="nil"/>
                  </w:tcBorders>
                  <w:noWrap w:val="0"/>
                  <w:vAlign w:val="center"/>
                </w:tcPr>
                <w:p w14:paraId="08FE5A27">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原料堆存</w:t>
                  </w:r>
                  <w:r>
                    <w:rPr>
                      <w:rFonts w:hint="eastAsia" w:ascii="Times New Roman" w:hAnsi="Times New Roman" w:eastAsia="宋体" w:cs="Times New Roman"/>
                      <w:b w:val="0"/>
                      <w:bCs/>
                      <w:color w:val="auto"/>
                      <w:sz w:val="21"/>
                      <w:szCs w:val="21"/>
                      <w:lang w:val="en-US" w:eastAsia="zh-CN"/>
                    </w:rPr>
                    <w:t>区</w:t>
                  </w:r>
                </w:p>
              </w:tc>
              <w:tc>
                <w:tcPr>
                  <w:tcW w:w="1667" w:type="pct"/>
                  <w:tcBorders>
                    <w:tl2br w:val="nil"/>
                    <w:tr2bl w:val="nil"/>
                  </w:tcBorders>
                  <w:noWrap w:val="0"/>
                  <w:vAlign w:val="center"/>
                </w:tcPr>
                <w:p w14:paraId="3757C9E1">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100</w:t>
                  </w:r>
                </w:p>
              </w:tc>
            </w:tr>
            <w:tr w14:paraId="14996C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86" w:type="pct"/>
                  <w:tcBorders>
                    <w:tl2br w:val="nil"/>
                    <w:tr2bl w:val="nil"/>
                  </w:tcBorders>
                  <w:noWrap w:val="0"/>
                  <w:vAlign w:val="center"/>
                </w:tcPr>
                <w:p w14:paraId="7293418B">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3</w:t>
                  </w:r>
                </w:p>
              </w:tc>
              <w:tc>
                <w:tcPr>
                  <w:tcW w:w="2445" w:type="pct"/>
                  <w:tcBorders>
                    <w:tl2br w:val="nil"/>
                    <w:tr2bl w:val="nil"/>
                  </w:tcBorders>
                  <w:noWrap w:val="0"/>
                  <w:vAlign w:val="center"/>
                </w:tcPr>
                <w:p w14:paraId="78D00E12">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柴油储</w:t>
                  </w:r>
                  <w:r>
                    <w:rPr>
                      <w:rFonts w:hint="default" w:ascii="Times New Roman" w:hAnsi="Times New Roman" w:eastAsia="宋体" w:cs="Times New Roman"/>
                      <w:b w:val="0"/>
                      <w:bCs/>
                      <w:color w:val="auto"/>
                      <w:sz w:val="21"/>
                      <w:szCs w:val="21"/>
                      <w:lang w:val="en-US" w:eastAsia="zh-CN"/>
                    </w:rPr>
                    <w:t>罐区</w:t>
                  </w:r>
                </w:p>
              </w:tc>
              <w:tc>
                <w:tcPr>
                  <w:tcW w:w="1667" w:type="pct"/>
                  <w:tcBorders>
                    <w:tl2br w:val="nil"/>
                    <w:tr2bl w:val="nil"/>
                  </w:tcBorders>
                  <w:noWrap w:val="0"/>
                  <w:vAlign w:val="center"/>
                </w:tcPr>
                <w:p w14:paraId="00B0B63E">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36</w:t>
                  </w:r>
                </w:p>
              </w:tc>
            </w:tr>
            <w:tr w14:paraId="79DF7A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86" w:type="pct"/>
                  <w:tcBorders>
                    <w:tl2br w:val="nil"/>
                    <w:tr2bl w:val="nil"/>
                  </w:tcBorders>
                  <w:noWrap w:val="0"/>
                  <w:vAlign w:val="center"/>
                </w:tcPr>
                <w:p w14:paraId="5A0625CA">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4</w:t>
                  </w:r>
                </w:p>
              </w:tc>
              <w:tc>
                <w:tcPr>
                  <w:tcW w:w="2445" w:type="pct"/>
                  <w:tcBorders>
                    <w:tl2br w:val="nil"/>
                    <w:tr2bl w:val="nil"/>
                  </w:tcBorders>
                  <w:noWrap w:val="0"/>
                  <w:vAlign w:val="center"/>
                </w:tcPr>
                <w:p w14:paraId="66F77A4F">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危废暂存区</w:t>
                  </w:r>
                </w:p>
              </w:tc>
              <w:tc>
                <w:tcPr>
                  <w:tcW w:w="1667" w:type="pct"/>
                  <w:tcBorders>
                    <w:tl2br w:val="nil"/>
                    <w:tr2bl w:val="nil"/>
                  </w:tcBorders>
                  <w:noWrap w:val="0"/>
                  <w:vAlign w:val="center"/>
                </w:tcPr>
                <w:p w14:paraId="411076CD">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10</w:t>
                  </w:r>
                </w:p>
              </w:tc>
            </w:tr>
            <w:tr w14:paraId="70C597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86" w:type="pct"/>
                  <w:tcBorders>
                    <w:tl2br w:val="nil"/>
                    <w:tr2bl w:val="nil"/>
                  </w:tcBorders>
                  <w:noWrap w:val="0"/>
                  <w:vAlign w:val="center"/>
                </w:tcPr>
                <w:p w14:paraId="784F9188">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5</w:t>
                  </w:r>
                </w:p>
              </w:tc>
              <w:tc>
                <w:tcPr>
                  <w:tcW w:w="2445" w:type="pct"/>
                  <w:tcBorders>
                    <w:tl2br w:val="nil"/>
                    <w:tr2bl w:val="nil"/>
                  </w:tcBorders>
                  <w:noWrap w:val="0"/>
                  <w:vAlign w:val="center"/>
                </w:tcPr>
                <w:p w14:paraId="1361AF64">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eastAsia="zh-CN"/>
                    </w:rPr>
                    <w:t>固废</w:t>
                  </w:r>
                  <w:r>
                    <w:rPr>
                      <w:rFonts w:hint="eastAsia" w:ascii="Times New Roman" w:hAnsi="Times New Roman" w:eastAsia="宋体" w:cs="Times New Roman"/>
                      <w:b w:val="0"/>
                      <w:bCs/>
                      <w:color w:val="auto"/>
                      <w:sz w:val="21"/>
                      <w:szCs w:val="21"/>
                      <w:lang w:eastAsia="zh-CN"/>
                    </w:rPr>
                    <w:t>暂存区</w:t>
                  </w:r>
                </w:p>
              </w:tc>
              <w:tc>
                <w:tcPr>
                  <w:tcW w:w="1667" w:type="pct"/>
                  <w:tcBorders>
                    <w:tl2br w:val="nil"/>
                    <w:tr2bl w:val="nil"/>
                  </w:tcBorders>
                  <w:noWrap w:val="0"/>
                  <w:vAlign w:val="center"/>
                </w:tcPr>
                <w:p w14:paraId="7BB6CBDA">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30</w:t>
                  </w:r>
                </w:p>
              </w:tc>
            </w:tr>
            <w:tr w14:paraId="53A91A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86" w:type="pct"/>
                  <w:tcBorders>
                    <w:tl2br w:val="nil"/>
                    <w:tr2bl w:val="nil"/>
                  </w:tcBorders>
                  <w:noWrap w:val="0"/>
                  <w:vAlign w:val="center"/>
                </w:tcPr>
                <w:p w14:paraId="34608EEC">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6</w:t>
                  </w:r>
                </w:p>
              </w:tc>
              <w:tc>
                <w:tcPr>
                  <w:tcW w:w="2445" w:type="pct"/>
                  <w:tcBorders>
                    <w:tl2br w:val="nil"/>
                    <w:tr2bl w:val="nil"/>
                  </w:tcBorders>
                  <w:noWrap w:val="0"/>
                  <w:vAlign w:val="center"/>
                </w:tcPr>
                <w:p w14:paraId="33AA0D2B">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eastAsia="zh-CN"/>
                    </w:rPr>
                    <w:t>泥浆</w:t>
                  </w:r>
                  <w:r>
                    <w:rPr>
                      <w:rFonts w:hint="default" w:ascii="Times New Roman" w:hAnsi="Times New Roman" w:eastAsia="宋体" w:cs="Times New Roman"/>
                      <w:b w:val="0"/>
                      <w:bCs/>
                      <w:color w:val="auto"/>
                      <w:sz w:val="21"/>
                      <w:szCs w:val="21"/>
                      <w:lang w:eastAsia="zh-CN"/>
                    </w:rPr>
                    <w:t>不落地</w:t>
                  </w:r>
                  <w:r>
                    <w:rPr>
                      <w:rFonts w:hint="eastAsia" w:ascii="Times New Roman" w:hAnsi="Times New Roman" w:eastAsia="宋体" w:cs="Times New Roman"/>
                      <w:b w:val="0"/>
                      <w:bCs/>
                      <w:color w:val="auto"/>
                      <w:sz w:val="21"/>
                      <w:szCs w:val="21"/>
                      <w:lang w:eastAsia="zh-CN"/>
                    </w:rPr>
                    <w:t>装置区</w:t>
                  </w:r>
                </w:p>
              </w:tc>
              <w:tc>
                <w:tcPr>
                  <w:tcW w:w="1667" w:type="pct"/>
                  <w:tcBorders>
                    <w:tl2br w:val="nil"/>
                    <w:tr2bl w:val="nil"/>
                  </w:tcBorders>
                  <w:noWrap w:val="0"/>
                  <w:vAlign w:val="center"/>
                </w:tcPr>
                <w:p w14:paraId="025148D9">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350</w:t>
                  </w:r>
                </w:p>
              </w:tc>
            </w:tr>
            <w:tr w14:paraId="6BFDF4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86" w:type="pct"/>
                  <w:tcBorders>
                    <w:tl2br w:val="nil"/>
                    <w:tr2bl w:val="nil"/>
                  </w:tcBorders>
                  <w:noWrap w:val="0"/>
                  <w:vAlign w:val="center"/>
                </w:tcPr>
                <w:p w14:paraId="3320EFF0">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7</w:t>
                  </w:r>
                </w:p>
              </w:tc>
              <w:tc>
                <w:tcPr>
                  <w:tcW w:w="2445" w:type="pct"/>
                  <w:tcBorders>
                    <w:tl2br w:val="nil"/>
                    <w:tr2bl w:val="nil"/>
                  </w:tcBorders>
                  <w:noWrap w:val="0"/>
                  <w:vAlign w:val="center"/>
                </w:tcPr>
                <w:p w14:paraId="2D9FE3DF">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eastAsia="zh-CN"/>
                    </w:rPr>
                    <w:t>办公生活区</w:t>
                  </w:r>
                </w:p>
              </w:tc>
              <w:tc>
                <w:tcPr>
                  <w:tcW w:w="1667" w:type="pct"/>
                  <w:tcBorders>
                    <w:tl2br w:val="nil"/>
                    <w:tr2bl w:val="nil"/>
                  </w:tcBorders>
                  <w:noWrap w:val="0"/>
                  <w:vAlign w:val="center"/>
                </w:tcPr>
                <w:p w14:paraId="60E21BEE">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1500</w:t>
                  </w:r>
                </w:p>
              </w:tc>
            </w:tr>
            <w:tr w14:paraId="797964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86" w:type="pct"/>
                  <w:tcBorders>
                    <w:tl2br w:val="nil"/>
                    <w:tr2bl w:val="nil"/>
                  </w:tcBorders>
                  <w:noWrap w:val="0"/>
                  <w:vAlign w:val="center"/>
                </w:tcPr>
                <w:p w14:paraId="7C28D482">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8</w:t>
                  </w:r>
                </w:p>
              </w:tc>
              <w:tc>
                <w:tcPr>
                  <w:tcW w:w="2445" w:type="pct"/>
                  <w:tcBorders>
                    <w:tl2br w:val="nil"/>
                    <w:tr2bl w:val="nil"/>
                  </w:tcBorders>
                  <w:noWrap w:val="0"/>
                  <w:vAlign w:val="center"/>
                </w:tcPr>
                <w:p w14:paraId="5320BF42">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设备区</w:t>
                  </w:r>
                </w:p>
              </w:tc>
              <w:tc>
                <w:tcPr>
                  <w:tcW w:w="1667" w:type="pct"/>
                  <w:tcBorders>
                    <w:tl2br w:val="nil"/>
                    <w:tr2bl w:val="nil"/>
                  </w:tcBorders>
                  <w:noWrap w:val="0"/>
                  <w:vAlign w:val="center"/>
                </w:tcPr>
                <w:p w14:paraId="0C99C4E9">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2500</w:t>
                  </w:r>
                </w:p>
              </w:tc>
            </w:tr>
            <w:tr w14:paraId="1AFD84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86" w:type="pct"/>
                  <w:tcBorders>
                    <w:tl2br w:val="nil"/>
                    <w:tr2bl w:val="nil"/>
                  </w:tcBorders>
                  <w:noWrap w:val="0"/>
                  <w:vAlign w:val="center"/>
                </w:tcPr>
                <w:p w14:paraId="680EF4E3">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9</w:t>
                  </w:r>
                </w:p>
              </w:tc>
              <w:tc>
                <w:tcPr>
                  <w:tcW w:w="2445" w:type="pct"/>
                  <w:tcBorders>
                    <w:tl2br w:val="nil"/>
                    <w:tr2bl w:val="nil"/>
                  </w:tcBorders>
                  <w:noWrap w:val="0"/>
                  <w:vAlign w:val="center"/>
                </w:tcPr>
                <w:p w14:paraId="08656F87">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其他占地</w:t>
                  </w:r>
                </w:p>
              </w:tc>
              <w:tc>
                <w:tcPr>
                  <w:tcW w:w="1667" w:type="pct"/>
                  <w:tcBorders>
                    <w:tl2br w:val="nil"/>
                    <w:tr2bl w:val="nil"/>
                  </w:tcBorders>
                  <w:noWrap w:val="0"/>
                  <w:vAlign w:val="center"/>
                </w:tcPr>
                <w:p w14:paraId="704EE3E6">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6513</w:t>
                  </w:r>
                </w:p>
              </w:tc>
            </w:tr>
          </w:tbl>
          <w:p w14:paraId="132548FF">
            <w:pPr>
              <w:keepNext w:val="0"/>
              <w:keepLines w:val="0"/>
              <w:suppressLineNumbers w:val="0"/>
              <w:adjustRightInd w:val="0"/>
              <w:snapToGrid w:val="0"/>
              <w:spacing w:before="0" w:beforeAutospacing="0" w:after="0" w:afterAutospacing="0" w:line="360" w:lineRule="auto"/>
              <w:ind w:left="0" w:right="0" w:firstLine="482" w:firstLineChars="200"/>
              <w:rPr>
                <w:rFonts w:hint="default"/>
                <w:b/>
                <w:color w:val="auto"/>
                <w:sz w:val="24"/>
              </w:rPr>
            </w:pPr>
            <w:r>
              <w:rPr>
                <w:rFonts w:hint="eastAsia"/>
                <w:b/>
                <w:color w:val="auto"/>
                <w:sz w:val="24"/>
              </w:rPr>
              <w:t>5</w:t>
            </w:r>
            <w:r>
              <w:rPr>
                <w:rFonts w:hint="default"/>
                <w:b/>
                <w:color w:val="auto"/>
                <w:sz w:val="24"/>
              </w:rPr>
              <w:t>、</w:t>
            </w:r>
            <w:r>
              <w:rPr>
                <w:rFonts w:hint="eastAsia"/>
                <w:b/>
                <w:color w:val="auto"/>
                <w:sz w:val="24"/>
              </w:rPr>
              <w:t>表土</w:t>
            </w:r>
            <w:r>
              <w:rPr>
                <w:rFonts w:hint="default"/>
                <w:b/>
                <w:color w:val="auto"/>
                <w:sz w:val="24"/>
              </w:rPr>
              <w:t>堆存措施</w:t>
            </w:r>
          </w:p>
          <w:p w14:paraId="029E8CA4">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rPr>
            </w:pPr>
            <w:r>
              <w:rPr>
                <w:rFonts w:hint="eastAsia"/>
                <w:color w:val="auto"/>
                <w:sz w:val="24"/>
                <w:lang w:eastAsia="zh-CN"/>
              </w:rPr>
              <w:t>扎格</w:t>
            </w:r>
            <w:r>
              <w:rPr>
                <w:rFonts w:hint="eastAsia"/>
                <w:color w:val="auto"/>
                <w:sz w:val="24"/>
                <w:lang w:val="en-US" w:eastAsia="zh-CN"/>
              </w:rPr>
              <w:t>6</w:t>
            </w:r>
            <w:r>
              <w:rPr>
                <w:rFonts w:hint="eastAsia"/>
                <w:color w:val="auto"/>
                <w:sz w:val="24"/>
              </w:rPr>
              <w:t>井</w:t>
            </w:r>
            <w:r>
              <w:rPr>
                <w:rFonts w:hint="eastAsia"/>
                <w:color w:val="auto"/>
                <w:sz w:val="24"/>
                <w:lang w:eastAsia="zh-CN"/>
              </w:rPr>
              <w:t>施工</w:t>
            </w:r>
            <w:r>
              <w:rPr>
                <w:rFonts w:hint="eastAsia"/>
                <w:color w:val="auto"/>
                <w:sz w:val="24"/>
              </w:rPr>
              <w:t>根据《矿山生态环境保护与恢复治理技术规范（试行）》（HJ651-2013）中“对矿区耕作土壤的剥离，应对耕作层和心土层单独剥离与回填，表土剥离厚度一般情况下不少于30cm”的要求，对表土进行剥离和堆存，剥离厚度为30cm，将表土集中堆放在井场边界处。</w:t>
            </w:r>
            <w:r>
              <w:rPr>
                <w:rFonts w:hint="eastAsia"/>
                <w:color w:val="auto"/>
                <w:sz w:val="24"/>
                <w:lang w:eastAsia="zh-CN"/>
              </w:rPr>
              <w:t>表土堆存区</w:t>
            </w:r>
            <w:r>
              <w:rPr>
                <w:rFonts w:hint="eastAsia"/>
                <w:color w:val="auto"/>
                <w:sz w:val="24"/>
              </w:rPr>
              <w:t>面积2475平方米（45×55m），表土堆放采用台体形，边坡为1:1</w:t>
            </w:r>
            <w:r>
              <w:rPr>
                <w:rFonts w:hint="eastAsia"/>
                <w:color w:val="auto"/>
                <w:sz w:val="24"/>
                <w:lang w:eastAsia="zh-CN"/>
              </w:rPr>
              <w:t>。</w:t>
            </w:r>
            <w:r>
              <w:rPr>
                <w:rFonts w:hint="eastAsia"/>
                <w:color w:val="auto"/>
                <w:sz w:val="24"/>
              </w:rPr>
              <w:t>堆土上铺</w:t>
            </w:r>
            <w:r>
              <w:rPr>
                <w:rFonts w:hint="eastAsia"/>
                <w:color w:val="auto"/>
                <w:sz w:val="24"/>
                <w:lang w:eastAsia="zh-CN"/>
              </w:rPr>
              <w:t>盖土网</w:t>
            </w:r>
            <w:r>
              <w:rPr>
                <w:rFonts w:hint="eastAsia"/>
                <w:color w:val="auto"/>
                <w:sz w:val="24"/>
              </w:rPr>
              <w:t>，以加强表土土堆的稳定性，防止水土流失，</w:t>
            </w:r>
            <w:r>
              <w:rPr>
                <w:rFonts w:hint="eastAsia"/>
                <w:color w:val="auto"/>
                <w:sz w:val="24"/>
                <w:lang w:val="en-US" w:eastAsia="zh-CN"/>
              </w:rPr>
              <w:t>对表土堆边坡稳定、压实。</w:t>
            </w:r>
          </w:p>
          <w:p w14:paraId="70D85D57">
            <w:pPr>
              <w:keepNext w:val="0"/>
              <w:keepLines w:val="0"/>
              <w:suppressLineNumbers w:val="0"/>
              <w:adjustRightInd w:val="0"/>
              <w:snapToGrid w:val="0"/>
              <w:spacing w:before="0" w:beforeAutospacing="0" w:after="0" w:afterAutospacing="0" w:line="360" w:lineRule="auto"/>
              <w:ind w:left="0" w:right="0" w:firstLine="482" w:firstLineChars="200"/>
              <w:rPr>
                <w:rFonts w:hint="default"/>
                <w:b/>
                <w:color w:val="auto"/>
                <w:sz w:val="24"/>
              </w:rPr>
            </w:pPr>
            <w:r>
              <w:rPr>
                <w:rFonts w:hint="eastAsia"/>
                <w:b/>
                <w:color w:val="auto"/>
                <w:sz w:val="24"/>
              </w:rPr>
              <w:t>6</w:t>
            </w:r>
            <w:r>
              <w:rPr>
                <w:rFonts w:hint="default"/>
                <w:b/>
                <w:color w:val="auto"/>
                <w:sz w:val="24"/>
              </w:rPr>
              <w:t>、公用工程</w:t>
            </w:r>
          </w:p>
          <w:p w14:paraId="13A76AC1">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（1）供电</w:t>
            </w:r>
          </w:p>
          <w:p w14:paraId="2E49CB93">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项目电源由井场内柴油发电机组提供，耗电量约为1.8×10</w:t>
            </w:r>
            <w:r>
              <w:rPr>
                <w:rFonts w:hint="default"/>
                <w:color w:val="auto"/>
                <w:sz w:val="24"/>
                <w:vertAlign w:val="superscript"/>
              </w:rPr>
              <w:t>5</w:t>
            </w:r>
            <w:r>
              <w:rPr>
                <w:rFonts w:hint="default"/>
                <w:color w:val="auto"/>
                <w:sz w:val="24"/>
              </w:rPr>
              <w:t>KW•h/a，可满足用电要求。</w:t>
            </w:r>
          </w:p>
          <w:p w14:paraId="24D5AFE9">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（2）供水</w:t>
            </w:r>
          </w:p>
          <w:p w14:paraId="46D6E9D2">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生活用水：根据实际情况，项目劳动定员40人</w:t>
            </w:r>
            <w:r>
              <w:rPr>
                <w:rFonts w:hint="eastAsia"/>
                <w:color w:val="auto"/>
                <w:sz w:val="24"/>
                <w:lang w:eastAsia="zh-CN"/>
              </w:rPr>
              <w:t>（三班制，按照每班大约</w:t>
            </w:r>
            <w:r>
              <w:rPr>
                <w:rFonts w:hint="eastAsia"/>
                <w:color w:val="auto"/>
                <w:sz w:val="24"/>
                <w:lang w:val="en-US" w:eastAsia="zh-CN"/>
              </w:rPr>
              <w:t>15人计算</w:t>
            </w:r>
            <w:r>
              <w:rPr>
                <w:rFonts w:hint="eastAsia"/>
                <w:color w:val="auto"/>
                <w:sz w:val="24"/>
                <w:lang w:eastAsia="zh-CN"/>
              </w:rPr>
              <w:t>）</w:t>
            </w:r>
            <w:r>
              <w:rPr>
                <w:rFonts w:hint="default"/>
                <w:color w:val="auto"/>
                <w:sz w:val="24"/>
              </w:rPr>
              <w:t>，勘探期</w:t>
            </w:r>
            <w:r>
              <w:rPr>
                <w:rFonts w:hint="eastAsia"/>
                <w:color w:val="auto"/>
                <w:sz w:val="24"/>
                <w:lang w:eastAsia="zh-CN"/>
              </w:rPr>
              <w:t>共约</w:t>
            </w:r>
            <w:r>
              <w:rPr>
                <w:rFonts w:hint="eastAsia"/>
                <w:color w:val="auto"/>
                <w:sz w:val="24"/>
                <w:lang w:val="en-US" w:eastAsia="zh-CN"/>
              </w:rPr>
              <w:t>60</w:t>
            </w:r>
            <w:r>
              <w:rPr>
                <w:rFonts w:hint="default"/>
                <w:color w:val="auto"/>
                <w:sz w:val="24"/>
              </w:rPr>
              <w:t>天，按内蒙古自治区地方标准</w:t>
            </w:r>
            <w:r>
              <w:rPr>
                <w:rFonts w:hint="eastAsia"/>
                <w:color w:val="auto"/>
                <w:sz w:val="24"/>
              </w:rPr>
              <w:t>《行业</w:t>
            </w:r>
            <w:r>
              <w:rPr>
                <w:rFonts w:hint="default"/>
                <w:color w:val="auto"/>
                <w:sz w:val="24"/>
              </w:rPr>
              <w:t>用水定额</w:t>
            </w:r>
            <w:r>
              <w:rPr>
                <w:rFonts w:hint="eastAsia"/>
                <w:color w:val="auto"/>
                <w:sz w:val="24"/>
              </w:rPr>
              <w:t>》（DB15/T385-2020）中S9620农村居民用水定额值</w:t>
            </w:r>
            <w:r>
              <w:rPr>
                <w:rFonts w:hint="default"/>
                <w:color w:val="auto"/>
                <w:sz w:val="24"/>
              </w:rPr>
              <w:t>，用水量为</w:t>
            </w:r>
            <w:r>
              <w:rPr>
                <w:rFonts w:hint="eastAsia"/>
                <w:color w:val="auto"/>
                <w:sz w:val="24"/>
              </w:rPr>
              <w:t>6</w:t>
            </w:r>
            <w:r>
              <w:rPr>
                <w:rFonts w:hint="default"/>
                <w:color w:val="auto"/>
                <w:sz w:val="24"/>
              </w:rPr>
              <w:t>0L/人·d，则</w:t>
            </w:r>
            <w:r>
              <w:rPr>
                <w:rFonts w:hint="eastAsia"/>
                <w:color w:val="auto"/>
                <w:sz w:val="24"/>
              </w:rPr>
              <w:t>生活</w:t>
            </w:r>
            <w:r>
              <w:rPr>
                <w:rFonts w:hint="default"/>
                <w:color w:val="auto"/>
                <w:sz w:val="24"/>
              </w:rPr>
              <w:t>用水量为</w:t>
            </w:r>
            <w:r>
              <w:rPr>
                <w:rFonts w:hint="eastAsia"/>
                <w:color w:val="auto"/>
                <w:sz w:val="24"/>
                <w:lang w:val="en-US" w:eastAsia="zh-CN"/>
              </w:rPr>
              <w:t>54</w:t>
            </w:r>
            <w:r>
              <w:rPr>
                <w:rFonts w:hint="default"/>
                <w:color w:val="auto"/>
                <w:sz w:val="24"/>
              </w:rPr>
              <w:t>m</w:t>
            </w:r>
            <w:r>
              <w:rPr>
                <w:rFonts w:hint="default"/>
                <w:color w:val="auto"/>
                <w:sz w:val="24"/>
                <w:vertAlign w:val="superscript"/>
              </w:rPr>
              <w:t>3</w:t>
            </w:r>
            <w:r>
              <w:rPr>
                <w:rFonts w:hint="default"/>
                <w:color w:val="auto"/>
                <w:sz w:val="24"/>
              </w:rPr>
              <w:t>。用水定期从附近村庄用罐车拉运，能够满足项目生活用水需求。</w:t>
            </w:r>
          </w:p>
          <w:p w14:paraId="1B44BFDF">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default"/>
                <w:color w:val="auto"/>
                <w:sz w:val="24"/>
              </w:rPr>
              <w:t>生产用水：根据实际情况，勘探期钻井生产用水为0.1m</w:t>
            </w:r>
            <w:r>
              <w:rPr>
                <w:rFonts w:hint="default"/>
                <w:color w:val="auto"/>
                <w:sz w:val="24"/>
                <w:vertAlign w:val="superscript"/>
              </w:rPr>
              <w:t>3</w:t>
            </w:r>
            <w:r>
              <w:rPr>
                <w:rFonts w:hint="default"/>
                <w:color w:val="auto"/>
                <w:sz w:val="24"/>
              </w:rPr>
              <w:t>/m，</w:t>
            </w:r>
            <w:r>
              <w:rPr>
                <w:rFonts w:hint="eastAsia"/>
                <w:color w:val="auto"/>
                <w:sz w:val="24"/>
                <w:lang w:eastAsia="zh-CN"/>
              </w:rPr>
              <w:t>本工程扎格6</w:t>
            </w:r>
            <w:r>
              <w:rPr>
                <w:rFonts w:hint="eastAsia"/>
                <w:color w:val="auto"/>
                <w:sz w:val="24"/>
              </w:rPr>
              <w:t>井</w:t>
            </w:r>
            <w:r>
              <w:rPr>
                <w:rFonts w:hint="default"/>
                <w:color w:val="auto"/>
                <w:sz w:val="24"/>
              </w:rPr>
              <w:t>设计井深</w:t>
            </w:r>
            <w:r>
              <w:rPr>
                <w:rFonts w:hint="eastAsia"/>
                <w:color w:val="auto"/>
                <w:sz w:val="24"/>
                <w:lang w:val="en-US" w:eastAsia="zh-CN"/>
              </w:rPr>
              <w:t>6600</w:t>
            </w:r>
            <w:r>
              <w:rPr>
                <w:rFonts w:hint="default"/>
                <w:color w:val="auto"/>
                <w:sz w:val="24"/>
              </w:rPr>
              <w:t>m，用水量为</w:t>
            </w:r>
            <w:r>
              <w:rPr>
                <w:rFonts w:hint="eastAsia"/>
                <w:color w:val="auto"/>
                <w:sz w:val="24"/>
                <w:lang w:val="en-US" w:eastAsia="zh-CN"/>
              </w:rPr>
              <w:t>660</w:t>
            </w:r>
            <w:r>
              <w:rPr>
                <w:rFonts w:hint="default"/>
                <w:color w:val="auto"/>
                <w:sz w:val="24"/>
              </w:rPr>
              <w:t>m</w:t>
            </w:r>
            <w:r>
              <w:rPr>
                <w:rFonts w:hint="default"/>
                <w:color w:val="auto"/>
                <w:sz w:val="24"/>
                <w:vertAlign w:val="superscript"/>
              </w:rPr>
              <w:t>3</w:t>
            </w:r>
            <w:r>
              <w:rPr>
                <w:rFonts w:hint="eastAsia"/>
                <w:color w:val="auto"/>
                <w:sz w:val="24"/>
              </w:rPr>
              <w:t>，</w:t>
            </w:r>
            <w:r>
              <w:rPr>
                <w:rFonts w:hint="default"/>
                <w:color w:val="auto"/>
                <w:sz w:val="24"/>
              </w:rPr>
              <w:t>从附近</w:t>
            </w:r>
            <w:r>
              <w:rPr>
                <w:rFonts w:hint="eastAsia"/>
                <w:color w:val="auto"/>
                <w:sz w:val="24"/>
                <w:lang w:eastAsia="zh-CN"/>
              </w:rPr>
              <w:t>村庄</w:t>
            </w:r>
            <w:r>
              <w:rPr>
                <w:rFonts w:hint="default"/>
                <w:color w:val="auto"/>
                <w:sz w:val="24"/>
              </w:rPr>
              <w:t>用罐车</w:t>
            </w:r>
            <w:r>
              <w:rPr>
                <w:rFonts w:hint="eastAsia"/>
                <w:color w:val="auto"/>
                <w:sz w:val="24"/>
              </w:rPr>
              <w:t>拉运</w:t>
            </w:r>
            <w:r>
              <w:rPr>
                <w:rFonts w:hint="default"/>
                <w:color w:val="auto"/>
                <w:sz w:val="24"/>
              </w:rPr>
              <w:t>。</w:t>
            </w:r>
          </w:p>
          <w:p w14:paraId="6B92BE66">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rPr>
              <w:t>抑尘用水：</w:t>
            </w:r>
            <w:r>
              <w:rPr>
                <w:rFonts w:hint="default"/>
                <w:color w:val="auto"/>
                <w:sz w:val="24"/>
              </w:rPr>
              <w:t>项目勘探期间，井场每天需洒水抑尘，</w:t>
            </w:r>
            <w:r>
              <w:rPr>
                <w:rFonts w:hint="eastAsia"/>
                <w:color w:val="auto"/>
                <w:sz w:val="24"/>
                <w:lang w:eastAsia="zh-CN"/>
              </w:rPr>
              <w:t>按照最大水量（夏季）来考虑，</w:t>
            </w:r>
            <w:r>
              <w:rPr>
                <w:rFonts w:hint="default"/>
                <w:color w:val="auto"/>
                <w:sz w:val="24"/>
              </w:rPr>
              <w:t>洒水量按2m</w:t>
            </w:r>
            <w:r>
              <w:rPr>
                <w:rFonts w:hint="eastAsia"/>
                <w:color w:val="auto"/>
                <w:sz w:val="24"/>
                <w:vertAlign w:val="superscript"/>
              </w:rPr>
              <w:t>3</w:t>
            </w:r>
            <w:r>
              <w:rPr>
                <w:rFonts w:hint="default"/>
                <w:color w:val="auto"/>
                <w:sz w:val="24"/>
              </w:rPr>
              <w:t>/d计，用水量为</w:t>
            </w:r>
            <w:r>
              <w:rPr>
                <w:rFonts w:hint="eastAsia"/>
                <w:color w:val="auto"/>
                <w:sz w:val="24"/>
                <w:lang w:val="en-US" w:eastAsia="zh-CN"/>
              </w:rPr>
              <w:t>12</w:t>
            </w:r>
            <w:r>
              <w:rPr>
                <w:rFonts w:hint="eastAsia"/>
                <w:color w:val="auto"/>
                <w:sz w:val="24"/>
              </w:rPr>
              <w:t>0</w:t>
            </w:r>
            <w:r>
              <w:rPr>
                <w:rFonts w:hint="default"/>
                <w:color w:val="auto"/>
                <w:sz w:val="24"/>
              </w:rPr>
              <w:t>m</w:t>
            </w:r>
            <w:r>
              <w:rPr>
                <w:rFonts w:hint="default"/>
                <w:color w:val="auto"/>
                <w:sz w:val="24"/>
                <w:vertAlign w:val="superscript"/>
              </w:rPr>
              <w:t>3</w:t>
            </w:r>
            <w:r>
              <w:rPr>
                <w:rFonts w:hint="eastAsia"/>
                <w:color w:val="auto"/>
                <w:sz w:val="24"/>
              </w:rPr>
              <w:t>，</w:t>
            </w:r>
            <w:r>
              <w:rPr>
                <w:rFonts w:hint="default"/>
                <w:color w:val="auto"/>
                <w:sz w:val="24"/>
              </w:rPr>
              <w:t>从附近</w:t>
            </w:r>
            <w:r>
              <w:rPr>
                <w:rFonts w:hint="eastAsia"/>
                <w:color w:val="auto"/>
                <w:sz w:val="24"/>
                <w:lang w:eastAsia="zh-CN"/>
              </w:rPr>
              <w:t>村庄</w:t>
            </w:r>
            <w:r>
              <w:rPr>
                <w:rFonts w:hint="default"/>
                <w:color w:val="auto"/>
                <w:sz w:val="24"/>
              </w:rPr>
              <w:t>用罐车</w:t>
            </w:r>
            <w:r>
              <w:rPr>
                <w:rFonts w:hint="eastAsia"/>
                <w:color w:val="auto"/>
                <w:sz w:val="24"/>
              </w:rPr>
              <w:t>拉运</w:t>
            </w:r>
            <w:r>
              <w:rPr>
                <w:rFonts w:hint="default"/>
                <w:color w:val="auto"/>
                <w:sz w:val="24"/>
              </w:rPr>
              <w:t>。</w:t>
            </w:r>
          </w:p>
          <w:p w14:paraId="2B860C55">
            <w:pPr>
              <w:keepNext w:val="0"/>
              <w:keepLines w:val="0"/>
              <w:suppressLineNumbers w:val="0"/>
              <w:spacing w:before="0" w:beforeAutospacing="0" w:after="0" w:afterAutospacing="0" w:line="360" w:lineRule="auto"/>
              <w:ind w:left="0" w:right="0" w:firstLine="480" w:firstLineChars="200"/>
              <w:outlineLvl w:val="0"/>
              <w:rPr>
                <w:rFonts w:hint="default"/>
                <w:color w:val="auto"/>
                <w:sz w:val="24"/>
              </w:rPr>
            </w:pPr>
            <w:bookmarkStart w:id="5" w:name="_Toc103325976"/>
            <w:r>
              <w:rPr>
                <w:rFonts w:hint="default"/>
                <w:color w:val="auto"/>
                <w:sz w:val="24"/>
              </w:rPr>
              <w:t>（3）排水</w:t>
            </w:r>
            <w:bookmarkEnd w:id="5"/>
          </w:p>
          <w:p w14:paraId="3889F7FD">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bCs/>
                <w:color w:val="auto"/>
                <w:sz w:val="24"/>
                <w:lang w:eastAsia="zh-CN"/>
              </w:rPr>
              <w:t>本工程</w:t>
            </w:r>
            <w:r>
              <w:rPr>
                <w:rFonts w:hint="default"/>
                <w:bCs/>
                <w:color w:val="auto"/>
                <w:sz w:val="24"/>
              </w:rPr>
              <w:t>钻井液使用无毒无害的水基泥浆，钻井液采用泥浆不落地工艺系统处理，</w:t>
            </w:r>
            <w:r>
              <w:rPr>
                <w:rFonts w:hint="default"/>
                <w:color w:val="auto"/>
                <w:sz w:val="24"/>
              </w:rPr>
              <w:t>破胶脱稳</w:t>
            </w:r>
            <w:r>
              <w:rPr>
                <w:rFonts w:hint="eastAsia"/>
                <w:color w:val="auto"/>
                <w:sz w:val="24"/>
                <w:lang w:eastAsia="zh-CN"/>
              </w:rPr>
              <w:t>（</w:t>
            </w:r>
            <w:r>
              <w:rPr>
                <w:rFonts w:hint="eastAsia"/>
                <w:color w:val="auto"/>
                <w:sz w:val="24"/>
                <w:lang w:eastAsia="zh-CN"/>
              </w:rPr>
              <w:t>破胶脱稳剂主要成分为：过氧化物、潜在酸、酶等，不含重金属。作用：改变钻井泥浆的物理、化学性质，破坏钻井泥浆的胶体体系，促使悬浮的细小颗粒聚结成较大的絮凝体</w:t>
            </w:r>
            <w:r>
              <w:rPr>
                <w:rFonts w:hint="eastAsia"/>
                <w:color w:val="auto"/>
                <w:sz w:val="24"/>
                <w:lang w:eastAsia="zh-CN"/>
              </w:rPr>
              <w:t>）</w:t>
            </w:r>
            <w:r>
              <w:rPr>
                <w:rFonts w:hint="default"/>
                <w:color w:val="auto"/>
                <w:sz w:val="24"/>
              </w:rPr>
              <w:t>后进行固液分离，分离出的钻井废水</w:t>
            </w:r>
            <w:r>
              <w:rPr>
                <w:rFonts w:hint="default"/>
                <w:color w:val="auto"/>
                <w:sz w:val="24"/>
                <w:highlight w:val="none"/>
              </w:rPr>
              <w:t>量为</w:t>
            </w:r>
            <w:r>
              <w:rPr>
                <w:rFonts w:hint="eastAsia"/>
                <w:color w:val="auto"/>
                <w:sz w:val="24"/>
                <w:highlight w:val="none"/>
                <w:lang w:val="en-US" w:eastAsia="zh-CN"/>
              </w:rPr>
              <w:t>317</w:t>
            </w:r>
            <w:r>
              <w:rPr>
                <w:rFonts w:hint="default"/>
                <w:color w:val="auto"/>
                <w:sz w:val="24"/>
                <w:highlight w:val="none"/>
              </w:rPr>
              <w:t>m</w:t>
            </w:r>
            <w:r>
              <w:rPr>
                <w:rFonts w:hint="default"/>
                <w:color w:val="auto"/>
                <w:sz w:val="24"/>
                <w:highlight w:val="none"/>
                <w:vertAlign w:val="superscript"/>
              </w:rPr>
              <w:t>3</w:t>
            </w:r>
            <w:r>
              <w:rPr>
                <w:rFonts w:hint="default"/>
                <w:color w:val="auto"/>
                <w:sz w:val="24"/>
                <w:highlight w:val="none"/>
              </w:rPr>
              <w:t>，</w:t>
            </w:r>
            <w:r>
              <w:rPr>
                <w:rFonts w:hint="eastAsia"/>
                <w:color w:val="auto"/>
                <w:sz w:val="24"/>
                <w:highlight w:val="none"/>
              </w:rPr>
              <w:t>进入</w:t>
            </w:r>
            <w:r>
              <w:rPr>
                <w:rFonts w:hint="eastAsia"/>
                <w:color w:val="auto"/>
                <w:sz w:val="24"/>
              </w:rPr>
              <w:t>移动废水罐暂存，及时</w:t>
            </w:r>
            <w:r>
              <w:rPr>
                <w:rFonts w:hint="default"/>
                <w:color w:val="auto"/>
                <w:sz w:val="24"/>
              </w:rPr>
              <w:t>由罐车拉运至</w:t>
            </w:r>
            <w:r>
              <w:rPr>
                <w:rFonts w:hint="eastAsia"/>
                <w:color w:val="auto"/>
                <w:sz w:val="24"/>
              </w:rPr>
              <w:t>吉兰泰联合站采出水处理系统，处理达标后回注，不外排</w:t>
            </w:r>
            <w:r>
              <w:rPr>
                <w:rFonts w:hint="default"/>
                <w:color w:val="auto"/>
                <w:sz w:val="24"/>
              </w:rPr>
              <w:t>。</w:t>
            </w:r>
            <w:r>
              <w:rPr>
                <w:rFonts w:hint="eastAsia"/>
                <w:color w:val="auto"/>
                <w:sz w:val="24"/>
                <w:lang w:eastAsia="zh-CN"/>
              </w:rPr>
              <w:t>本工程无洗井废水产生，</w:t>
            </w:r>
            <w:r>
              <w:rPr>
                <w:rFonts w:hint="eastAsia"/>
                <w:color w:val="auto"/>
                <w:sz w:val="24"/>
              </w:rPr>
              <w:t>经泥浆不落地工艺系统处理后泥饼废弃物</w:t>
            </w:r>
            <w:r>
              <w:rPr>
                <w:rFonts w:hint="eastAsia"/>
                <w:color w:val="auto"/>
                <w:sz w:val="24"/>
                <w:lang w:eastAsia="zh-CN"/>
              </w:rPr>
              <w:t>带走</w:t>
            </w:r>
            <w:r>
              <w:rPr>
                <w:rFonts w:hint="eastAsia"/>
                <w:color w:val="auto"/>
                <w:sz w:val="24"/>
                <w:lang w:val="en-US" w:eastAsia="zh-CN"/>
              </w:rPr>
              <w:t>6</w:t>
            </w:r>
            <w:r>
              <w:rPr>
                <w:rFonts w:hint="default"/>
                <w:color w:val="auto"/>
                <w:sz w:val="24"/>
              </w:rPr>
              <w:t>0%</w:t>
            </w:r>
            <w:r>
              <w:rPr>
                <w:rFonts w:hint="eastAsia"/>
                <w:color w:val="auto"/>
                <w:sz w:val="24"/>
                <w:lang w:eastAsia="zh-CN"/>
              </w:rPr>
              <w:t>的废水</w:t>
            </w:r>
            <w:r>
              <w:rPr>
                <w:rFonts w:hint="default"/>
                <w:color w:val="auto"/>
                <w:sz w:val="24"/>
              </w:rPr>
              <w:t>。</w:t>
            </w:r>
          </w:p>
          <w:p w14:paraId="29350782">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rPr>
            </w:pPr>
            <w:r>
              <w:rPr>
                <w:rFonts w:hint="default"/>
                <w:color w:val="auto"/>
                <w:sz w:val="24"/>
              </w:rPr>
              <w:t>施工期产生的生活污水产生量按用水量的80%计，井场设置的</w:t>
            </w:r>
            <w:r>
              <w:rPr>
                <w:rFonts w:hint="eastAsia"/>
                <w:color w:val="auto"/>
                <w:sz w:val="24"/>
                <w:lang w:eastAsia="zh-CN"/>
              </w:rPr>
              <w:t>环保厕所</w:t>
            </w:r>
            <w:r>
              <w:rPr>
                <w:rFonts w:hint="default"/>
                <w:color w:val="auto"/>
                <w:sz w:val="24"/>
              </w:rPr>
              <w:t>，生活污水</w:t>
            </w:r>
            <w:r>
              <w:rPr>
                <w:rFonts w:hint="eastAsia"/>
                <w:color w:val="auto"/>
                <w:sz w:val="24"/>
                <w:lang w:eastAsia="zh-CN"/>
              </w:rPr>
              <w:t>排入环保厕所，委托当地村民</w:t>
            </w:r>
            <w:r>
              <w:rPr>
                <w:rFonts w:hint="default"/>
                <w:color w:val="auto"/>
                <w:sz w:val="24"/>
              </w:rPr>
              <w:t>定期清掏。</w:t>
            </w:r>
          </w:p>
          <w:p w14:paraId="59A87800">
            <w:pPr>
              <w:keepNext w:val="0"/>
              <w:keepLines w:val="0"/>
              <w:suppressLineNumbers w:val="0"/>
              <w:spacing w:before="0" w:beforeAutospacing="0" w:after="0" w:afterAutospacing="0"/>
              <w:ind w:left="0" w:right="0"/>
              <w:jc w:val="center"/>
              <w:rPr>
                <w:rFonts w:hint="eastAsia"/>
                <w:b/>
                <w:color w:val="auto"/>
                <w:sz w:val="24"/>
              </w:rPr>
            </w:pPr>
            <w:r>
              <w:rPr>
                <w:rFonts w:hint="default"/>
                <w:b/>
                <w:color w:val="auto"/>
                <w:sz w:val="24"/>
              </w:rPr>
              <w:t>表</w:t>
            </w:r>
            <w:r>
              <w:rPr>
                <w:rFonts w:hint="eastAsia"/>
                <w:b/>
                <w:color w:val="auto"/>
                <w:sz w:val="24"/>
              </w:rPr>
              <w:t>2</w:t>
            </w:r>
            <w:r>
              <w:rPr>
                <w:rFonts w:hint="default"/>
                <w:b/>
                <w:color w:val="auto"/>
                <w:sz w:val="24"/>
              </w:rPr>
              <w:t>-</w:t>
            </w:r>
            <w:r>
              <w:rPr>
                <w:rFonts w:hint="eastAsia"/>
                <w:b/>
                <w:color w:val="auto"/>
                <w:sz w:val="24"/>
              </w:rPr>
              <w:t xml:space="preserve">7 </w:t>
            </w:r>
            <w:r>
              <w:rPr>
                <w:rFonts w:hint="default"/>
                <w:b/>
                <w:color w:val="auto"/>
                <w:sz w:val="24"/>
              </w:rPr>
              <w:t>用排水量统计表</w:t>
            </w:r>
          </w:p>
          <w:tbl>
            <w:tblPr>
              <w:tblStyle w:val="30"/>
              <w:tblW w:w="4996"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465"/>
              <w:gridCol w:w="1252"/>
              <w:gridCol w:w="1207"/>
              <w:gridCol w:w="1379"/>
              <w:gridCol w:w="1301"/>
              <w:gridCol w:w="936"/>
              <w:gridCol w:w="936"/>
              <w:gridCol w:w="887"/>
            </w:tblGrid>
            <w:tr w14:paraId="14263B0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675" w:hRule="atLeast"/>
                <w:jc w:val="center"/>
              </w:trPr>
              <w:tc>
                <w:tcPr>
                  <w:tcW w:w="278" w:type="pct"/>
                  <w:noWrap w:val="0"/>
                  <w:tcMar>
                    <w:left w:w="0" w:type="dxa"/>
                    <w:right w:w="0" w:type="dxa"/>
                  </w:tcMar>
                  <w:vAlign w:val="center"/>
                </w:tcPr>
                <w:p w14:paraId="7757450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olor w:val="auto"/>
                      <w:szCs w:val="21"/>
                    </w:rPr>
                  </w:pPr>
                  <w:r>
                    <w:rPr>
                      <w:rFonts w:hint="default"/>
                      <w:color w:val="auto"/>
                      <w:szCs w:val="21"/>
                    </w:rPr>
                    <w:t>序号</w:t>
                  </w:r>
                </w:p>
              </w:tc>
              <w:tc>
                <w:tcPr>
                  <w:tcW w:w="748" w:type="pct"/>
                  <w:noWrap w:val="0"/>
                  <w:tcMar>
                    <w:left w:w="0" w:type="dxa"/>
                    <w:right w:w="0" w:type="dxa"/>
                  </w:tcMar>
                  <w:vAlign w:val="center"/>
                </w:tcPr>
                <w:p w14:paraId="21BA92F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olor w:val="auto"/>
                      <w:szCs w:val="21"/>
                    </w:rPr>
                  </w:pPr>
                  <w:r>
                    <w:rPr>
                      <w:rFonts w:hint="default"/>
                      <w:color w:val="auto"/>
                      <w:szCs w:val="21"/>
                    </w:rPr>
                    <w:t>用水项目</w:t>
                  </w:r>
                </w:p>
              </w:tc>
              <w:tc>
                <w:tcPr>
                  <w:tcW w:w="721" w:type="pct"/>
                  <w:noWrap w:val="0"/>
                  <w:tcMar>
                    <w:left w:w="0" w:type="dxa"/>
                    <w:right w:w="0" w:type="dxa"/>
                  </w:tcMar>
                  <w:vAlign w:val="center"/>
                </w:tcPr>
                <w:p w14:paraId="6F9BF86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olor w:val="auto"/>
                      <w:szCs w:val="21"/>
                    </w:rPr>
                  </w:pPr>
                  <w:r>
                    <w:rPr>
                      <w:rFonts w:hint="default"/>
                      <w:color w:val="auto"/>
                      <w:szCs w:val="21"/>
                    </w:rPr>
                    <w:t>用水标准</w:t>
                  </w:r>
                </w:p>
              </w:tc>
              <w:tc>
                <w:tcPr>
                  <w:tcW w:w="824" w:type="pct"/>
                  <w:noWrap w:val="0"/>
                  <w:tcMar>
                    <w:left w:w="0" w:type="dxa"/>
                    <w:right w:w="0" w:type="dxa"/>
                  </w:tcMar>
                  <w:vAlign w:val="center"/>
                </w:tcPr>
                <w:p w14:paraId="3FEC07D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数量</w:t>
                  </w:r>
                </w:p>
              </w:tc>
              <w:tc>
                <w:tcPr>
                  <w:tcW w:w="777" w:type="pct"/>
                  <w:noWrap w:val="0"/>
                  <w:tcMar>
                    <w:left w:w="0" w:type="dxa"/>
                    <w:right w:w="0" w:type="dxa"/>
                  </w:tcMar>
                  <w:vAlign w:val="center"/>
                </w:tcPr>
                <w:p w14:paraId="16887A8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eastAsia="宋体"/>
                      <w:color w:val="auto"/>
                      <w:szCs w:val="21"/>
                      <w:lang w:val="en-US" w:eastAsia="zh-CN"/>
                    </w:rPr>
                  </w:pPr>
                  <w:r>
                    <w:rPr>
                      <w:rFonts w:hint="default"/>
                      <w:color w:val="auto"/>
                      <w:szCs w:val="21"/>
                    </w:rPr>
                    <w:t>用水量m</w:t>
                  </w:r>
                  <w:r>
                    <w:rPr>
                      <w:rFonts w:hint="default"/>
                      <w:color w:val="auto"/>
                      <w:szCs w:val="21"/>
                      <w:vertAlign w:val="superscript"/>
                    </w:rPr>
                    <w:t>3</w:t>
                  </w:r>
                  <w:r>
                    <w:rPr>
                      <w:rFonts w:hint="eastAsia"/>
                      <w:color w:val="auto"/>
                      <w:szCs w:val="21"/>
                      <w:vertAlign w:val="baseline"/>
                      <w:lang w:val="en-US" w:eastAsia="zh-CN"/>
                    </w:rPr>
                    <w:t>/勘探期</w:t>
                  </w:r>
                </w:p>
              </w:tc>
              <w:tc>
                <w:tcPr>
                  <w:tcW w:w="559" w:type="pct"/>
                  <w:noWrap w:val="0"/>
                  <w:tcMar>
                    <w:left w:w="0" w:type="dxa"/>
                    <w:right w:w="0" w:type="dxa"/>
                  </w:tcMar>
                  <w:vAlign w:val="center"/>
                </w:tcPr>
                <w:p w14:paraId="435FB2F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eastAsia="宋体"/>
                      <w:color w:val="auto"/>
                      <w:szCs w:val="21"/>
                      <w:lang w:val="en-US" w:eastAsia="zh-CN"/>
                    </w:rPr>
                  </w:pPr>
                  <w:r>
                    <w:rPr>
                      <w:rFonts w:hint="eastAsia"/>
                      <w:color w:val="auto"/>
                      <w:szCs w:val="21"/>
                      <w:lang w:eastAsia="zh-CN"/>
                    </w:rPr>
                    <w:t>损耗量</w:t>
                  </w:r>
                  <w:r>
                    <w:rPr>
                      <w:rFonts w:hint="eastAsia"/>
                      <w:color w:val="auto"/>
                      <w:szCs w:val="21"/>
                      <w:lang w:val="en-US" w:eastAsia="zh-CN"/>
                    </w:rPr>
                    <w:t>m</w:t>
                  </w:r>
                  <w:r>
                    <w:rPr>
                      <w:rFonts w:hint="eastAsia"/>
                      <w:color w:val="auto"/>
                      <w:szCs w:val="21"/>
                      <w:vertAlign w:val="superscript"/>
                      <w:lang w:val="en-US" w:eastAsia="zh-CN"/>
                    </w:rPr>
                    <w:t>3</w:t>
                  </w:r>
                  <w:r>
                    <w:rPr>
                      <w:rFonts w:hint="eastAsia"/>
                      <w:color w:val="auto"/>
                      <w:szCs w:val="21"/>
                      <w:vertAlign w:val="baseline"/>
                      <w:lang w:val="en-US" w:eastAsia="zh-CN"/>
                    </w:rPr>
                    <w:t>/勘探期</w:t>
                  </w:r>
                </w:p>
              </w:tc>
              <w:tc>
                <w:tcPr>
                  <w:tcW w:w="559" w:type="pct"/>
                  <w:noWrap w:val="0"/>
                  <w:tcMar>
                    <w:left w:w="0" w:type="dxa"/>
                    <w:right w:w="0" w:type="dxa"/>
                  </w:tcMar>
                  <w:vAlign w:val="center"/>
                </w:tcPr>
                <w:p w14:paraId="7F5CF09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eastAsia="宋体"/>
                      <w:color w:val="auto"/>
                      <w:szCs w:val="21"/>
                      <w:lang w:eastAsia="zh-CN"/>
                    </w:rPr>
                  </w:pPr>
                  <w:r>
                    <w:rPr>
                      <w:rFonts w:hint="eastAsia"/>
                      <w:color w:val="auto"/>
                      <w:szCs w:val="21"/>
                      <w:lang w:eastAsia="zh-CN"/>
                    </w:rPr>
                    <w:t>污水量</w:t>
                  </w:r>
                  <w:r>
                    <w:rPr>
                      <w:rFonts w:hint="eastAsia"/>
                      <w:color w:val="auto"/>
                      <w:szCs w:val="21"/>
                      <w:lang w:val="en-US" w:eastAsia="zh-CN"/>
                    </w:rPr>
                    <w:t>m</w:t>
                  </w:r>
                  <w:r>
                    <w:rPr>
                      <w:rFonts w:hint="eastAsia"/>
                      <w:color w:val="auto"/>
                      <w:szCs w:val="21"/>
                      <w:vertAlign w:val="superscript"/>
                      <w:lang w:val="en-US" w:eastAsia="zh-CN"/>
                    </w:rPr>
                    <w:t>3</w:t>
                  </w:r>
                  <w:r>
                    <w:rPr>
                      <w:rFonts w:hint="eastAsia"/>
                      <w:color w:val="auto"/>
                      <w:szCs w:val="21"/>
                      <w:vertAlign w:val="baseline"/>
                      <w:lang w:val="en-US" w:eastAsia="zh-CN"/>
                    </w:rPr>
                    <w:t>/勘探期</w:t>
                  </w:r>
                </w:p>
              </w:tc>
              <w:tc>
                <w:tcPr>
                  <w:tcW w:w="530" w:type="pct"/>
                  <w:noWrap w:val="0"/>
                  <w:tcMar>
                    <w:left w:w="0" w:type="dxa"/>
                    <w:right w:w="0" w:type="dxa"/>
                  </w:tcMar>
                  <w:vAlign w:val="center"/>
                </w:tcPr>
                <w:p w14:paraId="52D8056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eastAsia="宋体"/>
                      <w:color w:val="auto"/>
                      <w:szCs w:val="21"/>
                      <w:lang w:eastAsia="zh-CN"/>
                    </w:rPr>
                  </w:pPr>
                  <w:r>
                    <w:rPr>
                      <w:rFonts w:hint="eastAsia"/>
                      <w:color w:val="auto"/>
                      <w:szCs w:val="21"/>
                      <w:lang w:eastAsia="zh-CN"/>
                    </w:rPr>
                    <w:t>去向</w:t>
                  </w:r>
                </w:p>
              </w:tc>
            </w:tr>
            <w:tr w14:paraId="294DCFD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72" w:hRule="atLeast"/>
                <w:jc w:val="center"/>
              </w:trPr>
              <w:tc>
                <w:tcPr>
                  <w:tcW w:w="278" w:type="pct"/>
                  <w:noWrap w:val="0"/>
                  <w:vAlign w:val="center"/>
                </w:tcPr>
                <w:p w14:paraId="16682A0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olor w:val="auto"/>
                      <w:szCs w:val="21"/>
                    </w:rPr>
                  </w:pPr>
                  <w:r>
                    <w:rPr>
                      <w:rFonts w:hint="default"/>
                      <w:color w:val="auto"/>
                      <w:szCs w:val="21"/>
                    </w:rPr>
                    <w:t>1</w:t>
                  </w:r>
                </w:p>
              </w:tc>
              <w:tc>
                <w:tcPr>
                  <w:tcW w:w="748" w:type="pct"/>
                  <w:noWrap w:val="0"/>
                  <w:vAlign w:val="center"/>
                </w:tcPr>
                <w:p w14:paraId="51C431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olor w:val="auto"/>
                    </w:rPr>
                  </w:pPr>
                  <w:r>
                    <w:rPr>
                      <w:rFonts w:hint="default"/>
                      <w:color w:val="auto"/>
                    </w:rPr>
                    <w:t>生活用水</w:t>
                  </w:r>
                </w:p>
              </w:tc>
              <w:tc>
                <w:tcPr>
                  <w:tcW w:w="721" w:type="pct"/>
                  <w:noWrap w:val="0"/>
                  <w:vAlign w:val="center"/>
                </w:tcPr>
                <w:p w14:paraId="44C0A4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olor w:val="auto"/>
                    </w:rPr>
                  </w:pPr>
                  <w:r>
                    <w:rPr>
                      <w:rFonts w:hint="eastAsia"/>
                      <w:color w:val="auto"/>
                    </w:rPr>
                    <w:t>6</w:t>
                  </w:r>
                  <w:r>
                    <w:rPr>
                      <w:rFonts w:hint="default"/>
                      <w:color w:val="auto"/>
                    </w:rPr>
                    <w:t>0L/d•人</w:t>
                  </w:r>
                </w:p>
              </w:tc>
              <w:tc>
                <w:tcPr>
                  <w:tcW w:w="824" w:type="pct"/>
                  <w:noWrap w:val="0"/>
                  <w:vAlign w:val="center"/>
                </w:tcPr>
                <w:p w14:paraId="4BF2B8D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olor w:val="auto"/>
                    </w:rPr>
                  </w:pPr>
                  <w:r>
                    <w:rPr>
                      <w:rFonts w:hint="eastAsia"/>
                      <w:color w:val="auto"/>
                      <w:lang w:val="en-US" w:eastAsia="zh-CN"/>
                    </w:rPr>
                    <w:t>15</w:t>
                  </w:r>
                  <w:r>
                    <w:rPr>
                      <w:rFonts w:hint="default"/>
                      <w:color w:val="auto"/>
                    </w:rPr>
                    <w:t>人</w:t>
                  </w:r>
                  <w:r>
                    <w:rPr>
                      <w:rFonts w:hint="default"/>
                      <w:color w:val="auto"/>
                      <w:szCs w:val="21"/>
                    </w:rPr>
                    <w:t>，</w:t>
                  </w:r>
                  <w:r>
                    <w:rPr>
                      <w:rFonts w:hint="eastAsia"/>
                      <w:color w:val="auto"/>
                      <w:szCs w:val="21"/>
                    </w:rPr>
                    <w:t>6</w:t>
                  </w:r>
                  <w:r>
                    <w:rPr>
                      <w:rFonts w:hint="default"/>
                      <w:color w:val="auto"/>
                      <w:szCs w:val="21"/>
                    </w:rPr>
                    <w:t>0天</w:t>
                  </w:r>
                </w:p>
              </w:tc>
              <w:tc>
                <w:tcPr>
                  <w:tcW w:w="777" w:type="pct"/>
                  <w:noWrap w:val="0"/>
                  <w:vAlign w:val="center"/>
                </w:tcPr>
                <w:p w14:paraId="0BE886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eastAsia="宋体"/>
                      <w:color w:val="auto"/>
                      <w:lang w:val="en-US" w:eastAsia="zh-CN"/>
                    </w:rPr>
                  </w:pPr>
                  <w:r>
                    <w:rPr>
                      <w:rFonts w:hint="eastAsia"/>
                      <w:color w:val="auto"/>
                      <w:lang w:val="en-US" w:eastAsia="zh-CN"/>
                    </w:rPr>
                    <w:t>54</w:t>
                  </w:r>
                </w:p>
              </w:tc>
              <w:tc>
                <w:tcPr>
                  <w:tcW w:w="559" w:type="pct"/>
                  <w:noWrap w:val="0"/>
                  <w:vAlign w:val="center"/>
                </w:tcPr>
                <w:p w14:paraId="636912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eastAsia="宋体"/>
                      <w:color w:val="auto"/>
                      <w:lang w:val="en-US" w:eastAsia="zh-CN"/>
                    </w:rPr>
                  </w:pPr>
                  <w:r>
                    <w:rPr>
                      <w:rFonts w:hint="eastAsia"/>
                      <w:color w:val="auto"/>
                      <w:lang w:val="en-US" w:eastAsia="zh-CN"/>
                    </w:rPr>
                    <w:t>11</w:t>
                  </w:r>
                </w:p>
              </w:tc>
              <w:tc>
                <w:tcPr>
                  <w:tcW w:w="559" w:type="pct"/>
                  <w:noWrap w:val="0"/>
                  <w:vAlign w:val="center"/>
                </w:tcPr>
                <w:p w14:paraId="6FAC98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eastAsia="宋体"/>
                      <w:color w:val="auto"/>
                      <w:szCs w:val="21"/>
                      <w:lang w:val="en-US" w:eastAsia="zh-CN"/>
                    </w:rPr>
                  </w:pPr>
                  <w:r>
                    <w:rPr>
                      <w:rFonts w:hint="eastAsia"/>
                      <w:color w:val="auto"/>
                      <w:szCs w:val="21"/>
                      <w:lang w:val="en-US" w:eastAsia="zh-CN"/>
                    </w:rPr>
                    <w:t>43</w:t>
                  </w:r>
                </w:p>
              </w:tc>
              <w:tc>
                <w:tcPr>
                  <w:tcW w:w="530" w:type="pct"/>
                  <w:noWrap w:val="0"/>
                  <w:vAlign w:val="center"/>
                </w:tcPr>
                <w:p w14:paraId="0634AC4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eastAsia="宋体"/>
                      <w:color w:val="auto"/>
                      <w:szCs w:val="21"/>
                      <w:lang w:eastAsia="zh-CN"/>
                    </w:rPr>
                  </w:pPr>
                  <w:r>
                    <w:rPr>
                      <w:rFonts w:hint="eastAsia"/>
                      <w:color w:val="auto"/>
                      <w:szCs w:val="21"/>
                      <w:lang w:eastAsia="zh-CN"/>
                    </w:rPr>
                    <w:t>排入环保厕所，委托当地村民厕所定期清掏</w:t>
                  </w:r>
                </w:p>
              </w:tc>
            </w:tr>
            <w:tr w14:paraId="37DB895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72" w:hRule="atLeast"/>
                <w:jc w:val="center"/>
              </w:trPr>
              <w:tc>
                <w:tcPr>
                  <w:tcW w:w="278" w:type="pct"/>
                  <w:noWrap w:val="0"/>
                  <w:vAlign w:val="center"/>
                </w:tcPr>
                <w:p w14:paraId="44EA446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olor w:val="auto"/>
                      <w:szCs w:val="21"/>
                    </w:rPr>
                  </w:pPr>
                  <w:r>
                    <w:rPr>
                      <w:rFonts w:hint="eastAsia"/>
                      <w:color w:val="auto"/>
                      <w:szCs w:val="21"/>
                    </w:rPr>
                    <w:t>2</w:t>
                  </w:r>
                </w:p>
              </w:tc>
              <w:tc>
                <w:tcPr>
                  <w:tcW w:w="748" w:type="pct"/>
                  <w:noWrap w:val="0"/>
                  <w:tcMar>
                    <w:left w:w="0" w:type="dxa"/>
                    <w:right w:w="0" w:type="dxa"/>
                  </w:tcMar>
                  <w:vAlign w:val="center"/>
                </w:tcPr>
                <w:p w14:paraId="678C34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olor w:val="auto"/>
                    </w:rPr>
                  </w:pPr>
                  <w:r>
                    <w:rPr>
                      <w:rFonts w:hint="default"/>
                      <w:color w:val="auto"/>
                      <w:szCs w:val="21"/>
                    </w:rPr>
                    <w:t>生产用水</w:t>
                  </w:r>
                </w:p>
              </w:tc>
              <w:tc>
                <w:tcPr>
                  <w:tcW w:w="721" w:type="pct"/>
                  <w:noWrap w:val="0"/>
                  <w:vAlign w:val="center"/>
                </w:tcPr>
                <w:p w14:paraId="36EF49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olor w:val="auto"/>
                      <w:szCs w:val="21"/>
                    </w:rPr>
                  </w:pPr>
                  <w:r>
                    <w:rPr>
                      <w:rFonts w:hint="default"/>
                      <w:color w:val="auto"/>
                      <w:szCs w:val="21"/>
                    </w:rPr>
                    <w:t>0.</w:t>
                  </w:r>
                  <w:r>
                    <w:rPr>
                      <w:rFonts w:hint="eastAsia"/>
                      <w:color w:val="auto"/>
                      <w:szCs w:val="21"/>
                    </w:rPr>
                    <w:t>1</w:t>
                  </w:r>
                  <w:r>
                    <w:rPr>
                      <w:rFonts w:hint="default"/>
                      <w:color w:val="auto"/>
                      <w:szCs w:val="21"/>
                    </w:rPr>
                    <w:t>m</w:t>
                  </w:r>
                  <w:r>
                    <w:rPr>
                      <w:rFonts w:hint="default"/>
                      <w:color w:val="auto"/>
                      <w:szCs w:val="21"/>
                      <w:vertAlign w:val="superscript"/>
                    </w:rPr>
                    <w:t>3</w:t>
                  </w:r>
                  <w:r>
                    <w:rPr>
                      <w:rFonts w:hint="default"/>
                      <w:color w:val="auto"/>
                      <w:szCs w:val="21"/>
                    </w:rPr>
                    <w:t>/m</w:t>
                  </w:r>
                </w:p>
              </w:tc>
              <w:tc>
                <w:tcPr>
                  <w:tcW w:w="824" w:type="pct"/>
                  <w:noWrap w:val="0"/>
                  <w:vAlign w:val="center"/>
                </w:tcPr>
                <w:p w14:paraId="375A2C6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eastAsia="宋体"/>
                      <w:color w:val="auto"/>
                      <w:szCs w:val="21"/>
                      <w:lang w:val="en-US" w:eastAsia="zh-CN"/>
                    </w:rPr>
                  </w:pPr>
                  <w:r>
                    <w:rPr>
                      <w:rFonts w:hint="eastAsia"/>
                      <w:color w:val="auto"/>
                      <w:szCs w:val="21"/>
                      <w:lang w:val="en-US" w:eastAsia="zh-CN"/>
                    </w:rPr>
                    <w:t>6600</w:t>
                  </w:r>
                </w:p>
              </w:tc>
              <w:tc>
                <w:tcPr>
                  <w:tcW w:w="777" w:type="pct"/>
                  <w:noWrap w:val="0"/>
                  <w:vAlign w:val="center"/>
                </w:tcPr>
                <w:p w14:paraId="426EE7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eastAsia="宋体"/>
                      <w:color w:val="auto"/>
                      <w:kern w:val="0"/>
                      <w:szCs w:val="21"/>
                      <w:lang w:val="en-US" w:eastAsia="zh-CN"/>
                    </w:rPr>
                  </w:pPr>
                  <w:r>
                    <w:rPr>
                      <w:rFonts w:hint="eastAsia"/>
                      <w:color w:val="auto"/>
                      <w:kern w:val="0"/>
                      <w:szCs w:val="21"/>
                      <w:lang w:val="en-US" w:eastAsia="zh-CN"/>
                    </w:rPr>
                    <w:t>660</w:t>
                  </w:r>
                </w:p>
              </w:tc>
              <w:tc>
                <w:tcPr>
                  <w:tcW w:w="559" w:type="pct"/>
                  <w:noWrap w:val="0"/>
                  <w:vAlign w:val="center"/>
                </w:tcPr>
                <w:p w14:paraId="3FDE47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olor w:val="auto"/>
                      <w:kern w:val="0"/>
                      <w:szCs w:val="21"/>
                      <w:lang w:val="en-US" w:eastAsia="zh-CN"/>
                    </w:rPr>
                  </w:pPr>
                  <w:r>
                    <w:rPr>
                      <w:rFonts w:hint="eastAsia"/>
                      <w:color w:val="auto"/>
                      <w:kern w:val="0"/>
                      <w:szCs w:val="21"/>
                      <w:lang w:val="en-US" w:eastAsia="zh-CN"/>
                    </w:rPr>
                    <w:t>132</w:t>
                  </w:r>
                </w:p>
              </w:tc>
              <w:tc>
                <w:tcPr>
                  <w:tcW w:w="559" w:type="pct"/>
                  <w:noWrap w:val="0"/>
                  <w:vAlign w:val="center"/>
                </w:tcPr>
                <w:p w14:paraId="6AAE08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eastAsia="宋体"/>
                      <w:color w:val="auto"/>
                      <w:lang w:val="en-US" w:eastAsia="zh-CN"/>
                    </w:rPr>
                  </w:pPr>
                  <w:r>
                    <w:rPr>
                      <w:rFonts w:hint="eastAsia"/>
                      <w:color w:val="auto"/>
                      <w:lang w:val="en-US" w:eastAsia="zh-CN"/>
                    </w:rPr>
                    <w:t>211</w:t>
                  </w:r>
                </w:p>
              </w:tc>
              <w:tc>
                <w:tcPr>
                  <w:tcW w:w="530" w:type="pct"/>
                  <w:noWrap w:val="0"/>
                  <w:vAlign w:val="center"/>
                </w:tcPr>
                <w:p w14:paraId="69D8FE2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eastAsia="宋体"/>
                      <w:color w:val="auto"/>
                      <w:szCs w:val="21"/>
                      <w:lang w:eastAsia="zh-CN"/>
                    </w:rPr>
                  </w:pPr>
                  <w:r>
                    <w:rPr>
                      <w:rFonts w:hint="eastAsia"/>
                      <w:color w:val="auto"/>
                      <w:szCs w:val="21"/>
                      <w:lang w:eastAsia="zh-CN"/>
                    </w:rPr>
                    <w:t>吉兰泰联合站</w:t>
                  </w:r>
                </w:p>
              </w:tc>
            </w:tr>
            <w:tr w14:paraId="777B471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02" w:hRule="atLeast"/>
                <w:jc w:val="center"/>
              </w:trPr>
              <w:tc>
                <w:tcPr>
                  <w:tcW w:w="278" w:type="pct"/>
                  <w:noWrap w:val="0"/>
                  <w:vAlign w:val="center"/>
                </w:tcPr>
                <w:p w14:paraId="78F4AD2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olor w:val="auto"/>
                      <w:szCs w:val="21"/>
                    </w:rPr>
                  </w:pPr>
                  <w:r>
                    <w:rPr>
                      <w:rFonts w:hint="default"/>
                      <w:color w:val="auto"/>
                      <w:szCs w:val="21"/>
                    </w:rPr>
                    <w:t>3</w:t>
                  </w:r>
                </w:p>
              </w:tc>
              <w:tc>
                <w:tcPr>
                  <w:tcW w:w="748" w:type="pct"/>
                  <w:noWrap w:val="0"/>
                  <w:vAlign w:val="center"/>
                </w:tcPr>
                <w:p w14:paraId="515E5C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抑尘</w:t>
                  </w:r>
                </w:p>
              </w:tc>
              <w:tc>
                <w:tcPr>
                  <w:tcW w:w="721" w:type="pct"/>
                  <w:noWrap w:val="0"/>
                  <w:vAlign w:val="center"/>
                </w:tcPr>
                <w:p w14:paraId="393696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olor w:val="auto"/>
                      <w:szCs w:val="21"/>
                    </w:rPr>
                  </w:pPr>
                  <w:r>
                    <w:rPr>
                      <w:rFonts w:hint="default"/>
                      <w:color w:val="auto"/>
                      <w:szCs w:val="21"/>
                    </w:rPr>
                    <w:t>2m</w:t>
                  </w:r>
                  <w:r>
                    <w:rPr>
                      <w:rFonts w:hint="default"/>
                      <w:color w:val="auto"/>
                      <w:szCs w:val="21"/>
                      <w:vertAlign w:val="superscript"/>
                    </w:rPr>
                    <w:t>3</w:t>
                  </w:r>
                  <w:r>
                    <w:rPr>
                      <w:rFonts w:hint="default"/>
                      <w:color w:val="auto"/>
                      <w:szCs w:val="21"/>
                    </w:rPr>
                    <w:t>/d</w:t>
                  </w:r>
                </w:p>
              </w:tc>
              <w:tc>
                <w:tcPr>
                  <w:tcW w:w="824" w:type="pct"/>
                  <w:noWrap w:val="0"/>
                  <w:vAlign w:val="center"/>
                </w:tcPr>
                <w:p w14:paraId="4AB17FF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olor w:val="auto"/>
                      <w:szCs w:val="21"/>
                    </w:rPr>
                  </w:pPr>
                  <w:r>
                    <w:rPr>
                      <w:rFonts w:hint="eastAsia"/>
                      <w:color w:val="auto"/>
                      <w:szCs w:val="21"/>
                    </w:rPr>
                    <w:t>6</w:t>
                  </w:r>
                  <w:r>
                    <w:rPr>
                      <w:rFonts w:hint="default"/>
                      <w:color w:val="auto"/>
                      <w:szCs w:val="21"/>
                    </w:rPr>
                    <w:t>0天</w:t>
                  </w:r>
                </w:p>
              </w:tc>
              <w:tc>
                <w:tcPr>
                  <w:tcW w:w="777" w:type="pct"/>
                  <w:noWrap w:val="0"/>
                  <w:vAlign w:val="center"/>
                </w:tcPr>
                <w:p w14:paraId="15159B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olor w:val="auto"/>
                      <w:kern w:val="0"/>
                      <w:szCs w:val="21"/>
                    </w:rPr>
                  </w:pPr>
                  <w:r>
                    <w:rPr>
                      <w:rFonts w:hint="eastAsia"/>
                      <w:color w:val="auto"/>
                      <w:kern w:val="0"/>
                      <w:szCs w:val="21"/>
                    </w:rPr>
                    <w:t>120</w:t>
                  </w:r>
                </w:p>
              </w:tc>
              <w:tc>
                <w:tcPr>
                  <w:tcW w:w="559" w:type="pct"/>
                  <w:noWrap w:val="0"/>
                  <w:vAlign w:val="center"/>
                </w:tcPr>
                <w:p w14:paraId="3B6C49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eastAsia="宋体"/>
                      <w:color w:val="auto"/>
                      <w:kern w:val="0"/>
                      <w:szCs w:val="21"/>
                      <w:lang w:val="en-US" w:eastAsia="zh-CN"/>
                    </w:rPr>
                  </w:pPr>
                  <w:r>
                    <w:rPr>
                      <w:rFonts w:hint="eastAsia"/>
                      <w:color w:val="auto"/>
                      <w:kern w:val="0"/>
                      <w:szCs w:val="21"/>
                      <w:lang w:val="en-US" w:eastAsia="zh-CN"/>
                    </w:rPr>
                    <w:t>120</w:t>
                  </w:r>
                </w:p>
              </w:tc>
              <w:tc>
                <w:tcPr>
                  <w:tcW w:w="559" w:type="pct"/>
                  <w:noWrap w:val="0"/>
                  <w:vAlign w:val="center"/>
                </w:tcPr>
                <w:p w14:paraId="21A3F9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eastAsia="宋体"/>
                      <w:color w:val="auto"/>
                      <w:szCs w:val="21"/>
                      <w:lang w:eastAsia="zh-CN"/>
                    </w:rPr>
                  </w:pPr>
                  <w:r>
                    <w:rPr>
                      <w:rFonts w:hint="eastAsia"/>
                      <w:color w:val="auto"/>
                      <w:szCs w:val="21"/>
                      <w:lang w:val="en-US" w:eastAsia="zh-CN"/>
                    </w:rPr>
                    <w:t>0</w:t>
                  </w:r>
                </w:p>
              </w:tc>
              <w:tc>
                <w:tcPr>
                  <w:tcW w:w="530" w:type="pct"/>
                  <w:noWrap w:val="0"/>
                  <w:vAlign w:val="center"/>
                </w:tcPr>
                <w:p w14:paraId="71BD92C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olor w:val="auto"/>
                      <w:szCs w:val="21"/>
                    </w:rPr>
                  </w:pPr>
                  <w:r>
                    <w:rPr>
                      <w:rFonts w:hint="default"/>
                      <w:color w:val="auto"/>
                      <w:szCs w:val="21"/>
                    </w:rPr>
                    <w:t>-</w:t>
                  </w:r>
                </w:p>
              </w:tc>
            </w:tr>
          </w:tbl>
          <w:p w14:paraId="56B57CB2">
            <w:pPr>
              <w:keepNext w:val="0"/>
              <w:keepLines w:val="0"/>
              <w:suppressLineNumbers w:val="0"/>
              <w:tabs>
                <w:tab w:val="left" w:pos="2551"/>
              </w:tabs>
              <w:spacing w:before="0" w:beforeAutospacing="0" w:after="0" w:afterAutospacing="0"/>
              <w:ind w:left="0" w:right="0"/>
              <w:jc w:val="left"/>
              <w:rPr>
                <w:rFonts w:hint="eastAsia"/>
                <w:b/>
                <w:color w:val="auto"/>
                <w:sz w:val="24"/>
              </w:rPr>
            </w:pPr>
            <w:r>
              <w:rPr>
                <w:rFonts w:hint="default"/>
                <w:color w:val="auto"/>
                <w:sz w:val="24"/>
              </w:rPr>
              <mc:AlternateContent>
                <mc:Choice Requires="wpc">
                  <w:drawing>
                    <wp:inline distT="0" distB="0" distL="114300" distR="114300">
                      <wp:extent cx="5230495" cy="2593340"/>
                      <wp:effectExtent l="0" t="0" r="8255" b="0"/>
                      <wp:docPr id="33" name="画布 13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15875">
                                <a:noFill/>
                              </a:ln>
                            </wpc:whole>
                            <wps:wsp>
                              <wps:cNvPr id="2" name="AutoShape 1388"/>
                              <wps:cNvCnPr/>
                              <wps:spPr>
                                <a:xfrm>
                                  <a:off x="88911" y="1421826"/>
                                  <a:ext cx="504251" cy="635"/>
                                </a:xfrm>
                                <a:prstGeom prst="straightConnector1">
                                  <a:avLst/>
                                </a:prstGeom>
                                <a:ln w="15875" cap="flat" cmpd="sng">
                                  <a:solidFill>
                                    <a:srgbClr val="000000"/>
                                  </a:solidFill>
                                  <a:prstDash val="solid"/>
                                  <a:headEnd type="none" w="med" len="med"/>
                                  <a:tailEnd type="triangle" w="med" len="med"/>
                                </a:ln>
                              </wps:spPr>
                              <wps:bodyPr/>
                            </wps:wsp>
                            <wps:wsp>
                              <wps:cNvPr id="3" name="Text Box 1391"/>
                              <wps:cNvSpPr txBox="1"/>
                              <wps:spPr>
                                <a:xfrm>
                                  <a:off x="101600" y="775970"/>
                                  <a:ext cx="467995" cy="526415"/>
                                </a:xfrm>
                                <a:prstGeom prst="rect">
                                  <a:avLst/>
                                </a:prstGeom>
                                <a:noFill/>
                                <a:ln w="15875">
                                  <a:noFill/>
                                </a:ln>
                              </wps:spPr>
                              <wps:txbx>
                                <w:txbxContent>
                                  <w:p w14:paraId="573F22D1">
                                    <w:pPr>
                                      <w:jc w:val="center"/>
                                    </w:pPr>
                                    <w:r>
                                      <w:rPr>
                                        <w:rFonts w:hint="eastAsia"/>
                                      </w:rPr>
                                      <w:t>新鲜水</w:t>
                                    </w:r>
                                  </w:p>
                                  <w:p w14:paraId="290F3BA5">
                                    <w:pPr>
                                      <w:jc w:val="center"/>
                                      <w:rPr>
                                        <w:rFonts w:hint="default" w:eastAsia="宋体"/>
                                        <w:lang w:val="en-US" w:eastAsia="zh-CN"/>
                                      </w:rPr>
                                    </w:pPr>
                                    <w:r>
                                      <w:rPr>
                                        <w:rFonts w:hint="eastAsia"/>
                                        <w:lang w:val="en-US" w:eastAsia="zh-CN"/>
                                      </w:rPr>
                                      <w:t>83</w:t>
                                    </w:r>
                                    <w:r>
                                      <w:rPr>
                                        <w:rFonts w:hint="eastAsia" w:eastAsia="宋体"/>
                                        <w:lang w:val="en-US" w:eastAsia="zh-CN"/>
                                      </w:rPr>
                                      <w:t>4</w:t>
                                    </w:r>
                                  </w:p>
                                </w:txbxContent>
                              </wps:txbx>
                              <wps:bodyPr vert="horz" wrap="square" lIns="0" tIns="45720" rIns="0" bIns="45720" anchor="t" anchorCtr="0" upright="1"/>
                            </wps:wsp>
                            <wps:wsp>
                              <wps:cNvPr id="4" name="Rectangle 1393"/>
                              <wps:cNvSpPr/>
                              <wps:spPr>
                                <a:xfrm>
                                  <a:off x="2254250" y="334010"/>
                                  <a:ext cx="889635" cy="984885"/>
                                </a:xfrm>
                                <a:prstGeom prst="rect">
                                  <a:avLst/>
                                </a:prstGeom>
                                <a:noFill/>
                                <a:ln w="15875" cap="flat" cmpd="sng">
                                  <a:solidFill>
                                    <a:srgbClr val="000000"/>
                                  </a:solidFill>
                                  <a:prstDash val="solid"/>
                                  <a:miter/>
                                  <a:headEnd type="none" w="med" len="med"/>
                                  <a:tailEnd type="none" w="med" len="med"/>
                                </a:ln>
                              </wps:spPr>
                              <wps:txbx>
                                <w:txbxContent>
                                  <w:p w14:paraId="0A737A03">
                                    <w:pPr>
                                      <w:rPr>
                                        <w:rFonts w:hint="eastAsia"/>
                                        <w:lang w:val="en-US" w:eastAsia="zh-CN"/>
                                      </w:rPr>
                                    </w:pPr>
                                    <w:r>
                                      <w:rPr>
                                        <w:rFonts w:hint="eastAsia"/>
                                        <w:lang w:val="en-US" w:eastAsia="zh-CN"/>
                                      </w:rPr>
                                      <w:t>随钻废弃物处理系统</w:t>
                                    </w:r>
                                  </w:p>
                                  <w:p w14:paraId="610C8A59">
                                    <w:pPr>
                                      <w:rPr>
                                        <w:rFonts w:hint="eastAsia"/>
                                        <w:lang w:val="en-US" w:eastAsia="zh-CN"/>
                                      </w:rPr>
                                    </w:pPr>
                                  </w:p>
                                </w:txbxContent>
                              </wps:txbx>
                              <wps:bodyPr vert="horz" wrap="square" anchor="t" anchorCtr="0" upright="1"/>
                            </wps:wsp>
                            <wps:wsp>
                              <wps:cNvPr id="5" name="Text Box 1401"/>
                              <wps:cNvSpPr txBox="1"/>
                              <wps:spPr>
                                <a:xfrm>
                                  <a:off x="3703955" y="138430"/>
                                  <a:ext cx="575945" cy="431800"/>
                                </a:xfrm>
                                <a:prstGeom prst="rect">
                                  <a:avLst/>
                                </a:prstGeom>
                                <a:noFill/>
                                <a:ln w="15875" cap="flat" cmpd="sng">
                                  <a:solidFill>
                                    <a:srgbClr val="FFFFFF"/>
                                  </a:solidFill>
                                  <a:prstDash val="solid"/>
                                  <a:miter/>
                                  <a:headEnd type="none" w="med" len="med"/>
                                  <a:tailEnd type="none" w="med" len="med"/>
                                </a:ln>
                              </wps:spPr>
                              <wps:txbx>
                                <w:txbxContent>
                                  <w:p w14:paraId="597FAECE">
                                    <w:pPr>
                                      <w:rPr>
                                        <w:rFonts w:hint="default" w:eastAsia="宋体"/>
                                        <w:lang w:val="en-US" w:eastAsia="zh-CN"/>
                                      </w:rPr>
                                    </w:pPr>
                                    <w:r>
                                      <w:rPr>
                                        <w:rFonts w:hint="eastAsia"/>
                                      </w:rPr>
                                      <w:t>泥饼废弃物</w:t>
                                    </w:r>
                                    <w:r>
                                      <w:rPr>
                                        <w:rFonts w:hint="eastAsia"/>
                                        <w:highlight w:val="none"/>
                                        <w:lang w:val="en-US" w:eastAsia="zh-CN"/>
                                      </w:rPr>
                                      <w:t>317</w:t>
                                    </w:r>
                                  </w:p>
                                </w:txbxContent>
                              </wps:txbx>
                              <wps:bodyPr vert="horz" wrap="square" lIns="0" tIns="45720" rIns="0" bIns="45720" anchor="t" anchorCtr="0" upright="1"/>
                            </wps:wsp>
                            <wps:wsp>
                              <wps:cNvPr id="6" name="AutoShape 1390"/>
                              <wps:cNvCnPr/>
                              <wps:spPr>
                                <a:xfrm>
                                  <a:off x="596337" y="532391"/>
                                  <a:ext cx="431852" cy="1271"/>
                                </a:xfrm>
                                <a:prstGeom prst="straightConnector1">
                                  <a:avLst/>
                                </a:prstGeom>
                                <a:ln w="15875" cap="flat" cmpd="sng">
                                  <a:solidFill>
                                    <a:srgbClr val="000000"/>
                                  </a:solidFill>
                                  <a:prstDash val="solid"/>
                                  <a:headEnd type="none" w="med" len="med"/>
                                  <a:tailEnd type="triangle" w="med" len="med"/>
                                </a:ln>
                              </wps:spPr>
                              <wps:bodyPr/>
                            </wps:wsp>
                            <wps:wsp>
                              <wps:cNvPr id="7" name="Rectangle 1405"/>
                              <wps:cNvSpPr/>
                              <wps:spPr>
                                <a:xfrm>
                                  <a:off x="1028190" y="324644"/>
                                  <a:ext cx="828141" cy="432012"/>
                                </a:xfrm>
                                <a:prstGeom prst="rect">
                                  <a:avLst/>
                                </a:prstGeom>
                                <a:noFill/>
                                <a:ln w="15875" cap="flat" cmpd="sng">
                                  <a:solidFill>
                                    <a:srgbClr val="000000"/>
                                  </a:solidFill>
                                  <a:prstDash val="solid"/>
                                  <a:miter/>
                                  <a:headEnd type="none" w="med" len="med"/>
                                  <a:tailEnd type="none" w="med" len="med"/>
                                </a:ln>
                              </wps:spPr>
                              <wps:txbx>
                                <w:txbxContent>
                                  <w:p w14:paraId="2799A8FD">
                                    <w:pPr>
                                      <w:pStyle w:val="25"/>
                                      <w:jc w:val="center"/>
                                      <w:rPr>
                                        <w:rFonts w:hint="eastAsia" w:ascii="Times New Roman" w:hAnsi="Times New Roman"/>
                                      </w:rPr>
                                    </w:pPr>
                                    <w:r>
                                      <w:rPr>
                                        <w:rFonts w:hint="eastAsia" w:ascii="Times New Roman" w:hAnsi="Times New Roman"/>
                                        <w:sz w:val="21"/>
                                        <w:szCs w:val="21"/>
                                        <w:lang w:val="en-US" w:eastAsia="zh-CN"/>
                                      </w:rPr>
                                      <w:t>扎格6</w:t>
                                    </w:r>
                                    <w:r>
                                      <w:rPr>
                                        <w:rFonts w:ascii="Times New Roman" w:hAnsi="Times New Roman"/>
                                        <w:sz w:val="21"/>
                                        <w:szCs w:val="21"/>
                                      </w:rPr>
                                      <w:t>钻井液系统</w:t>
                                    </w:r>
                                  </w:p>
                                </w:txbxContent>
                              </wps:txbx>
                              <wps:bodyPr vert="horz" wrap="square" lIns="0" tIns="45720" rIns="0" bIns="45720" anchor="t" anchorCtr="0" upright="1"/>
                            </wps:wsp>
                            <wps:wsp>
                              <wps:cNvPr id="8" name="Text Box 1406"/>
                              <wps:cNvSpPr txBox="1"/>
                              <wps:spPr>
                                <a:xfrm>
                                  <a:off x="1863316" y="296690"/>
                                  <a:ext cx="447729" cy="252219"/>
                                </a:xfrm>
                                <a:prstGeom prst="rect">
                                  <a:avLst/>
                                </a:prstGeom>
                                <a:gradFill rotWithShape="1">
                                  <a:gsLst>
                                    <a:gs pos="0">
                                      <a:srgbClr val="FFFFFF">
                                        <a:alpha val="0"/>
                                      </a:srgbClr>
                                    </a:gs>
                                    <a:gs pos="100000">
                                      <a:srgbClr val="FFFFFF">
                                        <a:alpha val="0"/>
                                      </a:srgbClr>
                                    </a:gs>
                                  </a:gsLst>
                                  <a:lin ang="5400000" scaled="1"/>
                                  <a:tileRect/>
                                </a:gradFill>
                                <a:ln w="15875">
                                  <a:noFill/>
                                </a:ln>
                              </wps:spPr>
                              <wps:txbx>
                                <w:txbxContent>
                                  <w:p w14:paraId="3322361A">
                                    <w:pPr>
                                      <w:pStyle w:val="25"/>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528</w:t>
                                    </w:r>
                                  </w:p>
                                </w:txbxContent>
                              </wps:txbx>
                              <wps:bodyPr vert="horz" wrap="square" lIns="0" tIns="45720" rIns="0" bIns="45720" anchor="t" anchorCtr="0" upright="1"/>
                            </wps:wsp>
                            <wps:wsp>
                              <wps:cNvPr id="9" name="AutoShape 1408"/>
                              <wps:cNvCnPr/>
                              <wps:spPr>
                                <a:xfrm>
                                  <a:off x="1863316" y="552721"/>
                                  <a:ext cx="396288" cy="635"/>
                                </a:xfrm>
                                <a:prstGeom prst="straightConnector1">
                                  <a:avLst/>
                                </a:prstGeom>
                                <a:ln w="9525" cap="flat" cmpd="sng">
                                  <a:solidFill>
                                    <a:srgbClr val="000000"/>
                                  </a:solidFill>
                                  <a:prstDash val="solid"/>
                                  <a:headEnd type="none" w="med" len="med"/>
                                  <a:tailEnd type="triangle" w="med" len="med"/>
                                </a:ln>
                              </wps:spPr>
                              <wps:bodyPr/>
                            </wps:wsp>
                            <wps:wsp>
                              <wps:cNvPr id="10" name="AutoShape 1390"/>
                              <wps:cNvCnPr/>
                              <wps:spPr>
                                <a:xfrm>
                                  <a:off x="586176" y="2352557"/>
                                  <a:ext cx="470592" cy="4447"/>
                                </a:xfrm>
                                <a:prstGeom prst="straightConnector1">
                                  <a:avLst/>
                                </a:prstGeom>
                                <a:ln w="15875" cap="flat" cmpd="sng">
                                  <a:solidFill>
                                    <a:srgbClr val="000000"/>
                                  </a:solidFill>
                                  <a:prstDash val="solid"/>
                                  <a:headEnd type="none" w="med" len="med"/>
                                  <a:tailEnd type="triangle" w="med" len="med"/>
                                </a:ln>
                              </wps:spPr>
                              <wps:bodyPr/>
                            </wps:wsp>
                            <wps:wsp>
                              <wps:cNvPr id="11" name="Text Box 1406"/>
                              <wps:cNvSpPr txBox="1"/>
                              <wps:spPr>
                                <a:xfrm>
                                  <a:off x="3237865" y="899795"/>
                                  <a:ext cx="699770" cy="252730"/>
                                </a:xfrm>
                                <a:prstGeom prst="rect">
                                  <a:avLst/>
                                </a:prstGeom>
                                <a:gradFill rotWithShape="1">
                                  <a:gsLst>
                                    <a:gs pos="0">
                                      <a:srgbClr val="FFFFFF">
                                        <a:alpha val="0"/>
                                      </a:srgbClr>
                                    </a:gs>
                                    <a:gs pos="100000">
                                      <a:srgbClr val="FFFFFF">
                                        <a:alpha val="0"/>
                                      </a:srgbClr>
                                    </a:gs>
                                  </a:gsLst>
                                  <a:lin ang="5400000" scaled="1"/>
                                  <a:tileRect/>
                                </a:gradFill>
                                <a:ln w="15875">
                                  <a:noFill/>
                                </a:ln>
                              </wps:spPr>
                              <wps:txbx>
                                <w:txbxContent>
                                  <w:p w14:paraId="3D7F4240">
                                    <w:pPr>
                                      <w:pStyle w:val="25"/>
                                      <w:jc w:val="both"/>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211</w:t>
                                    </w:r>
                                  </w:p>
                                </w:txbxContent>
                              </wps:txbx>
                              <wps:bodyPr vert="horz" wrap="square" lIns="0" tIns="45720" rIns="0" bIns="45720" anchor="t" anchorCtr="0" upright="1"/>
                            </wps:wsp>
                            <wps:wsp>
                              <wps:cNvPr id="12" name="AutoShape 1398"/>
                              <wps:cNvCnPr/>
                              <wps:spPr>
                                <a:xfrm flipV="1">
                                  <a:off x="1444800" y="135957"/>
                                  <a:ext cx="266732" cy="179793"/>
                                </a:xfrm>
                                <a:prstGeom prst="straightConnector1">
                                  <a:avLst/>
                                </a:prstGeom>
                                <a:ln w="15875" cap="flat" cmpd="sng">
                                  <a:solidFill>
                                    <a:srgbClr val="000000"/>
                                  </a:solidFill>
                                  <a:prstDash val="dash"/>
                                  <a:headEnd type="none" w="med" len="med"/>
                                  <a:tailEnd type="triangle" w="med" len="med"/>
                                </a:ln>
                              </wps:spPr>
                              <wps:bodyPr/>
                            </wps:wsp>
                            <wps:wsp>
                              <wps:cNvPr id="13" name="Text Box 1406"/>
                              <wps:cNvSpPr txBox="1"/>
                              <wps:spPr>
                                <a:xfrm>
                                  <a:off x="1722329" y="47013"/>
                                  <a:ext cx="360089" cy="252219"/>
                                </a:xfrm>
                                <a:prstGeom prst="rect">
                                  <a:avLst/>
                                </a:prstGeom>
                                <a:gradFill rotWithShape="1">
                                  <a:gsLst>
                                    <a:gs pos="0">
                                      <a:srgbClr val="FFFFFF">
                                        <a:alpha val="0"/>
                                      </a:srgbClr>
                                    </a:gs>
                                    <a:gs pos="100000">
                                      <a:srgbClr val="FFFFFF">
                                        <a:alpha val="0"/>
                                      </a:srgbClr>
                                    </a:gs>
                                  </a:gsLst>
                                  <a:lin ang="5400000" scaled="1"/>
                                  <a:tileRect/>
                                </a:gradFill>
                                <a:ln w="15875">
                                  <a:noFill/>
                                </a:ln>
                              </wps:spPr>
                              <wps:txbx>
                                <w:txbxContent>
                                  <w:p w14:paraId="066F7218">
                                    <w:pPr>
                                      <w:pStyle w:val="25"/>
                                      <w:rPr>
                                        <w:rFonts w:hint="default" w:ascii="Times New Roman" w:hAnsi="Times New Roman" w:eastAsia="宋体"/>
                                        <w:lang w:val="en-US" w:eastAsia="zh-CN"/>
                                      </w:rPr>
                                    </w:pPr>
                                    <w:r>
                                      <w:rPr>
                                        <w:rFonts w:hint="eastAsia" w:ascii="Times New Roman" w:hAnsi="Times New Roman"/>
                                        <w:sz w:val="21"/>
                                        <w:szCs w:val="21"/>
                                        <w:lang w:val="en-US" w:eastAsia="zh-CN"/>
                                      </w:rPr>
                                      <w:t>132</w:t>
                                    </w:r>
                                  </w:p>
                                </w:txbxContent>
                              </wps:txbx>
                              <wps:bodyPr vert="horz" wrap="square" lIns="0" tIns="45720" rIns="0" bIns="45720" anchor="t" anchorCtr="0" upright="1"/>
                            </wps:wsp>
                            <wps:wsp>
                              <wps:cNvPr id="14" name="AutoShape 1398"/>
                              <wps:cNvCnPr/>
                              <wps:spPr>
                                <a:xfrm flipV="1">
                                  <a:off x="1372402" y="2036172"/>
                                  <a:ext cx="266732" cy="179793"/>
                                </a:xfrm>
                                <a:prstGeom prst="straightConnector1">
                                  <a:avLst/>
                                </a:prstGeom>
                                <a:ln w="15875" cap="flat" cmpd="sng">
                                  <a:solidFill>
                                    <a:srgbClr val="000000"/>
                                  </a:solidFill>
                                  <a:prstDash val="dash"/>
                                  <a:headEnd type="none" w="med" len="med"/>
                                  <a:tailEnd type="triangle" w="med" len="med"/>
                                </a:ln>
                              </wps:spPr>
                              <wps:bodyPr/>
                            </wps:wsp>
                            <wps:wsp>
                              <wps:cNvPr id="15" name="Text Box 1406"/>
                              <wps:cNvSpPr txBox="1"/>
                              <wps:spPr>
                                <a:xfrm>
                                  <a:off x="558233" y="279537"/>
                                  <a:ext cx="468052" cy="252219"/>
                                </a:xfrm>
                                <a:prstGeom prst="rect">
                                  <a:avLst/>
                                </a:prstGeom>
                                <a:gradFill rotWithShape="1">
                                  <a:gsLst>
                                    <a:gs pos="0">
                                      <a:srgbClr val="FFFFFF">
                                        <a:alpha val="0"/>
                                      </a:srgbClr>
                                    </a:gs>
                                    <a:gs pos="100000">
                                      <a:srgbClr val="FFFFFF">
                                        <a:alpha val="0"/>
                                      </a:srgbClr>
                                    </a:gs>
                                  </a:gsLst>
                                  <a:lin ang="5400000" scaled="1"/>
                                  <a:tileRect/>
                                </a:gradFill>
                                <a:ln w="15875">
                                  <a:noFill/>
                                </a:ln>
                              </wps:spPr>
                              <wps:txbx>
                                <w:txbxContent>
                                  <w:p w14:paraId="71F836AC">
                                    <w:pPr>
                                      <w:pStyle w:val="25"/>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660</w:t>
                                    </w:r>
                                  </w:p>
                                </w:txbxContent>
                              </wps:txbx>
                              <wps:bodyPr vert="horz" wrap="square" lIns="0" tIns="45720" rIns="0" bIns="45720" anchor="t" anchorCtr="0" upright="1"/>
                            </wps:wsp>
                            <wps:wsp>
                              <wps:cNvPr id="16" name="Rectangle 1405"/>
                              <wps:cNvSpPr/>
                              <wps:spPr>
                                <a:xfrm>
                                  <a:off x="1040891" y="1293493"/>
                                  <a:ext cx="612214" cy="306855"/>
                                </a:xfrm>
                                <a:prstGeom prst="rect">
                                  <a:avLst/>
                                </a:prstGeom>
                                <a:noFill/>
                                <a:ln w="15875" cap="flat" cmpd="sng">
                                  <a:solidFill>
                                    <a:srgbClr val="000000"/>
                                  </a:solidFill>
                                  <a:prstDash val="solid"/>
                                  <a:miter/>
                                  <a:headEnd type="none" w="med" len="med"/>
                                  <a:tailEnd type="none" w="med" len="med"/>
                                </a:ln>
                              </wps:spPr>
                              <wps:txbx>
                                <w:txbxContent>
                                  <w:p w14:paraId="710DF1B6">
                                    <w:pPr>
                                      <w:pStyle w:val="25"/>
                                      <w:jc w:val="center"/>
                                      <w:rPr>
                                        <w:rFonts w:ascii="Times New Roman" w:hAnsi="Times New Roman"/>
                                      </w:rPr>
                                    </w:pPr>
                                    <w:r>
                                      <w:rPr>
                                        <w:rFonts w:hint="eastAsia" w:ascii="Times New Roman" w:hAnsi="Times New Roman"/>
                                        <w:sz w:val="21"/>
                                        <w:szCs w:val="21"/>
                                      </w:rPr>
                                      <w:t>洒水降尘</w:t>
                                    </w:r>
                                  </w:p>
                                </w:txbxContent>
                              </wps:txbx>
                              <wps:bodyPr vert="horz" wrap="square" lIns="0" tIns="45720" rIns="0" bIns="45720" anchor="t" anchorCtr="0" upright="1"/>
                            </wps:wsp>
                            <wps:wsp>
                              <wps:cNvPr id="17" name="Text Box 1406"/>
                              <wps:cNvSpPr txBox="1"/>
                              <wps:spPr>
                                <a:xfrm>
                                  <a:off x="1690575" y="1937064"/>
                                  <a:ext cx="323889" cy="252219"/>
                                </a:xfrm>
                                <a:prstGeom prst="rect">
                                  <a:avLst/>
                                </a:prstGeom>
                                <a:gradFill rotWithShape="1">
                                  <a:gsLst>
                                    <a:gs pos="0">
                                      <a:srgbClr val="FFFFFF">
                                        <a:alpha val="0"/>
                                      </a:srgbClr>
                                    </a:gs>
                                    <a:gs pos="100000">
                                      <a:srgbClr val="FFFFFF">
                                        <a:alpha val="0"/>
                                      </a:srgbClr>
                                    </a:gs>
                                  </a:gsLst>
                                  <a:lin ang="5400000" scaled="1"/>
                                  <a:tileRect/>
                                </a:gradFill>
                                <a:ln w="15875">
                                  <a:noFill/>
                                </a:ln>
                              </wps:spPr>
                              <wps:txbx>
                                <w:txbxContent>
                                  <w:p w14:paraId="4DAC6C03">
                                    <w:pPr>
                                      <w:pStyle w:val="25"/>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11</w:t>
                                    </w:r>
                                  </w:p>
                                </w:txbxContent>
                              </wps:txbx>
                              <wps:bodyPr vert="horz" wrap="square" lIns="0" tIns="45720" rIns="0" bIns="45720" anchor="t" anchorCtr="0" upright="1"/>
                            </wps:wsp>
                            <wps:wsp>
                              <wps:cNvPr id="18" name="图片 726"/>
                              <wps:cNvSpPr>
                                <a:spLocks noChangeAspect="1"/>
                              </wps:cNvSpPr>
                              <wps:spPr>
                                <a:xfrm>
                                  <a:off x="180362" y="138498"/>
                                  <a:ext cx="0" cy="0"/>
                                </a:xfrm>
                                <a:prstGeom prst="rect">
                                  <a:avLst/>
                                </a:prstGeom>
                                <a:noFill/>
                                <a:ln>
                                  <a:noFill/>
                                </a:ln>
                              </wps:spPr>
                              <wps:bodyPr vert="horz" wrap="square" anchor="t" anchorCtr="0" upright="1"/>
                            </wps:wsp>
                            <wps:wsp>
                              <wps:cNvPr id="19" name="自选图形 721"/>
                              <wps:cNvCnPr/>
                              <wps:spPr>
                                <a:xfrm>
                                  <a:off x="591257" y="526038"/>
                                  <a:ext cx="2540" cy="1833508"/>
                                </a:xfrm>
                                <a:prstGeom prst="straightConnector1">
                                  <a:avLst/>
                                </a:prstGeom>
                                <a:ln w="15875" cap="flat" cmpd="sng">
                                  <a:solidFill>
                                    <a:srgbClr val="000000"/>
                                  </a:solidFill>
                                  <a:prstDash val="solid"/>
                                  <a:headEnd type="none" w="med" len="med"/>
                                  <a:tailEnd type="none" w="med" len="med"/>
                                </a:ln>
                              </wps:spPr>
                              <wps:bodyPr/>
                            </wps:wsp>
                            <wps:wsp>
                              <wps:cNvPr id="20" name="直线 538"/>
                              <wps:cNvCnPr>
                                <a:endCxn id="5" idx="1"/>
                              </wps:cNvCnPr>
                              <wps:spPr>
                                <a:xfrm>
                                  <a:off x="3143634" y="354494"/>
                                  <a:ext cx="560070" cy="0"/>
                                </a:xfrm>
                                <a:prstGeom prst="line">
                                  <a:avLst/>
                                </a:prstGeom>
                                <a:ln w="9525" cap="flat" cmpd="sng">
                                  <a:solidFill>
                                    <a:srgbClr val="000000"/>
                                  </a:solidFill>
                                  <a:prstDash val="solid"/>
                                  <a:miter/>
                                  <a:headEnd type="none" w="med" len="med"/>
                                  <a:tailEnd type="triangle" w="med" len="med"/>
                                </a:ln>
                              </wps:spPr>
                              <wps:bodyPr upright="1"/>
                            </wps:wsp>
                            <wps:wsp>
                              <wps:cNvPr id="21" name="Text Box 1406"/>
                              <wps:cNvSpPr txBox="1"/>
                              <wps:spPr>
                                <a:xfrm>
                                  <a:off x="664926" y="2005677"/>
                                  <a:ext cx="323889" cy="252219"/>
                                </a:xfrm>
                                <a:prstGeom prst="rect">
                                  <a:avLst/>
                                </a:prstGeom>
                                <a:gradFill rotWithShape="1">
                                  <a:gsLst>
                                    <a:gs pos="0">
                                      <a:srgbClr val="FFFFFF">
                                        <a:alpha val="0"/>
                                      </a:srgbClr>
                                    </a:gs>
                                    <a:gs pos="100000">
                                      <a:srgbClr val="FFFFFF">
                                        <a:alpha val="0"/>
                                      </a:srgbClr>
                                    </a:gs>
                                  </a:gsLst>
                                  <a:lin ang="5400000" scaled="1"/>
                                  <a:tileRect/>
                                </a:gradFill>
                                <a:ln w="15875">
                                  <a:noFill/>
                                </a:ln>
                              </wps:spPr>
                              <wps:txbx>
                                <w:txbxContent>
                                  <w:p w14:paraId="04DFD7AF">
                                    <w:pPr>
                                      <w:pStyle w:val="25"/>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54</w:t>
                                    </w:r>
                                  </w:p>
                                </w:txbxContent>
                              </wps:txbx>
                              <wps:bodyPr vert="horz" wrap="square" lIns="0" tIns="45720" rIns="0" bIns="45720" anchor="t" anchorCtr="0" upright="1"/>
                            </wps:wsp>
                            <wps:wsp>
                              <wps:cNvPr id="22" name="Rectangle 1405"/>
                              <wps:cNvSpPr/>
                              <wps:spPr>
                                <a:xfrm>
                                  <a:off x="1042162" y="2217871"/>
                                  <a:ext cx="612214" cy="294149"/>
                                </a:xfrm>
                                <a:prstGeom prst="rect">
                                  <a:avLst/>
                                </a:prstGeom>
                                <a:noFill/>
                                <a:ln w="15875" cap="flat" cmpd="sng">
                                  <a:solidFill>
                                    <a:srgbClr val="000000"/>
                                  </a:solidFill>
                                  <a:prstDash val="solid"/>
                                  <a:miter/>
                                  <a:headEnd type="none" w="med" len="med"/>
                                  <a:tailEnd type="none" w="med" len="med"/>
                                </a:ln>
                              </wps:spPr>
                              <wps:txbx>
                                <w:txbxContent>
                                  <w:p w14:paraId="5CC3469C">
                                    <w:pPr>
                                      <w:pStyle w:val="25"/>
                                      <w:jc w:val="center"/>
                                      <w:rPr>
                                        <w:rFonts w:hint="eastAsia" w:ascii="Times New Roman" w:hAnsi="Times New Roman"/>
                                      </w:rPr>
                                    </w:pPr>
                                    <w:r>
                                      <w:rPr>
                                        <w:rFonts w:hint="eastAsia" w:ascii="Times New Roman" w:hAnsi="Times New Roman"/>
                                        <w:sz w:val="21"/>
                                        <w:szCs w:val="21"/>
                                      </w:rPr>
                                      <w:t>生活用水</w:t>
                                    </w:r>
                                  </w:p>
                                </w:txbxContent>
                              </wps:txbx>
                              <wps:bodyPr vert="horz" wrap="square" lIns="0" tIns="45720" rIns="0" bIns="45720" anchor="t" anchorCtr="0" upright="1"/>
                            </wps:wsp>
                            <wps:wsp>
                              <wps:cNvPr id="23" name="AutoShape 1390"/>
                              <wps:cNvCnPr/>
                              <wps:spPr>
                                <a:xfrm>
                                  <a:off x="1668983" y="2353192"/>
                                  <a:ext cx="1440355" cy="0"/>
                                </a:xfrm>
                                <a:prstGeom prst="straightConnector1">
                                  <a:avLst/>
                                </a:prstGeom>
                                <a:ln w="15875" cap="flat" cmpd="sng">
                                  <a:solidFill>
                                    <a:srgbClr val="000000"/>
                                  </a:solidFill>
                                  <a:prstDash val="solid"/>
                                  <a:headEnd type="none" w="med" len="med"/>
                                  <a:tailEnd type="triangle" w="med" len="med"/>
                                </a:ln>
                              </wps:spPr>
                              <wps:bodyPr/>
                            </wps:wsp>
                            <wps:wsp>
                              <wps:cNvPr id="24" name="Rectangle 1405"/>
                              <wps:cNvSpPr/>
                              <wps:spPr>
                                <a:xfrm>
                                  <a:off x="3134741" y="2146081"/>
                                  <a:ext cx="1512119" cy="432012"/>
                                </a:xfrm>
                                <a:prstGeom prst="rect">
                                  <a:avLst/>
                                </a:prstGeom>
                                <a:noFill/>
                                <a:ln w="15875">
                                  <a:noFill/>
                                </a:ln>
                              </wps:spPr>
                              <wps:txbx>
                                <w:txbxContent>
                                  <w:p w14:paraId="6D9EC7B3">
                                    <w:pPr>
                                      <w:pStyle w:val="25"/>
                                      <w:rPr>
                                        <w:rFonts w:hint="eastAsia" w:ascii="Times New Roman" w:hAnsi="Times New Roman" w:eastAsia="宋体"/>
                                        <w:lang w:eastAsia="zh-CN"/>
                                      </w:rPr>
                                    </w:pPr>
                                    <w:r>
                                      <w:rPr>
                                        <w:rFonts w:hint="eastAsia" w:ascii="Times New Roman" w:hAnsi="Times New Roman"/>
                                        <w:sz w:val="21"/>
                                        <w:szCs w:val="21"/>
                                      </w:rPr>
                                      <w:t>井场设置</w:t>
                                    </w:r>
                                    <w:r>
                                      <w:rPr>
                                        <w:rFonts w:hint="eastAsia" w:ascii="Times New Roman" w:hAnsi="Times New Roman"/>
                                        <w:sz w:val="21"/>
                                        <w:szCs w:val="21"/>
                                        <w:lang w:eastAsia="zh-CN"/>
                                      </w:rPr>
                                      <w:t>环保厕所</w:t>
                                    </w:r>
                                    <w:r>
                                      <w:rPr>
                                        <w:rFonts w:hint="eastAsia" w:ascii="Times New Roman" w:hAnsi="Times New Roman"/>
                                        <w:sz w:val="21"/>
                                        <w:szCs w:val="21"/>
                                      </w:rPr>
                                      <w:t>，</w:t>
                                    </w:r>
                                    <w:r>
                                      <w:rPr>
                                        <w:rFonts w:hint="eastAsia" w:ascii="Times New Roman" w:hAnsi="Times New Roman"/>
                                        <w:sz w:val="21"/>
                                        <w:szCs w:val="21"/>
                                        <w:lang w:eastAsia="zh-CN"/>
                                      </w:rPr>
                                      <w:t>委托当地村民</w:t>
                                    </w:r>
                                    <w:r>
                                      <w:rPr>
                                        <w:rFonts w:hint="eastAsia" w:ascii="Times New Roman" w:hAnsi="Times New Roman"/>
                                        <w:sz w:val="21"/>
                                        <w:szCs w:val="21"/>
                                      </w:rPr>
                                      <w:t>定期清掏</w:t>
                                    </w:r>
                                    <w:r>
                                      <w:rPr>
                                        <w:rFonts w:hint="eastAsia" w:ascii="Times New Roman" w:hAnsi="Times New Roman"/>
                                        <w:sz w:val="21"/>
                                        <w:szCs w:val="21"/>
                                        <w:lang w:eastAsia="zh-CN"/>
                                      </w:rPr>
                                      <w:t>。</w:t>
                                    </w:r>
                                  </w:p>
                                </w:txbxContent>
                              </wps:txbx>
                              <wps:bodyPr vert="horz" wrap="square" lIns="0" tIns="45720" rIns="0" bIns="45720" anchor="t" anchorCtr="0" upright="1"/>
                            </wps:wsp>
                            <wps:wsp>
                              <wps:cNvPr id="25" name="Text Box 1406"/>
                              <wps:cNvSpPr txBox="1"/>
                              <wps:spPr>
                                <a:xfrm>
                                  <a:off x="720177" y="1152454"/>
                                  <a:ext cx="215926" cy="252219"/>
                                </a:xfrm>
                                <a:prstGeom prst="rect">
                                  <a:avLst/>
                                </a:prstGeom>
                                <a:gradFill rotWithShape="1">
                                  <a:gsLst>
                                    <a:gs pos="0">
                                      <a:srgbClr val="FFFFFF">
                                        <a:alpha val="0"/>
                                      </a:srgbClr>
                                    </a:gs>
                                    <a:gs pos="100000">
                                      <a:srgbClr val="FFFFFF">
                                        <a:alpha val="0"/>
                                      </a:srgbClr>
                                    </a:gs>
                                  </a:gsLst>
                                  <a:lin ang="5400000" scaled="1"/>
                                  <a:tileRect/>
                                </a:gradFill>
                                <a:ln w="15875">
                                  <a:noFill/>
                                </a:ln>
                              </wps:spPr>
                              <wps:txbx>
                                <w:txbxContent>
                                  <w:p w14:paraId="5E86CD68">
                                    <w:pPr>
                                      <w:pStyle w:val="25"/>
                                      <w:rPr>
                                        <w:rFonts w:hint="default" w:ascii="Times New Roman" w:hAnsi="Times New Roman"/>
                                        <w:lang w:val="en-US"/>
                                      </w:rPr>
                                    </w:pPr>
                                    <w:r>
                                      <w:rPr>
                                        <w:rFonts w:hint="eastAsia" w:ascii="Times New Roman" w:hAnsi="Times New Roman"/>
                                        <w:sz w:val="21"/>
                                        <w:szCs w:val="21"/>
                                        <w:lang w:val="en-US" w:eastAsia="zh-CN"/>
                                      </w:rPr>
                                      <w:t>120</w:t>
                                    </w:r>
                                  </w:p>
                                </w:txbxContent>
                              </wps:txbx>
                              <wps:bodyPr vert="horz" wrap="square" lIns="0" tIns="45720" rIns="0" bIns="45720" anchor="t" anchorCtr="0" upright="1"/>
                            </wps:wsp>
                            <wps:wsp>
                              <wps:cNvPr id="26" name="Text Box 1406"/>
                              <wps:cNvSpPr txBox="1"/>
                              <wps:spPr>
                                <a:xfrm>
                                  <a:off x="2184030" y="2043796"/>
                                  <a:ext cx="396288" cy="252219"/>
                                </a:xfrm>
                                <a:prstGeom prst="rect">
                                  <a:avLst/>
                                </a:prstGeom>
                                <a:gradFill rotWithShape="1">
                                  <a:gsLst>
                                    <a:gs pos="0">
                                      <a:srgbClr val="FFFFFF">
                                        <a:alpha val="0"/>
                                      </a:srgbClr>
                                    </a:gs>
                                    <a:gs pos="100000">
                                      <a:srgbClr val="FFFFFF">
                                        <a:alpha val="0"/>
                                      </a:srgbClr>
                                    </a:gs>
                                  </a:gsLst>
                                  <a:lin ang="5400000" scaled="1"/>
                                  <a:tileRect/>
                                </a:gradFill>
                                <a:ln w="15875">
                                  <a:noFill/>
                                </a:ln>
                              </wps:spPr>
                              <wps:txbx>
                                <w:txbxContent>
                                  <w:p w14:paraId="74E7A65E">
                                    <w:pPr>
                                      <w:pStyle w:val="25"/>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43</w:t>
                                    </w:r>
                                  </w:p>
                                </w:txbxContent>
                              </wps:txbx>
                              <wps:bodyPr vert="horz" wrap="square" lIns="0" tIns="45720" rIns="0" bIns="45720" anchor="t" anchorCtr="0" upright="1"/>
                            </wps:wsp>
                            <wps:wsp>
                              <wps:cNvPr id="27" name="AutoShape 1398"/>
                              <wps:cNvCnPr/>
                              <wps:spPr>
                                <a:xfrm flipV="1">
                                  <a:off x="1371767" y="1081935"/>
                                  <a:ext cx="266732" cy="179793"/>
                                </a:xfrm>
                                <a:prstGeom prst="straightConnector1">
                                  <a:avLst/>
                                </a:prstGeom>
                                <a:ln w="15875" cap="flat" cmpd="sng">
                                  <a:solidFill>
                                    <a:srgbClr val="000000"/>
                                  </a:solidFill>
                                  <a:prstDash val="dash"/>
                                  <a:headEnd type="none" w="med" len="med"/>
                                  <a:tailEnd type="triangle" w="med" len="med"/>
                                </a:ln>
                              </wps:spPr>
                              <wps:bodyPr/>
                            </wps:wsp>
                            <wps:wsp>
                              <wps:cNvPr id="28" name="Text Box 1406"/>
                              <wps:cNvSpPr txBox="1"/>
                              <wps:spPr>
                                <a:xfrm>
                                  <a:off x="1740746" y="1349401"/>
                                  <a:ext cx="360089" cy="252219"/>
                                </a:xfrm>
                                <a:prstGeom prst="rect">
                                  <a:avLst/>
                                </a:prstGeom>
                                <a:gradFill rotWithShape="1">
                                  <a:gsLst>
                                    <a:gs pos="0">
                                      <a:srgbClr val="FFFFFF">
                                        <a:alpha val="0"/>
                                      </a:srgbClr>
                                    </a:gs>
                                    <a:gs pos="100000">
                                      <a:srgbClr val="FFFFFF">
                                        <a:alpha val="0"/>
                                      </a:srgbClr>
                                    </a:gs>
                                  </a:gsLst>
                                  <a:lin ang="5400000" scaled="1"/>
                                  <a:tileRect/>
                                </a:gradFill>
                                <a:ln w="15875">
                                  <a:noFill/>
                                </a:ln>
                              </wps:spPr>
                              <wps:txbx>
                                <w:txbxContent>
                                  <w:p w14:paraId="666EB65C">
                                    <w:pPr>
                                      <w:pStyle w:val="25"/>
                                      <w:rPr>
                                        <w:rFonts w:hint="default" w:ascii="Times New Roman" w:hAnsi="Times New Roman" w:eastAsia="宋体"/>
                                        <w:lang w:val="en-US" w:eastAsia="zh-CN"/>
                                      </w:rPr>
                                    </w:pPr>
                                  </w:p>
                                </w:txbxContent>
                              </wps:txbx>
                              <wps:bodyPr vert="horz" wrap="square" lIns="0" tIns="45720" rIns="0" bIns="45720" anchor="t" anchorCtr="0" upright="1"/>
                            </wps:wsp>
                            <wps:wsp>
                              <wps:cNvPr id="29" name="AutoShape 1390"/>
                              <wps:cNvCnPr/>
                              <wps:spPr>
                                <a:xfrm>
                                  <a:off x="598243" y="1425638"/>
                                  <a:ext cx="428677" cy="5718"/>
                                </a:xfrm>
                                <a:prstGeom prst="straightConnector1">
                                  <a:avLst/>
                                </a:prstGeom>
                                <a:ln w="15875" cap="flat" cmpd="sng">
                                  <a:solidFill>
                                    <a:srgbClr val="000000"/>
                                  </a:solidFill>
                                  <a:prstDash val="solid"/>
                                  <a:headEnd type="none" w="med" len="med"/>
                                  <a:tailEnd type="triangle" w="med" len="med"/>
                                </a:ln>
                              </wps:spPr>
                              <wps:bodyPr/>
                            </wps:wsp>
                            <wps:wsp>
                              <wps:cNvPr id="30" name="Text Box 1406"/>
                              <wps:cNvSpPr txBox="1"/>
                              <wps:spPr>
                                <a:xfrm>
                                  <a:off x="1670888" y="947249"/>
                                  <a:ext cx="323889" cy="252219"/>
                                </a:xfrm>
                                <a:prstGeom prst="rect">
                                  <a:avLst/>
                                </a:prstGeom>
                                <a:gradFill rotWithShape="1">
                                  <a:gsLst>
                                    <a:gs pos="0">
                                      <a:srgbClr val="FFFFFF">
                                        <a:alpha val="0"/>
                                      </a:srgbClr>
                                    </a:gs>
                                    <a:gs pos="100000">
                                      <a:srgbClr val="FFFFFF">
                                        <a:alpha val="0"/>
                                      </a:srgbClr>
                                    </a:gs>
                                  </a:gsLst>
                                  <a:lin ang="5400000" scaled="1"/>
                                  <a:tileRect/>
                                </a:gradFill>
                                <a:ln w="15875">
                                  <a:noFill/>
                                </a:ln>
                              </wps:spPr>
                              <wps:txbx>
                                <w:txbxContent>
                                  <w:p w14:paraId="5FB407CD">
                                    <w:pPr>
                                      <w:pStyle w:val="25"/>
                                      <w:jc w:val="center"/>
                                      <w:rPr>
                                        <w:rFonts w:hint="default" w:ascii="Times New Roman" w:hAnsi="Times New Roman"/>
                                        <w:sz w:val="21"/>
                                        <w:szCs w:val="21"/>
                                        <w:lang w:val="en-US"/>
                                      </w:rPr>
                                    </w:pPr>
                                    <w:r>
                                      <w:rPr>
                                        <w:rFonts w:hint="eastAsia" w:ascii="Times New Roman" w:hAnsi="Times New Roman"/>
                                        <w:sz w:val="21"/>
                                        <w:szCs w:val="21"/>
                                        <w:lang w:val="en-US" w:eastAsia="zh-CN"/>
                                      </w:rPr>
                                      <w:t>120</w:t>
                                    </w:r>
                                  </w:p>
                                </w:txbxContent>
                              </wps:txbx>
                              <wps:bodyPr vert="horz" wrap="square" lIns="0" tIns="45720" rIns="0" bIns="45720" anchor="t" anchorCtr="0" upright="1"/>
                            </wps:wsp>
                            <wps:wsp>
                              <wps:cNvPr id="31" name="AutoShape 1408"/>
                              <wps:cNvCnPr/>
                              <wps:spPr>
                                <a:xfrm>
                                  <a:off x="3164205" y="1199515"/>
                                  <a:ext cx="539750" cy="0"/>
                                </a:xfrm>
                                <a:prstGeom prst="straightConnector1">
                                  <a:avLst/>
                                </a:prstGeom>
                                <a:ln w="9525" cap="flat" cmpd="sng">
                                  <a:solidFill>
                                    <a:srgbClr val="000000"/>
                                  </a:solidFill>
                                  <a:prstDash val="solid"/>
                                  <a:headEnd type="none" w="med" len="med"/>
                                  <a:tailEnd type="triangle" w="med" len="med"/>
                                </a:ln>
                              </wps:spPr>
                              <wps:bodyPr/>
                            </wps:wsp>
                            <wps:wsp>
                              <wps:cNvPr id="32" name="Text Box 1412"/>
                              <wps:cNvSpPr txBox="1"/>
                              <wps:spPr>
                                <a:xfrm>
                                  <a:off x="3703955" y="803275"/>
                                  <a:ext cx="1456690" cy="798195"/>
                                </a:xfrm>
                                <a:prstGeom prst="rect">
                                  <a:avLst/>
                                </a:prstGeom>
                                <a:noFill/>
                                <a:ln w="15875" cap="flat" cmpd="sng">
                                  <a:solidFill>
                                    <a:srgbClr val="000000"/>
                                  </a:solidFill>
                                  <a:prstDash val="dash"/>
                                  <a:miter/>
                                  <a:headEnd type="none" w="med" len="med"/>
                                  <a:tailEnd type="none" w="med" len="med"/>
                                </a:ln>
                              </wps:spPr>
                              <wps:txbx>
                                <w:txbxContent>
                                  <w:p w14:paraId="6FD09187">
                                    <w:pPr>
                                      <w:jc w:val="center"/>
                                      <w:rPr>
                                        <w:color w:val="000000"/>
                                        <w:szCs w:val="21"/>
                                      </w:rPr>
                                    </w:pPr>
                                    <w:r>
                                      <w:rPr>
                                        <w:rFonts w:hint="eastAsia"/>
                                        <w:bCs/>
                                        <w:szCs w:val="18"/>
                                        <w:lang w:val="en-US" w:eastAsia="zh-CN"/>
                                      </w:rPr>
                                      <w:t>由罐车拉运至吉兰泰联合站采出水处理系统，处理合格后回注采油层，不外排</w:t>
                                    </w:r>
                                    <w:r>
                                      <w:rPr>
                                        <w:rFonts w:hint="eastAsia"/>
                                        <w:bCs/>
                                        <w:szCs w:val="18"/>
                                      </w:rPr>
                                      <w:t>。</w:t>
                                    </w:r>
                                  </w:p>
                                </w:txbxContent>
                              </wps:txbx>
                              <wps:bodyPr vert="horz" wrap="square" lIns="0" tIns="45720" rIns="0" bIns="45720" anchor="t" anchorCtr="0" upright="1"/>
                            </wps:wsp>
                          </wpc:wpc>
                        </a:graphicData>
                      </a:graphic>
                    </wp:inline>
                  </w:drawing>
                </mc:Choice>
                <mc:Fallback>
                  <w:pict>
                    <v:group id="画布 1386" o:spid="_x0000_s1026" o:spt="203" style="height:204.2pt;width:411.85pt;" coordsize="5230495,2593340" editas="canvas" o:gfxdata="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">
                      <o:lock v:ext="edit" aspectratio="f"/>
                      <v:shape id="画布 1386" o:spid="_x0000_s1026" style="position:absolute;left:0;top:0;height:2593340;width:5230495;" filled="f" stroked="f" coordsize="21600,21600" o:gfxdata="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">
                        <v:fill on="f" focussize="0,0"/>
                        <v:stroke on="f" weight="1.25pt"/>
                        <v:imagedata o:title=""/>
                        <o:lock v:ext="edit" aspectratio="t"/>
                      </v:shape>
                      <v:shape id="AutoShape 1388" o:spid="_x0000_s1026" o:spt="32" type="#_x0000_t32" style="position:absolute;left:88911;top:1421826;height:635;width:504251;" filled="f" stroked="t" coordsize="21600,21600" o:gfxdata="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2HINPWAAAABQEAAA8AAAAAAAAAAQAgAAAAIgAAAGRycy9kb3ducmV2LnhtbFBLAQIU&#10;ABQAAAAIAIdO4kDmXK359QEAAPMDAAAOAAAAAAAAAAEAIAAAACUBAABkcnMvZTJvRG9jLnhtbFBL&#10;BQYAAAAABgAGAFkBAACMBQAAAAA=&#10;">
                        <v:fill on="f" focussize="0,0"/>
                        <v:stroke weight="1.25pt" color="#000000" joinstyle="round" endarrow="block"/>
                        <v:imagedata o:title=""/>
                        <o:lock v:ext="edit" aspectratio="f"/>
                      </v:shape>
                      <v:shape id="Text Box 1391" o:spid="_x0000_s1026" o:spt="202" type="#_x0000_t202" style="position:absolute;left:101600;top:775970;height:526415;width:467995;" filled="f" stroked="f" coordsize="21600,21600" o:gfxdata="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PrmPrWAAAABQEA&#10;AA8AAAAAAAAAAQAgAAAAIgAAAGRycy9kb3ducmV2LnhtbFBLAQIUABQAAAAIAIdO4kC+GP3s4wEA&#10;AMIDAAAOAAAAAAAAAAEAIAAAACUBAABkcnMvZTJvRG9jLnhtbFBLBQYAAAAABgAGAFkBAAB6BQAA&#10;AAA=&#10;">
                        <v:fill on="f" focussize="0,0"/>
                        <v:stroke on="f" weight="1.25pt"/>
                        <v:imagedata o:title=""/>
                        <o:lock v:ext="edit" aspectratio="f"/>
                        <v:textbox inset="0mm,1.27mm,0mm,1.27mm">
                          <w:txbxContent>
                            <w:p w14:paraId="573F22D1">
                              <w:pPr>
                                <w:jc w:val="center"/>
                              </w:pPr>
                              <w:r>
                                <w:rPr>
                                  <w:rFonts w:hint="eastAsia"/>
                                </w:rPr>
                                <w:t>新鲜水</w:t>
                              </w:r>
                            </w:p>
                            <w:p w14:paraId="290F3BA5">
                              <w:pPr>
                                <w:jc w:val="center"/>
                                <w:rPr>
                                  <w:rFonts w:hint="default" w:eastAsia="宋体"/>
                                  <w:lang w:val="en-US" w:eastAsia="zh-CN"/>
                                </w:rPr>
                              </w:pPr>
                              <w:r>
                                <w:rPr>
                                  <w:rFonts w:hint="eastAsia"/>
                                  <w:lang w:val="en-US" w:eastAsia="zh-CN"/>
                                </w:rPr>
                                <w:t>83</w:t>
                              </w:r>
                              <w:r>
                                <w:rPr>
                                  <w:rFonts w:hint="eastAsia" w:eastAsia="宋体"/>
                                  <w:lang w:val="en-US" w:eastAsia="zh-CN"/>
                                </w:rPr>
                                <w:t>4</w:t>
                              </w:r>
                            </w:p>
                          </w:txbxContent>
                        </v:textbox>
                      </v:shape>
                      <v:rect id="Rectangle 1393" o:spid="_x0000_s1026" o:spt="1" style="position:absolute;left:2254250;top:334010;height:984885;width:889635;" filled="f" stroked="t" coordsize="21600,21600" o:gfxdata="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lGW4bWAAAABQEA&#10;AA8AAAAAAAAAAQAgAAAAIgAAAGRycy9kb3ducmV2LnhtbFBLAQIUABQAAAAIAIdO4kApYPWqHAIA&#10;AEQEAAAOAAAAAAAAAAEAIAAAACUBAABkcnMvZTJvRG9jLnhtbFBLBQYAAAAABgAGAFkBAACzBQAA&#10;AAA=&#10;">
                        <v:fill on="f" focussize="0,0"/>
                        <v:stroke weight="1.25pt" color="#000000" joinstyle="miter"/>
                        <v:imagedata o:title=""/>
                        <o:lock v:ext="edit" aspectratio="f"/>
                        <v:textbox>
                          <w:txbxContent>
                            <w:p w14:paraId="0A737A03">
                              <w:pPr>
                                <w:rPr>
                                  <w:rFonts w:hint="eastAsia"/>
                                  <w:lang w:val="en-US" w:eastAsia="zh-CN"/>
                                </w:rPr>
                              </w:pPr>
                              <w:r>
                                <w:rPr>
                                  <w:rFonts w:hint="eastAsia"/>
                                  <w:lang w:val="en-US" w:eastAsia="zh-CN"/>
                                </w:rPr>
                                <w:t>随钻废弃物处理系统</w:t>
                              </w:r>
                            </w:p>
                            <w:p w14:paraId="610C8A59">
                              <w:pPr>
                                <w:rPr>
                                  <w:rFonts w:hint="eastAsia"/>
                                  <w:lang w:val="en-US" w:eastAsia="zh-CN"/>
                                </w:rPr>
                              </w:pPr>
                            </w:p>
                          </w:txbxContent>
                        </v:textbox>
                      </v:rect>
                      <v:shape id="Text Box 1401" o:spid="_x0000_s1026" o:spt="202" type="#_x0000_t202" style="position:absolute;left:3703955;top:138430;height:431800;width:575945;" filled="f" stroked="t" coordsize="21600,21600" o:gfxdata="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ZWcKp1wAAAAUBAAAPAAAAAAAAAAEAIAAAACIAAABkcnMvZG93bnJldi54&#10;bWxQSwECFAAUAAAACACHTuJAQGJkhDQCAAB5BAAADgAAAAAAAAABACAAAAAmAQAAZHJzL2Uyb0Rv&#10;Yy54bWxQSwUGAAAAAAYABgBZAQAAzAUAAAAA&#10;">
                        <v:fill on="f" focussize="0,0"/>
                        <v:stroke weight="1.25pt" color="#FFFFFF" joinstyle="miter"/>
                        <v:imagedata o:title=""/>
                        <o:lock v:ext="edit" aspectratio="f"/>
                        <v:textbox inset="0mm,1.27mm,0mm,1.27mm">
                          <w:txbxContent>
                            <w:p w14:paraId="597FAECE">
                              <w:pPr>
                                <w:rPr>
                                  <w:rFonts w:hint="default" w:eastAsia="宋体"/>
                                  <w:lang w:val="en-US" w:eastAsia="zh-CN"/>
                                </w:rPr>
                              </w:pPr>
                              <w:r>
                                <w:rPr>
                                  <w:rFonts w:hint="eastAsia"/>
                                </w:rPr>
                                <w:t>泥饼废弃物</w:t>
                              </w:r>
                              <w:r>
                                <w:rPr>
                                  <w:rFonts w:hint="eastAsia"/>
                                  <w:highlight w:val="none"/>
                                  <w:lang w:val="en-US" w:eastAsia="zh-CN"/>
                                </w:rPr>
                                <w:t>317</w:t>
                              </w:r>
                            </w:p>
                          </w:txbxContent>
                        </v:textbox>
                      </v:shape>
                      <v:shape id="AutoShape 1390" o:spid="_x0000_s1026" o:spt="32" type="#_x0000_t32" style="position:absolute;left:596337;top:532391;height:1271;width:431852;" filled="f" stroked="t" coordsize="21600,21600" o:gfxdata="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dhyDT1gAAAAUBAAAPAAAAAAAAAAEAIAAAACIAAABkcnMvZG93bnJldi54bWxQSwEC&#10;FAAUAAAACACHTuJAVi44BPYBAAD0AwAADgAAAAAAAAABACAAAAAlAQAAZHJzL2Uyb0RvYy54bWxQ&#10;SwUGAAAAAAYABgBZAQAAjQUAAAAA&#10;">
                        <v:fill on="f" focussize="0,0"/>
                        <v:stroke weight="1.25pt" color="#000000" joinstyle="round" endarrow="block"/>
                        <v:imagedata o:title=""/>
                        <o:lock v:ext="edit" aspectratio="f"/>
                      </v:shape>
                      <v:rect id="Rectangle 1405" o:spid="_x0000_s1026" o:spt="1" style="position:absolute;left:1028190;top:324644;height:432012;width:828141;" filled="f" stroked="t" coordsize="21600,21600" o:gfxdata="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hcCQrYAAAABQEAAA8AAAAAAAAAAQAgAAAAIgAAAGRycy9kb3ducmV2LnhtbFBL&#10;AQIUABQAAAAIAIdO4kDv8DnyLwIAAHAEAAAOAAAAAAAAAAEAIAAAACcBAABkcnMvZTJvRG9jLnht&#10;bFBLBQYAAAAABgAGAFkBAADIBQAAAAA=&#10;">
                        <v:fill on="f" focussize="0,0"/>
                        <v:stroke weight="1.25pt" color="#000000" joinstyle="miter"/>
                        <v:imagedata o:title=""/>
                        <o:lock v:ext="edit" aspectratio="f"/>
                        <v:textbox inset="0mm,1.27mm,0mm,1.27mm">
                          <w:txbxContent>
                            <w:p w14:paraId="2799A8FD">
                              <w:pPr>
                                <w:pStyle w:val="25"/>
                                <w:jc w:val="center"/>
                                <w:rPr>
                                  <w:rFonts w:hint="eastAsia" w:ascii="Times New Roman" w:hAnsi="Times New Roman"/>
                                </w:rPr>
                              </w:pPr>
                              <w:r>
                                <w:rPr>
                                  <w:rFonts w:hint="eastAsia" w:ascii="Times New Roman" w:hAnsi="Times New Roman"/>
                                  <w:sz w:val="21"/>
                                  <w:szCs w:val="21"/>
                                  <w:lang w:val="en-US" w:eastAsia="zh-CN"/>
                                </w:rPr>
                                <w:t>扎格6</w:t>
                              </w:r>
                              <w:r>
                                <w:rPr>
                                  <w:rFonts w:ascii="Times New Roman" w:hAnsi="Times New Roman"/>
                                  <w:sz w:val="21"/>
                                  <w:szCs w:val="21"/>
                                </w:rPr>
                                <w:t>钻井液系统</w:t>
                              </w:r>
                            </w:p>
                          </w:txbxContent>
                        </v:textbox>
                      </v:rect>
                      <v:shape id="Text Box 1406" o:spid="_x0000_s1026" o:spt="202" type="#_x0000_t202" style="position:absolute;left:1863316;top:296690;height:252219;width:447729;" fillcolor="#FFFFFF" filled="t" stroked="f" coordsize="21600,21600" o:gfxdata="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&#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gCeTHVAAAABQEAAA8AAAAAAAAAAQAgAAAAIgAAAGRy&#10;cy9kb3ducmV2LnhtbFBLAQIUABQAAAAIAIdO4kAUmapGQQIAAL4EAAAOAAAAAAAAAAEAIAAAACQB&#10;AABkcnMvZTJvRG9jLnhtbFBLBQYAAAAABgAGAFkBAADXBQAAAAA=&#10;">
                        <v:fill type="gradient" on="t" color2="#FFFFFF" opacity="0f" o:opacity2="0f" focus="100%" focussize="0,0" rotate="t"/>
                        <v:stroke on="f" weight="1.25pt"/>
                        <v:imagedata o:title=""/>
                        <o:lock v:ext="edit" aspectratio="f"/>
                        <v:textbox inset="0mm,1.27mm,0mm,1.27mm">
                          <w:txbxContent>
                            <w:p w14:paraId="3322361A">
                              <w:pPr>
                                <w:pStyle w:val="25"/>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528</w:t>
                              </w:r>
                            </w:p>
                          </w:txbxContent>
                        </v:textbox>
                      </v:shape>
                      <v:shape id="AutoShape 1408" o:spid="_x0000_s1026" o:spt="32" type="#_x0000_t32" style="position:absolute;left:1863316;top:552721;height:635;width:396288;" filled="f" stroked="t" coordsize="21600,21600" o:gfxdata="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2W2frYAAAABQEAAA8AAAAAAAAAAQAgAAAAIgAAAGRycy9kb3ducmV2LnhtbFBL&#10;AQIUABQAAAAIAIdO4kATzdHH9gEAAPMDAAAOAAAAAAAAAAEAIAAAACcBAABkcnMvZTJvRG9jLnht&#10;bFBLBQYAAAAABgAGAFkBAACPBQAAAAA=&#10;">
                        <v:fill on="f" focussize="0,0"/>
                        <v:stroke color="#000000" joinstyle="round" endarrow="block"/>
                        <v:imagedata o:title=""/>
                        <o:lock v:ext="edit" aspectratio="f"/>
                      </v:shape>
                      <v:shape id="AutoShape 1390" o:spid="_x0000_s1026" o:spt="32" type="#_x0000_t32" style="position:absolute;left:586176;top:2352557;height:4447;width:470592;" filled="f" stroked="t" coordsize="21600,21600" o:gfxdata="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dhyDT1gAAAAUBAAAPAAAAAAAAAAEAIAAAACIAAABkcnMvZG93bnJldi54bWxQ&#10;SwECFAAUAAAACACHTuJAGIzjIPkBAAD2AwAADgAAAAAAAAABACAAAAAlAQAAZHJzL2Uyb0RvYy54&#10;bWxQSwUGAAAAAAYABgBZAQAAkAUAAAAA&#10;">
                        <v:fill on="f" focussize="0,0"/>
                        <v:stroke weight="1.25pt" color="#000000" joinstyle="round" endarrow="block"/>
                        <v:imagedata o:title=""/>
                        <o:lock v:ext="edit" aspectratio="f"/>
                      </v:shape>
                      <v:shape id="Text Box 1406" o:spid="_x0000_s1026" o:spt="202" type="#_x0000_t202" style="position:absolute;left:3237865;top:899795;height:252730;width:699770;" fillcolor="#FFFFFF" filled="t" stroked="f" coordsize="21600,21600" o:gfxdata="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AJ5MdUAAAAFAQAADwAAAAAAAAABACAAAAAiAAAAZHJz&#10;L2Rvd25yZXYueG1sUEsBAhQAFAAAAAgAh07iQAMDikFAAgAAvwQAAA4AAAAAAAAAAQAgAAAAJAEA&#10;AGRycy9lMm9Eb2MueG1sUEsFBgAAAAAGAAYAWQEAANYFAAAAAA==&#10;">
                        <v:fill type="gradient" on="t" color2="#FFFFFF" opacity="0f" o:opacity2="0f" focus="100%" focussize="0,0" rotate="t"/>
                        <v:stroke on="f" weight="1.25pt"/>
                        <v:imagedata o:title=""/>
                        <o:lock v:ext="edit" aspectratio="f"/>
                        <v:textbox inset="0mm,1.27mm,0mm,1.27mm">
                          <w:txbxContent>
                            <w:p w14:paraId="3D7F4240">
                              <w:pPr>
                                <w:pStyle w:val="25"/>
                                <w:jc w:val="both"/>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211</w:t>
                              </w:r>
                            </w:p>
                          </w:txbxContent>
                        </v:textbox>
                      </v:shape>
                      <v:shape id="AutoShape 1398" o:spid="_x0000_s1026" o:spt="32" type="#_x0000_t32" style="position:absolute;left:1444800;top:135957;flip:y;height:179793;width:266732;" filled="f" stroked="t" coordsize="21600,21600" o:gfxdata="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XWJLy1QAAAAUBAAAPAAAAAAAAAAEAIAAAACIAAABkcnMvZG93bnJldi54&#10;bWxQSwECFAAUAAAACACHTuJAa9+JGP0BAAABBAAADgAAAAAAAAABACAAAAAkAQAAZHJzL2Uyb0Rv&#10;Yy54bWxQSwUGAAAAAAYABgBZAQAAkwUAAAAA&#10;">
                        <v:fill on="f" focussize="0,0"/>
                        <v:stroke weight="1.25pt" color="#000000" joinstyle="round" dashstyle="dash" endarrow="block"/>
                        <v:imagedata o:title=""/>
                        <o:lock v:ext="edit" aspectratio="f"/>
                      </v:shape>
                      <v:shape id="Text Box 1406" o:spid="_x0000_s1026" o:spt="202" type="#_x0000_t202" style="position:absolute;left:1722329;top:47013;height:252219;width:360089;" fillcolor="#FFFFFF" filled="t" stroked="f" coordsize="21600,21600" o:gfxdata="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IAnkx1QAAAAUBAAAPAAAAAAAAAAEAIAAAACIAAABkcnMv&#10;ZG93bnJldi54bWxQSwECFAAUAAAACACHTuJAMXqQgT8CAAC+BAAADgAAAAAAAAABACAAAAAkAQAA&#10;ZHJzL2Uyb0RvYy54bWxQSwUGAAAAAAYABgBZAQAA1QUAAAAA&#10;">
                        <v:fill type="gradient" on="t" color2="#FFFFFF" opacity="0f" o:opacity2="0f" focus="100%" focussize="0,0" rotate="t"/>
                        <v:stroke on="f" weight="1.25pt"/>
                        <v:imagedata o:title=""/>
                        <o:lock v:ext="edit" aspectratio="f"/>
                        <v:textbox inset="0mm,1.27mm,0mm,1.27mm">
                          <w:txbxContent>
                            <w:p w14:paraId="066F7218">
                              <w:pPr>
                                <w:pStyle w:val="25"/>
                                <w:rPr>
                                  <w:rFonts w:hint="default" w:ascii="Times New Roman" w:hAnsi="Times New Roman" w:eastAsia="宋体"/>
                                  <w:lang w:val="en-US" w:eastAsia="zh-CN"/>
                                </w:rPr>
                              </w:pPr>
                              <w:r>
                                <w:rPr>
                                  <w:rFonts w:hint="eastAsia" w:ascii="Times New Roman" w:hAnsi="Times New Roman"/>
                                  <w:sz w:val="21"/>
                                  <w:szCs w:val="21"/>
                                  <w:lang w:val="en-US" w:eastAsia="zh-CN"/>
                                </w:rPr>
                                <w:t>132</w:t>
                              </w:r>
                            </w:p>
                          </w:txbxContent>
                        </v:textbox>
                      </v:shape>
                      <v:shape id="AutoShape 1398" o:spid="_x0000_s1026" o:spt="32" type="#_x0000_t32" style="position:absolute;left:1372402;top:2036172;flip:y;height:179793;width:266732;" filled="f" stroked="t" coordsize="21600,21600" o:gfxdata="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dYkvLVAAAABQEAAA8AAAAAAAAAAQAgAAAAIgAAAGRycy9kb3du&#10;cmV2LnhtbFBLAQIUABQAAAAIAIdO4kApF8dqAgIAAAIEAAAOAAAAAAAAAAEAIAAAACQBAABkcnMv&#10;ZTJvRG9jLnhtbFBLBQYAAAAABgAGAFkBAACYBQAAAAA=&#10;">
                        <v:fill on="f" focussize="0,0"/>
                        <v:stroke weight="1.25pt" color="#000000" joinstyle="round" dashstyle="dash" endarrow="block"/>
                        <v:imagedata o:title=""/>
                        <o:lock v:ext="edit" aspectratio="f"/>
                      </v:shape>
                      <v:shape id="Text Box 1406" o:spid="_x0000_s1026" o:spt="202" type="#_x0000_t202" style="position:absolute;left:558233;top:279537;height:252219;width:468052;" fillcolor="#FFFFFF" filled="t" stroked="f" coordsize="21600,21600" o:gfxdata="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AJ5MdUAAAAFAQAADwAAAAAAAAABACAAAAAiAAAAZHJz&#10;L2Rvd25yZXYueG1sUEsBAhQAFAAAAAgAh07iQIGil0NAAgAAvgQAAA4AAAAAAAAAAQAgAAAAJAEA&#10;AGRycy9lMm9Eb2MueG1sUEsFBgAAAAAGAAYAWQEAANYFAAAAAA==&#10;">
                        <v:fill type="gradient" on="t" color2="#FFFFFF" opacity="0f" o:opacity2="0f" focus="100%" focussize="0,0" rotate="t"/>
                        <v:stroke on="f" weight="1.25pt"/>
                        <v:imagedata o:title=""/>
                        <o:lock v:ext="edit" aspectratio="f"/>
                        <v:textbox inset="0mm,1.27mm,0mm,1.27mm">
                          <w:txbxContent>
                            <w:p w14:paraId="71F836AC">
                              <w:pPr>
                                <w:pStyle w:val="25"/>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660</w:t>
                              </w:r>
                            </w:p>
                          </w:txbxContent>
                        </v:textbox>
                      </v:shape>
                      <v:rect id="Rectangle 1405" o:spid="_x0000_s1026" o:spt="1" style="position:absolute;left:1040891;top:1293493;height:306855;width:612214;" filled="f" stroked="t" coordsize="21600,21600" o:gfxdata="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YXAkK2AAAAAUBAAAPAAAAAAAAAAEAIAAAACIAAABkcnMvZG93bnJldi54&#10;bWxQSwECFAAUAAAACACHTuJA+l40UTMCAAByBAAADgAAAAAAAAABACAAAAAnAQAAZHJzL2Uyb0Rv&#10;Yy54bWxQSwUGAAAAAAYABgBZAQAAzAUAAAAA&#10;">
                        <v:fill on="f" focussize="0,0"/>
                        <v:stroke weight="1.25pt" color="#000000" joinstyle="miter"/>
                        <v:imagedata o:title=""/>
                        <o:lock v:ext="edit" aspectratio="f"/>
                        <v:textbox inset="0mm,1.27mm,0mm,1.27mm">
                          <w:txbxContent>
                            <w:p w14:paraId="710DF1B6">
                              <w:pPr>
                                <w:pStyle w:val="25"/>
                                <w:jc w:val="center"/>
                                <w:rPr>
                                  <w:rFonts w:ascii="Times New Roman" w:hAnsi="Times New Roman"/>
                                </w:rPr>
                              </w:pPr>
                              <w:r>
                                <w:rPr>
                                  <w:rFonts w:hint="eastAsia" w:ascii="Times New Roman" w:hAnsi="Times New Roman"/>
                                  <w:sz w:val="21"/>
                                  <w:szCs w:val="21"/>
                                </w:rPr>
                                <w:t>洒水降尘</w:t>
                              </w:r>
                            </w:p>
                          </w:txbxContent>
                        </v:textbox>
                      </v:rect>
                      <v:shape id="Text Box 1406" o:spid="_x0000_s1026" o:spt="202" type="#_x0000_t202" style="position:absolute;left:1690575;top:1937064;height:252219;width:323889;" fillcolor="#FFFFFF" filled="t" stroked="f" coordsize="21600,21600" o:gfxdata="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&#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gCeTHVAAAABQEAAA8AAAAAAAAAAQAgAAAAIgAAAGRy&#10;cy9kb3ducmV2LnhtbFBLAQIUABQAAAAIAIdO4kBEkGyZQQIAAMAEAAAOAAAAAAAAAAEAIAAAACQB&#10;AABkcnMvZTJvRG9jLnhtbFBLBQYAAAAABgAGAFkBAADXBQAAAAA=&#10;">
                        <v:fill type="gradient" on="t" color2="#FFFFFF" opacity="0f" o:opacity2="0f" focus="100%" focussize="0,0" rotate="t"/>
                        <v:stroke on="f" weight="1.25pt"/>
                        <v:imagedata o:title=""/>
                        <o:lock v:ext="edit" aspectratio="f"/>
                        <v:textbox inset="0mm,1.27mm,0mm,1.27mm">
                          <w:txbxContent>
                            <w:p w14:paraId="4DAC6C03">
                              <w:pPr>
                                <w:pStyle w:val="25"/>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11</w:t>
                              </w:r>
                            </w:p>
                          </w:txbxContent>
                        </v:textbox>
                      </v:shape>
                      <v:rect id="图片 726" o:spid="_x0000_s1026" o:spt="1" style="position:absolute;left:180362;top:138498;height:0;width:0;" filled="f" stroked="f" coordsize="21600,21600" o:gfxdata="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qij6f1wAAAAUBAAAPAAAAAAAAAAEAIAAA&#10;ACIAAABkcnMvZG93bnJldi54bWxQSwECFAAUAAAACACHTuJAVAfvJ9QBAACXAwAADgAAAAAAAAAB&#10;ACAAAAAmAQAAZHJzL2Uyb0RvYy54bWxQSwUGAAAAAAYABgBZAQAAbAUAAAAA&#10;">
                        <v:fill on="f" focussize="0,0"/>
                        <v:stroke on="f"/>
                        <v:imagedata o:title=""/>
                        <o:lock v:ext="edit" aspectratio="t"/>
                      </v:rect>
                      <v:shape id="自选图形 721" o:spid="_x0000_s1026" o:spt="32" type="#_x0000_t32" style="position:absolute;left:591257;top:526038;height:1833508;width:2540;" filled="f" stroked="t" coordsize="21600,21600" o:gfxdata="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FFsxnWAAAABQEAAA8AAAAAAAAAAQAgAAAAIgAAAGRy&#10;cy9kb3ducmV2LnhtbFBLAQIUABQAAAAIAIdO4kA+3o2DBwIAAPQDAAAOAAAAAAAAAAEAIAAAACUB&#10;AABkcnMvZTJvRG9jLnhtbFBLBQYAAAAABgAGAFkBAACeBQAAAAA=&#10;">
                        <v:fill on="f" focussize="0,0"/>
                        <v:stroke weight="1.25pt" color="#000000" joinstyle="round"/>
                        <v:imagedata o:title=""/>
                        <o:lock v:ext="edit" aspectratio="f"/>
                      </v:shape>
                      <v:line id="直线 538" o:spid="_x0000_s1026" o:spt="20" style="position:absolute;left:3143634;top:354494;height:0;width:560070;" filled="f" stroked="t" coordsize="21600,21600" o:gfxdata="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44iu9QAAAAFAQAADwAAAAAAAAABACAA&#10;AAAiAAAAZHJzL2Rvd25yZXYueG1sUEsBAhQAFAAAAAgAh07iQCzNW3cRAgAAHQQAAA4AAAAAAAAA&#10;AQAgAAAAIwEAAGRycy9lMm9Eb2MueG1sUEsFBgAAAAAGAAYAWQEAAKYFAAAAAA==&#10;">
                        <v:fill on="f" focussize="0,0"/>
                        <v:stroke color="#000000" joinstyle="miter" endarrow="block"/>
                        <v:imagedata o:title=""/>
                        <o:lock v:ext="edit" aspectratio="f"/>
                      </v:line>
                      <v:shape id="Text Box 1406" o:spid="_x0000_s1026" o:spt="202" type="#_x0000_t202" style="position:absolute;left:664926;top:2005677;height:252219;width:323889;" fillcolor="#FFFFFF" filled="t" stroked="f" coordsize="21600,21600" o:gfxdata="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gCeTHVAAAABQEAAA8AAAAAAAAAAQAgAAAAIgAA&#10;AGRycy9kb3ducmV2LnhtbFBLAQIUABQAAAAIAIdO4kDyV6pwRAIAAL8EAAAOAAAAAAAAAAEAIAAA&#10;ACQBAABkcnMvZTJvRG9jLnhtbFBLBQYAAAAABgAGAFkBAADaBQAAAAA=&#10;">
                        <v:fill type="gradient" on="t" color2="#FFFFFF" opacity="0f" o:opacity2="0f" focus="100%" focussize="0,0" rotate="t"/>
                        <v:stroke on="f" weight="1.25pt"/>
                        <v:imagedata o:title=""/>
                        <o:lock v:ext="edit" aspectratio="f"/>
                        <v:textbox inset="0mm,1.27mm,0mm,1.27mm">
                          <w:txbxContent>
                            <w:p w14:paraId="04DFD7AF">
                              <w:pPr>
                                <w:pStyle w:val="25"/>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54</w:t>
                              </w:r>
                            </w:p>
                          </w:txbxContent>
                        </v:textbox>
                      </v:shape>
                      <v:rect id="Rectangle 1405" o:spid="_x0000_s1026" o:spt="1" style="position:absolute;left:1042162;top:2217871;height:294149;width:612214;" filled="f" stroked="t" coordsize="21600,21600" o:gfxdata="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hcCQrYAAAABQEAAA8AAAAAAAAAAQAgAAAAIgAAAGRycy9kb3ducmV2LnhtbFBL&#10;AQIUABQAAAAIAIdO4kB6weMvLwIAAHIEAAAOAAAAAAAAAAEAIAAAACcBAABkcnMvZTJvRG9jLnht&#10;bFBLBQYAAAAABgAGAFkBAADIBQAAAAA=&#10;">
                        <v:fill on="f" focussize="0,0"/>
                        <v:stroke weight="1.25pt" color="#000000" joinstyle="miter"/>
                        <v:imagedata o:title=""/>
                        <o:lock v:ext="edit" aspectratio="f"/>
                        <v:textbox inset="0mm,1.27mm,0mm,1.27mm">
                          <w:txbxContent>
                            <w:p w14:paraId="5CC3469C">
                              <w:pPr>
                                <w:pStyle w:val="25"/>
                                <w:jc w:val="center"/>
                                <w:rPr>
                                  <w:rFonts w:hint="eastAsia" w:ascii="Times New Roman" w:hAnsi="Times New Roman"/>
                                </w:rPr>
                              </w:pPr>
                              <w:r>
                                <w:rPr>
                                  <w:rFonts w:hint="eastAsia" w:ascii="Times New Roman" w:hAnsi="Times New Roman"/>
                                  <w:sz w:val="21"/>
                                  <w:szCs w:val="21"/>
                                </w:rPr>
                                <w:t>生活用水</w:t>
                              </w:r>
                            </w:p>
                          </w:txbxContent>
                        </v:textbox>
                      </v:rect>
                      <v:shape id="AutoShape 1390" o:spid="_x0000_s1026" o:spt="32" type="#_x0000_t32" style="position:absolute;left:1668983;top:2353192;height:0;width:1440355;" filled="f" stroked="t" coordsize="21600,21600" o:gfxdata="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Ycg09YAAAAFAQAADwAAAAAAAAABACAAAAAiAAAAZHJzL2Rvd25yZXYueG1sUEsBAhQA&#10;FAAAAAgAh07iQEwW0/70AQAA9QMAAA4AAAAAAAAAAQAgAAAAJQEAAGRycy9lMm9Eb2MueG1sUEsF&#10;BgAAAAAGAAYAWQEAAIsFAAAAAA==&#10;">
                        <v:fill on="f" focussize="0,0"/>
                        <v:stroke weight="1.25pt" color="#000000" joinstyle="round" endarrow="block"/>
                        <v:imagedata o:title=""/>
                        <o:lock v:ext="edit" aspectratio="f"/>
                      </v:shape>
                      <v:rect id="Rectangle 1405" o:spid="_x0000_s1026" o:spt="1" style="position:absolute;left:3134741;top:2146081;height:432012;width:1512119;" filled="f" stroked="f" coordsize="21600,21600" o:gfxdata="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5S4klNMAAAAFAQAADwAA&#10;AAAAAAABACAAAAAiAAAAZHJzL2Rvd25yZXYueG1sUEsBAhQAFAAAAAgAh07iQFPFnW7iAQAAvQMA&#10;AA4AAAAAAAAAAQAgAAAAIgEAAGRycy9lMm9Eb2MueG1sUEsFBgAAAAAGAAYAWQEAAHYFAAAAAA==&#10;">
                        <v:fill on="f" focussize="0,0"/>
                        <v:stroke on="f" weight="1.25pt"/>
                        <v:imagedata o:title=""/>
                        <o:lock v:ext="edit" aspectratio="f"/>
                        <v:textbox inset="0mm,1.27mm,0mm,1.27mm">
                          <w:txbxContent>
                            <w:p w14:paraId="6D9EC7B3">
                              <w:pPr>
                                <w:pStyle w:val="25"/>
                                <w:rPr>
                                  <w:rFonts w:hint="eastAsia" w:ascii="Times New Roman" w:hAnsi="Times New Roman" w:eastAsia="宋体"/>
                                  <w:lang w:eastAsia="zh-CN"/>
                                </w:rPr>
                              </w:pPr>
                              <w:r>
                                <w:rPr>
                                  <w:rFonts w:hint="eastAsia" w:ascii="Times New Roman" w:hAnsi="Times New Roman"/>
                                  <w:sz w:val="21"/>
                                  <w:szCs w:val="21"/>
                                </w:rPr>
                                <w:t>井场设置</w:t>
                              </w:r>
                              <w:r>
                                <w:rPr>
                                  <w:rFonts w:hint="eastAsia" w:ascii="Times New Roman" w:hAnsi="Times New Roman"/>
                                  <w:sz w:val="21"/>
                                  <w:szCs w:val="21"/>
                                  <w:lang w:eastAsia="zh-CN"/>
                                </w:rPr>
                                <w:t>环保厕所</w:t>
                              </w:r>
                              <w:r>
                                <w:rPr>
                                  <w:rFonts w:hint="eastAsia" w:ascii="Times New Roman" w:hAnsi="Times New Roman"/>
                                  <w:sz w:val="21"/>
                                  <w:szCs w:val="21"/>
                                </w:rPr>
                                <w:t>，</w:t>
                              </w:r>
                              <w:r>
                                <w:rPr>
                                  <w:rFonts w:hint="eastAsia" w:ascii="Times New Roman" w:hAnsi="Times New Roman"/>
                                  <w:sz w:val="21"/>
                                  <w:szCs w:val="21"/>
                                  <w:lang w:eastAsia="zh-CN"/>
                                </w:rPr>
                                <w:t>委托当地村民</w:t>
                              </w:r>
                              <w:r>
                                <w:rPr>
                                  <w:rFonts w:hint="eastAsia" w:ascii="Times New Roman" w:hAnsi="Times New Roman"/>
                                  <w:sz w:val="21"/>
                                  <w:szCs w:val="21"/>
                                </w:rPr>
                                <w:t>定期清掏</w:t>
                              </w:r>
                              <w:r>
                                <w:rPr>
                                  <w:rFonts w:hint="eastAsia" w:ascii="Times New Roman" w:hAnsi="Times New Roman"/>
                                  <w:sz w:val="21"/>
                                  <w:szCs w:val="21"/>
                                  <w:lang w:eastAsia="zh-CN"/>
                                </w:rPr>
                                <w:t>。</w:t>
                              </w:r>
                            </w:p>
                          </w:txbxContent>
                        </v:textbox>
                      </v:rect>
                      <v:shape id="Text Box 1406" o:spid="_x0000_s1026" o:spt="202" type="#_x0000_t202" style="position:absolute;left:720177;top:1152454;height:252219;width:215926;" fillcolor="#FFFFFF" filled="t" stroked="f" coordsize="21600,21600" o:gfxdata="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&#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gCeTHVAAAABQEAAA8AAAAAAAAAAQAgAAAAIgAAAGRy&#10;cy9kb3ducmV2LnhtbFBLAQIUABQAAAAIAIdO4kDcykSTQQIAAL8EAAAOAAAAAAAAAAEAIAAAACQB&#10;AABkcnMvZTJvRG9jLnhtbFBLBQYAAAAABgAGAFkBAADXBQAAAAA=&#10;">
                        <v:fill type="gradient" on="t" color2="#FFFFFF" opacity="0f" o:opacity2="0f" focus="100%" focussize="0,0" rotate="t"/>
                        <v:stroke on="f" weight="1.25pt"/>
                        <v:imagedata o:title=""/>
                        <o:lock v:ext="edit" aspectratio="f"/>
                        <v:textbox inset="0mm,1.27mm,0mm,1.27mm">
                          <w:txbxContent>
                            <w:p w14:paraId="5E86CD68">
                              <w:pPr>
                                <w:pStyle w:val="25"/>
                                <w:rPr>
                                  <w:rFonts w:hint="default" w:ascii="Times New Roman" w:hAnsi="Times New Roman"/>
                                  <w:lang w:val="en-US"/>
                                </w:rPr>
                              </w:pPr>
                              <w:r>
                                <w:rPr>
                                  <w:rFonts w:hint="eastAsia" w:ascii="Times New Roman" w:hAnsi="Times New Roman"/>
                                  <w:sz w:val="21"/>
                                  <w:szCs w:val="21"/>
                                  <w:lang w:val="en-US" w:eastAsia="zh-CN"/>
                                </w:rPr>
                                <w:t>120</w:t>
                              </w:r>
                            </w:p>
                          </w:txbxContent>
                        </v:textbox>
                      </v:shape>
                      <v:shape id="Text Box 1406" o:spid="_x0000_s1026" o:spt="202" type="#_x0000_t202" style="position:absolute;left:2184030;top:2043796;height:252219;width:396288;" fillcolor="#FFFFFF" filled="t" stroked="f" coordsize="21600,21600" o:gfxdata="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IAnkx1QAAAAUBAAAPAAAAAAAAAAEAIAAAACIAAABk&#10;cnMvZG93bnJldi54bWxQSwECFAAUAAAACACHTuJAU3gvWEICAADABAAADgAAAAAAAAABACAAAAAk&#10;AQAAZHJzL2Uyb0RvYy54bWxQSwUGAAAAAAYABgBZAQAA2AUAAAAA&#10;">
                        <v:fill type="gradient" on="t" color2="#FFFFFF" opacity="0f" o:opacity2="0f" focus="100%" focussize="0,0" rotate="t"/>
                        <v:stroke on="f" weight="1.25pt"/>
                        <v:imagedata o:title=""/>
                        <o:lock v:ext="edit" aspectratio="f"/>
                        <v:textbox inset="0mm,1.27mm,0mm,1.27mm">
                          <w:txbxContent>
                            <w:p w14:paraId="74E7A65E">
                              <w:pPr>
                                <w:pStyle w:val="25"/>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43</w:t>
                              </w:r>
                            </w:p>
                          </w:txbxContent>
                        </v:textbox>
                      </v:shape>
                      <v:shape id="AutoShape 1398" o:spid="_x0000_s1026" o:spt="32" type="#_x0000_t32" style="position:absolute;left:1371767;top:1081935;flip:y;height:179793;width:266732;" filled="f" stroked="t" coordsize="21600,21600" o:gfxdata="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XWJLy1QAAAAUBAAAPAAAAAAAAAAEAIAAAACIAAABkcnMvZG93bnJl&#10;di54bWxQSwECFAAUAAAACACHTuJA+V0jtQACAAACBAAADgAAAAAAAAABACAAAAAkAQAAZHJzL2Uy&#10;b0RvYy54bWxQSwUGAAAAAAYABgBZAQAAlgUAAAAA&#10;">
                        <v:fill on="f" focussize="0,0"/>
                        <v:stroke weight="1.25pt" color="#000000" joinstyle="round" dashstyle="dash" endarrow="block"/>
                        <v:imagedata o:title=""/>
                        <o:lock v:ext="edit" aspectratio="f"/>
                      </v:shape>
                      <v:shape id="Text Box 1406" o:spid="_x0000_s1026" o:spt="202" type="#_x0000_t202" style="position:absolute;left:1740746;top:1349401;height:252219;width:360089;" fillcolor="#FFFFFF" filled="t" stroked="f" coordsize="21600,21600" o:gfxdata="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AJ5MdUAAAAFAQAADwAAAAAAAAABACAAAAAiAAAA&#10;ZHJzL2Rvd25yZXYueG1sUEsBAhQAFAAAAAgAh07iQLNKk1xDAgAAwAQAAA4AAAAAAAAAAQAgAAAA&#10;JAEAAGRycy9lMm9Eb2MueG1sUEsFBgAAAAAGAAYAWQEAANkFAAAAAA==&#10;">
                        <v:fill type="gradient" on="t" color2="#FFFFFF" opacity="0f" o:opacity2="0f" focus="100%" focussize="0,0" rotate="t"/>
                        <v:stroke on="f" weight="1.25pt"/>
                        <v:imagedata o:title=""/>
                        <o:lock v:ext="edit" aspectratio="f"/>
                        <v:textbox inset="0mm,1.27mm,0mm,1.27mm">
                          <w:txbxContent>
                            <w:p w14:paraId="666EB65C">
                              <w:pPr>
                                <w:pStyle w:val="25"/>
                                <w:rPr>
                                  <w:rFonts w:hint="default" w:ascii="Times New Roman" w:hAnsi="Times New Roman" w:eastAsia="宋体"/>
                                  <w:lang w:val="en-US" w:eastAsia="zh-CN"/>
                                </w:rPr>
                              </w:pPr>
                            </w:p>
                          </w:txbxContent>
                        </v:textbox>
                      </v:shape>
                      <v:shape id="AutoShape 1390" o:spid="_x0000_s1026" o:spt="32" type="#_x0000_t32" style="position:absolute;left:598243;top:1425638;height:5718;width:428677;" filled="f" stroked="t" coordsize="21600,21600" o:gfxdata="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2HINPWAAAABQEAAA8AAAAAAAAAAQAgAAAAIgAAAGRycy9kb3ducmV2LnhtbFBL&#10;AQIUABQAAAAIAIdO4kAM3IGq+AEAAPYDAAAOAAAAAAAAAAEAIAAAACUBAABkcnMvZTJvRG9jLnht&#10;bFBLBQYAAAAABgAGAFkBAACPBQAAAAA=&#10;">
                        <v:fill on="f" focussize="0,0"/>
                        <v:stroke weight="1.25pt" color="#000000" joinstyle="round" endarrow="block"/>
                        <v:imagedata o:title=""/>
                        <o:lock v:ext="edit" aspectratio="f"/>
                      </v:shape>
                      <v:shape id="Text Box 1406" o:spid="_x0000_s1026" o:spt="202" type="#_x0000_t202" style="position:absolute;left:1670888;top:947249;height:252219;width:323889;" fillcolor="#FFFFFF" filled="t" stroked="f" coordsize="21600,21600" o:gfxdata="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AJ5MdUAAAAFAQAADwAAAAAAAAABACAAAAAiAAAA&#10;ZHJzL2Rvd25yZXYueG1sUEsBAhQAFAAAAAgAh07iQKClmJZDAgAAvwQAAA4AAAAAAAAAAQAgAAAA&#10;JAEAAGRycy9lMm9Eb2MueG1sUEsFBgAAAAAGAAYAWQEAANkFAAAAAA==&#10;">
                        <v:fill type="gradient" on="t" color2="#FFFFFF" opacity="0f" o:opacity2="0f" focus="100%" focussize="0,0" rotate="t"/>
                        <v:stroke on="f" weight="1.25pt"/>
                        <v:imagedata o:title=""/>
                        <o:lock v:ext="edit" aspectratio="f"/>
                        <v:textbox inset="0mm,1.27mm,0mm,1.27mm">
                          <w:txbxContent>
                            <w:p w14:paraId="5FB407CD">
                              <w:pPr>
                                <w:pStyle w:val="25"/>
                                <w:jc w:val="center"/>
                                <w:rPr>
                                  <w:rFonts w:hint="default" w:ascii="Times New Roman" w:hAnsi="Times New Roman"/>
                                  <w:sz w:val="21"/>
                                  <w:szCs w:val="21"/>
                                  <w:lang w:val="en-US"/>
                                </w:rPr>
                              </w:pPr>
                              <w:r>
                                <w:rPr>
                                  <w:rFonts w:hint="eastAsia" w:ascii="Times New Roman" w:hAnsi="Times New Roman"/>
                                  <w:sz w:val="21"/>
                                  <w:szCs w:val="21"/>
                                  <w:lang w:val="en-US" w:eastAsia="zh-CN"/>
                                </w:rPr>
                                <w:t>120</w:t>
                              </w:r>
                            </w:p>
                          </w:txbxContent>
                        </v:textbox>
                      </v:shape>
                      <v:shape id="AutoShape 1408" o:spid="_x0000_s1026" o:spt="32" type="#_x0000_t32" style="position:absolute;left:3164205;top:1199515;height:0;width:539750;" filled="f" stroked="t" coordsize="21600,21600" o:gfxdata="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dltn62AAAAAUBAAAPAAAAAAAAAAEAIAAAACIAAABkcnMvZG93bnJldi54bWxQ&#10;SwECFAAUAAAACACHTuJA+BrjCvcBAADzAwAADgAAAAAAAAABACAAAAAnAQAAZHJzL2Uyb0RvYy54&#10;bWxQSwUGAAAAAAYABgBZAQAAkAUAAAAA&#10;">
                        <v:fill on="f" focussize="0,0"/>
                        <v:stroke color="#000000" joinstyle="round" endarrow="block"/>
                        <v:imagedata o:title=""/>
                        <o:lock v:ext="edit" aspectratio="f"/>
                      </v:shape>
                      <v:shape id="Text Box 1412" o:spid="_x0000_s1026" o:spt="202" type="#_x0000_t202" style="position:absolute;left:3703955;top:803275;height:798195;width:1456690;" filled="f" stroked="t" coordsize="21600,21600" o:gfxdata="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wAlJ61AAAAAUBAAAPAAAAAAAAAAEAIAAAACIAAABkcnMvZG93bnJldi54&#10;bWxQSwECFAAUAAAACACHTuJAj7NoVjcCAAB6BAAADgAAAAAAAAABACAAAAAjAQAAZHJzL2Uyb0Rv&#10;Yy54bWxQSwUGAAAAAAYABgBZAQAAzAUAAAAA&#10;">
                        <v:fill on="f" focussize="0,0"/>
                        <v:stroke weight="1.25pt" color="#000000" joinstyle="miter" dashstyle="dash"/>
                        <v:imagedata o:title=""/>
                        <o:lock v:ext="edit" aspectratio="f"/>
                        <v:textbox inset="0mm,1.27mm,0mm,1.27mm">
                          <w:txbxContent>
                            <w:p w14:paraId="6FD09187">
                              <w:pPr>
                                <w:jc w:val="center"/>
                                <w:rPr>
                                  <w:color w:val="000000"/>
                                  <w:szCs w:val="21"/>
                                </w:rPr>
                              </w:pPr>
                              <w:r>
                                <w:rPr>
                                  <w:rFonts w:hint="eastAsia"/>
                                  <w:bCs/>
                                  <w:szCs w:val="18"/>
                                  <w:lang w:val="en-US" w:eastAsia="zh-CN"/>
                                </w:rPr>
                                <w:t>由罐车拉运至吉兰泰联合站采出水处理系统，处理合格后回注采油层，不外排</w:t>
                              </w:r>
                              <w:r>
                                <w:rPr>
                                  <w:rFonts w:hint="eastAsia"/>
                                  <w:bCs/>
                                  <w:szCs w:val="18"/>
                                </w:rPr>
                                <w:t>。</w:t>
                              </w:r>
                            </w:p>
                          </w:txbxContent>
                        </v:textbox>
                      </v:shape>
                      <w10:wrap type="none"/>
                      <w10:anchorlock/>
                    </v:group>
                  </w:pict>
                </mc:Fallback>
              </mc:AlternateContent>
            </w:r>
          </w:p>
          <w:p w14:paraId="1E6B2900">
            <w:pPr>
              <w:keepNext w:val="0"/>
              <w:keepLines w:val="0"/>
              <w:suppressLineNumbers w:val="0"/>
              <w:spacing w:before="120" w:beforeLines="50" w:beforeAutospacing="0" w:after="0" w:afterAutospacing="0" w:line="360" w:lineRule="auto"/>
              <w:ind w:left="0" w:right="0"/>
              <w:jc w:val="center"/>
              <w:rPr>
                <w:rFonts w:hint="default"/>
                <w:b/>
                <w:color w:val="auto"/>
                <w:sz w:val="24"/>
              </w:rPr>
            </w:pPr>
            <w:r>
              <w:rPr>
                <w:rFonts w:hint="default"/>
                <w:b/>
                <w:color w:val="auto"/>
                <w:sz w:val="24"/>
              </w:rPr>
              <w:t>图2-1 项目总水平衡图（m</w:t>
            </w:r>
            <w:r>
              <w:rPr>
                <w:rFonts w:hint="default"/>
                <w:b/>
                <w:color w:val="auto"/>
                <w:sz w:val="24"/>
                <w:vertAlign w:val="superscript"/>
              </w:rPr>
              <w:t>3</w:t>
            </w:r>
            <w:r>
              <w:rPr>
                <w:rFonts w:hint="default"/>
                <w:b/>
                <w:color w:val="auto"/>
                <w:sz w:val="24"/>
              </w:rPr>
              <w:t>/勘探期）</w:t>
            </w:r>
          </w:p>
          <w:p w14:paraId="455C2C00">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color w:val="auto"/>
                <w:sz w:val="24"/>
              </w:rPr>
              <w:t>（4）</w:t>
            </w:r>
            <w:r>
              <w:rPr>
                <w:rFonts w:hint="default"/>
                <w:color w:val="auto"/>
                <w:sz w:val="24"/>
              </w:rPr>
              <w:t>供热</w:t>
            </w:r>
          </w:p>
          <w:p w14:paraId="267E44A1">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lang w:eastAsia="zh-CN"/>
              </w:rPr>
              <w:t>本工程</w:t>
            </w:r>
            <w:r>
              <w:rPr>
                <w:rFonts w:hint="eastAsia"/>
                <w:color w:val="auto"/>
                <w:sz w:val="24"/>
              </w:rPr>
              <w:t>不设置加热炉，如勘探期为冬季，则办公生活区采用电暖器取暖，采出液输送管线利用伴热带保温，单井储液罐使用电加热器加热。电源由柴油发电机提供，可以满足</w:t>
            </w:r>
            <w:r>
              <w:rPr>
                <w:rFonts w:hint="eastAsia"/>
                <w:color w:val="auto"/>
                <w:sz w:val="24"/>
                <w:lang w:eastAsia="zh-CN"/>
              </w:rPr>
              <w:t>本工程</w:t>
            </w:r>
            <w:r>
              <w:rPr>
                <w:rFonts w:hint="eastAsia"/>
                <w:color w:val="auto"/>
                <w:sz w:val="24"/>
              </w:rPr>
              <w:t>供暖的需求</w:t>
            </w:r>
            <w:r>
              <w:rPr>
                <w:rFonts w:hint="default"/>
                <w:color w:val="auto"/>
                <w:sz w:val="24"/>
              </w:rPr>
              <w:t>。</w:t>
            </w:r>
          </w:p>
          <w:p w14:paraId="75B04F52">
            <w:pPr>
              <w:keepNext w:val="0"/>
              <w:keepLines w:val="0"/>
              <w:suppressLineNumbers w:val="0"/>
              <w:adjustRightInd w:val="0"/>
              <w:snapToGrid w:val="0"/>
              <w:spacing w:before="0" w:beforeAutospacing="0" w:after="0" w:afterAutospacing="0" w:line="360" w:lineRule="auto"/>
              <w:ind w:left="0" w:right="0" w:firstLine="482" w:firstLineChars="200"/>
              <w:rPr>
                <w:rFonts w:hint="default"/>
                <w:b/>
                <w:color w:val="auto"/>
                <w:sz w:val="24"/>
              </w:rPr>
            </w:pPr>
            <w:r>
              <w:rPr>
                <w:rFonts w:hint="eastAsia"/>
                <w:b/>
                <w:color w:val="auto"/>
                <w:sz w:val="24"/>
              </w:rPr>
              <w:t>7</w:t>
            </w:r>
            <w:r>
              <w:rPr>
                <w:rFonts w:hint="default"/>
                <w:b/>
                <w:color w:val="auto"/>
                <w:sz w:val="24"/>
              </w:rPr>
              <w:t>、总投资及投资来源</w:t>
            </w:r>
          </w:p>
          <w:p w14:paraId="5AD1496E">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rPr>
            </w:pPr>
            <w:r>
              <w:rPr>
                <w:rFonts w:hint="eastAsia"/>
                <w:color w:val="auto"/>
                <w:sz w:val="24"/>
                <w:lang w:eastAsia="zh-CN"/>
              </w:rPr>
              <w:t>本工程</w:t>
            </w:r>
            <w:r>
              <w:rPr>
                <w:rFonts w:hint="default"/>
                <w:color w:val="auto"/>
                <w:sz w:val="24"/>
              </w:rPr>
              <w:t>总投资</w:t>
            </w:r>
            <w:r>
              <w:rPr>
                <w:rFonts w:hint="eastAsia"/>
                <w:color w:val="auto"/>
                <w:sz w:val="24"/>
                <w:lang w:val="en-US" w:eastAsia="zh-CN"/>
              </w:rPr>
              <w:t>3762</w:t>
            </w:r>
            <w:r>
              <w:rPr>
                <w:rFonts w:hint="default"/>
                <w:color w:val="auto"/>
                <w:sz w:val="24"/>
              </w:rPr>
              <w:t>万元，全部由企业自筹解决。</w:t>
            </w:r>
          </w:p>
          <w:p w14:paraId="25913E5D">
            <w:pPr>
              <w:keepNext w:val="0"/>
              <w:keepLines w:val="0"/>
              <w:suppressLineNumbers w:val="0"/>
              <w:adjustRightInd w:val="0"/>
              <w:snapToGrid w:val="0"/>
              <w:spacing w:before="0" w:beforeAutospacing="0" w:after="0" w:afterAutospacing="0" w:line="360" w:lineRule="auto"/>
              <w:ind w:left="0" w:right="0" w:firstLine="482" w:firstLineChars="200"/>
              <w:rPr>
                <w:rFonts w:hint="default"/>
                <w:b/>
                <w:color w:val="auto"/>
                <w:sz w:val="24"/>
              </w:rPr>
            </w:pPr>
            <w:r>
              <w:rPr>
                <w:rFonts w:hint="eastAsia"/>
                <w:b/>
                <w:color w:val="auto"/>
                <w:sz w:val="24"/>
              </w:rPr>
              <w:t>三</w:t>
            </w:r>
            <w:r>
              <w:rPr>
                <w:rFonts w:hint="default"/>
                <w:b/>
                <w:color w:val="auto"/>
                <w:sz w:val="24"/>
              </w:rPr>
              <w:t>、建设规模</w:t>
            </w:r>
          </w:p>
          <w:p w14:paraId="72CDE573">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rPr>
            </w:pPr>
            <w:r>
              <w:rPr>
                <w:rFonts w:hint="eastAsia"/>
                <w:color w:val="auto"/>
                <w:sz w:val="24"/>
              </w:rPr>
              <w:t>根据钻探计划，钻探</w:t>
            </w:r>
            <w:r>
              <w:rPr>
                <w:rFonts w:hint="eastAsia"/>
                <w:color w:val="auto"/>
                <w:sz w:val="24"/>
                <w:lang w:eastAsia="zh-CN"/>
              </w:rPr>
              <w:t>完成</w:t>
            </w:r>
            <w:r>
              <w:rPr>
                <w:rFonts w:hint="eastAsia"/>
                <w:color w:val="auto"/>
                <w:sz w:val="24"/>
              </w:rPr>
              <w:t>后，进行试油，试油结束后临时封井。</w:t>
            </w:r>
            <w:r>
              <w:rPr>
                <w:rFonts w:hint="eastAsia"/>
                <w:color w:val="auto"/>
                <w:sz w:val="24"/>
                <w:lang w:eastAsia="zh-CN"/>
              </w:rPr>
              <w:t>本工程</w:t>
            </w:r>
            <w:r>
              <w:rPr>
                <w:rFonts w:hint="eastAsia"/>
                <w:color w:val="auto"/>
                <w:sz w:val="24"/>
              </w:rPr>
              <w:t>探井采用二开井身结构，勘探期</w:t>
            </w:r>
            <w:r>
              <w:rPr>
                <w:rFonts w:hint="default"/>
                <w:color w:val="auto"/>
                <w:sz w:val="24"/>
              </w:rPr>
              <w:t>较短，勘探期约为</w:t>
            </w:r>
            <w:r>
              <w:rPr>
                <w:rFonts w:hint="eastAsia"/>
                <w:color w:val="auto"/>
                <w:sz w:val="24"/>
              </w:rPr>
              <w:t>6</w:t>
            </w:r>
            <w:r>
              <w:rPr>
                <w:rFonts w:hint="default"/>
                <w:color w:val="auto"/>
                <w:sz w:val="24"/>
              </w:rPr>
              <w:t>0天</w:t>
            </w:r>
            <w:r>
              <w:rPr>
                <w:rFonts w:hint="eastAsia"/>
                <w:color w:val="auto"/>
                <w:sz w:val="24"/>
              </w:rPr>
              <w:t>。</w:t>
            </w:r>
          </w:p>
          <w:p w14:paraId="08626679">
            <w:pPr>
              <w:keepNext w:val="0"/>
              <w:keepLines w:val="0"/>
              <w:suppressLineNumbers w:val="0"/>
              <w:spacing w:before="0" w:beforeAutospacing="0" w:after="0" w:afterAutospacing="0"/>
              <w:ind w:left="0" w:right="0"/>
              <w:jc w:val="center"/>
              <w:rPr>
                <w:rFonts w:hint="default"/>
                <w:b/>
                <w:color w:val="auto"/>
                <w:sz w:val="24"/>
              </w:rPr>
            </w:pPr>
            <w:r>
              <w:rPr>
                <w:rFonts w:hint="default"/>
                <w:b/>
                <w:color w:val="auto"/>
                <w:sz w:val="24"/>
              </w:rPr>
              <w:t>表</w:t>
            </w:r>
            <w:r>
              <w:rPr>
                <w:rFonts w:hint="eastAsia"/>
                <w:b/>
                <w:color w:val="auto"/>
                <w:sz w:val="24"/>
              </w:rPr>
              <w:t>2</w:t>
            </w:r>
            <w:r>
              <w:rPr>
                <w:rFonts w:hint="default"/>
                <w:b/>
                <w:color w:val="auto"/>
                <w:sz w:val="24"/>
              </w:rPr>
              <w:t>-</w:t>
            </w:r>
            <w:r>
              <w:rPr>
                <w:rFonts w:hint="eastAsia"/>
                <w:b/>
                <w:color w:val="auto"/>
                <w:sz w:val="24"/>
              </w:rPr>
              <w:t xml:space="preserve">8 </w:t>
            </w:r>
            <w:r>
              <w:rPr>
                <w:rFonts w:hint="default"/>
                <w:b/>
                <w:color w:val="auto"/>
                <w:sz w:val="24"/>
              </w:rPr>
              <w:t>井身结构设计数据见表</w:t>
            </w:r>
          </w:p>
          <w:tbl>
            <w:tblPr>
              <w:tblStyle w:val="30"/>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876"/>
              <w:gridCol w:w="1030"/>
              <w:gridCol w:w="1075"/>
              <w:gridCol w:w="1261"/>
              <w:gridCol w:w="1023"/>
              <w:gridCol w:w="1057"/>
              <w:gridCol w:w="1058"/>
              <w:gridCol w:w="990"/>
            </w:tblGrid>
            <w:tr w14:paraId="78D2C74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71" w:hRule="atLeast"/>
              </w:trPr>
              <w:tc>
                <w:tcPr>
                  <w:tcW w:w="523" w:type="pct"/>
                  <w:vMerge w:val="restart"/>
                  <w:tcBorders>
                    <w:right w:val="single" w:color="auto" w:sz="4" w:space="0"/>
                  </w:tcBorders>
                  <w:noWrap w:val="0"/>
                  <w:vAlign w:val="center"/>
                </w:tcPr>
                <w:p w14:paraId="0D81AE6A">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井号</w:t>
                  </w:r>
                </w:p>
              </w:tc>
              <w:tc>
                <w:tcPr>
                  <w:tcW w:w="2621" w:type="pct"/>
                  <w:gridSpan w:val="4"/>
                  <w:noWrap w:val="0"/>
                  <w:vAlign w:val="center"/>
                </w:tcPr>
                <w:p w14:paraId="30C33282">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一开</w:t>
                  </w:r>
                </w:p>
              </w:tc>
              <w:tc>
                <w:tcPr>
                  <w:tcW w:w="1263" w:type="pct"/>
                  <w:gridSpan w:val="2"/>
                  <w:noWrap w:val="0"/>
                  <w:vAlign w:val="center"/>
                </w:tcPr>
                <w:p w14:paraId="4665FA9C">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二开</w:t>
                  </w:r>
                </w:p>
              </w:tc>
              <w:tc>
                <w:tcPr>
                  <w:tcW w:w="591" w:type="pct"/>
                  <w:vMerge w:val="restart"/>
                  <w:noWrap w:val="0"/>
                  <w:tcMar>
                    <w:left w:w="0" w:type="dxa"/>
                    <w:right w:w="0" w:type="dxa"/>
                  </w:tcMar>
                  <w:vAlign w:val="center"/>
                </w:tcPr>
                <w:p w14:paraId="08265C79">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备注</w:t>
                  </w:r>
                </w:p>
              </w:tc>
            </w:tr>
            <w:tr w14:paraId="480B36E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523" w:type="pct"/>
                  <w:vMerge w:val="continue"/>
                  <w:tcBorders>
                    <w:right w:val="single" w:color="auto" w:sz="4" w:space="0"/>
                  </w:tcBorders>
                  <w:noWrap w:val="0"/>
                  <w:vAlign w:val="center"/>
                </w:tcPr>
                <w:p w14:paraId="5D38C87A">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615" w:type="pct"/>
                  <w:tcBorders>
                    <w:right w:val="single" w:color="auto" w:sz="4" w:space="0"/>
                  </w:tcBorders>
                  <w:noWrap w:val="0"/>
                  <w:tcMar>
                    <w:left w:w="0" w:type="dxa"/>
                    <w:right w:w="0" w:type="dxa"/>
                  </w:tcMar>
                  <w:vAlign w:val="center"/>
                </w:tcPr>
                <w:p w14:paraId="6B3A9C34">
                  <w:pPr>
                    <w:keepNext w:val="0"/>
                    <w:keepLines w:val="0"/>
                    <w:suppressLineNumbers w:val="0"/>
                    <w:adjustRightInd w:val="0"/>
                    <w:snapToGrid w:val="0"/>
                    <w:spacing w:before="0" w:beforeAutospacing="0" w:after="0" w:afterAutospacing="0"/>
                    <w:ind w:left="0" w:right="0"/>
                    <w:jc w:val="center"/>
                    <w:rPr>
                      <w:rFonts w:hint="eastAsia"/>
                      <w:color w:val="auto"/>
                      <w:szCs w:val="21"/>
                    </w:rPr>
                  </w:pPr>
                  <w:r>
                    <w:rPr>
                      <w:rFonts w:hint="default"/>
                      <w:color w:val="auto"/>
                      <w:szCs w:val="21"/>
                    </w:rPr>
                    <w:t>导管尺寸</w:t>
                  </w:r>
                </w:p>
                <w:p w14:paraId="54499680">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mm</w:t>
                  </w:r>
                </w:p>
              </w:tc>
              <w:tc>
                <w:tcPr>
                  <w:tcW w:w="642" w:type="pct"/>
                  <w:tcBorders>
                    <w:right w:val="single" w:color="auto" w:sz="4" w:space="0"/>
                  </w:tcBorders>
                  <w:noWrap w:val="0"/>
                  <w:tcMar>
                    <w:left w:w="0" w:type="dxa"/>
                    <w:right w:w="0" w:type="dxa"/>
                  </w:tcMar>
                  <w:vAlign w:val="center"/>
                </w:tcPr>
                <w:p w14:paraId="640630B1">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钻井深度m</w:t>
                  </w:r>
                </w:p>
              </w:tc>
              <w:tc>
                <w:tcPr>
                  <w:tcW w:w="753" w:type="pct"/>
                  <w:tcBorders>
                    <w:left w:val="single" w:color="auto" w:sz="4" w:space="0"/>
                  </w:tcBorders>
                  <w:noWrap w:val="0"/>
                  <w:tcMar>
                    <w:left w:w="0" w:type="dxa"/>
                    <w:right w:w="0" w:type="dxa"/>
                  </w:tcMar>
                  <w:vAlign w:val="center"/>
                </w:tcPr>
                <w:p w14:paraId="6532FA8E">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套管尺寸mm</w:t>
                  </w:r>
                </w:p>
              </w:tc>
              <w:tc>
                <w:tcPr>
                  <w:tcW w:w="609" w:type="pct"/>
                  <w:noWrap w:val="0"/>
                  <w:tcMar>
                    <w:left w:w="0" w:type="dxa"/>
                    <w:right w:w="0" w:type="dxa"/>
                  </w:tcMar>
                  <w:vAlign w:val="center"/>
                </w:tcPr>
                <w:p w14:paraId="5E50EC77">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钻井深度m</w:t>
                  </w:r>
                </w:p>
              </w:tc>
              <w:tc>
                <w:tcPr>
                  <w:tcW w:w="631" w:type="pct"/>
                  <w:noWrap w:val="0"/>
                  <w:tcMar>
                    <w:left w:w="0" w:type="dxa"/>
                    <w:right w:w="0" w:type="dxa"/>
                  </w:tcMar>
                  <w:vAlign w:val="center"/>
                </w:tcPr>
                <w:p w14:paraId="0395ECF3">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套管尺寸mm</w:t>
                  </w:r>
                </w:p>
              </w:tc>
              <w:tc>
                <w:tcPr>
                  <w:tcW w:w="631" w:type="pct"/>
                  <w:noWrap w:val="0"/>
                  <w:tcMar>
                    <w:left w:w="0" w:type="dxa"/>
                    <w:right w:w="0" w:type="dxa"/>
                  </w:tcMar>
                  <w:vAlign w:val="center"/>
                </w:tcPr>
                <w:p w14:paraId="19A48232">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钻井深度m</w:t>
                  </w:r>
                </w:p>
              </w:tc>
              <w:tc>
                <w:tcPr>
                  <w:tcW w:w="591" w:type="pct"/>
                  <w:vMerge w:val="continue"/>
                  <w:noWrap w:val="0"/>
                  <w:vAlign w:val="center"/>
                </w:tcPr>
                <w:p w14:paraId="4386DE21">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r>
            <w:tr w14:paraId="65EAD34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523" w:type="pct"/>
                  <w:tcBorders>
                    <w:right w:val="single" w:color="auto" w:sz="4" w:space="0"/>
                  </w:tcBorders>
                  <w:noWrap w:val="0"/>
                  <w:tcMar>
                    <w:left w:w="0" w:type="dxa"/>
                    <w:right w:w="0" w:type="dxa"/>
                  </w:tcMar>
                  <w:vAlign w:val="center"/>
                </w:tcPr>
                <w:p w14:paraId="1B7A8D32">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eastAsia="宋体"/>
                      <w:color w:val="auto"/>
                      <w:szCs w:val="21"/>
                      <w:lang w:val="en-US" w:eastAsia="zh-CN"/>
                    </w:rPr>
                    <w:t>扎格6</w:t>
                  </w:r>
                </w:p>
              </w:tc>
              <w:tc>
                <w:tcPr>
                  <w:tcW w:w="615" w:type="pct"/>
                  <w:tcBorders>
                    <w:right w:val="single" w:color="auto" w:sz="4" w:space="0"/>
                  </w:tcBorders>
                  <w:noWrap w:val="0"/>
                  <w:vAlign w:val="center"/>
                </w:tcPr>
                <w:p w14:paraId="457A7E73">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339.7</w:t>
                  </w:r>
                </w:p>
              </w:tc>
              <w:tc>
                <w:tcPr>
                  <w:tcW w:w="642" w:type="pct"/>
                  <w:tcBorders>
                    <w:right w:val="single" w:color="auto" w:sz="4" w:space="0"/>
                  </w:tcBorders>
                  <w:noWrap w:val="0"/>
                  <w:vAlign w:val="center"/>
                </w:tcPr>
                <w:p w14:paraId="45F44A65">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120</w:t>
                  </w:r>
                </w:p>
              </w:tc>
              <w:tc>
                <w:tcPr>
                  <w:tcW w:w="753" w:type="pct"/>
                  <w:tcBorders>
                    <w:left w:val="single" w:color="auto" w:sz="4" w:space="0"/>
                  </w:tcBorders>
                  <w:noWrap w:val="0"/>
                  <w:vAlign w:val="center"/>
                </w:tcPr>
                <w:p w14:paraId="0EE808FE">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244.5</w:t>
                  </w:r>
                </w:p>
              </w:tc>
              <w:tc>
                <w:tcPr>
                  <w:tcW w:w="609" w:type="pct"/>
                  <w:noWrap w:val="0"/>
                  <w:vAlign w:val="center"/>
                </w:tcPr>
                <w:p w14:paraId="631ED0C2">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1600</w:t>
                  </w:r>
                </w:p>
              </w:tc>
              <w:tc>
                <w:tcPr>
                  <w:tcW w:w="631" w:type="pct"/>
                  <w:noWrap w:val="0"/>
                  <w:vAlign w:val="center"/>
                </w:tcPr>
                <w:p w14:paraId="251043C1">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139.7</w:t>
                  </w:r>
                </w:p>
              </w:tc>
              <w:tc>
                <w:tcPr>
                  <w:tcW w:w="631" w:type="pct"/>
                  <w:noWrap w:val="0"/>
                  <w:vAlign w:val="center"/>
                </w:tcPr>
                <w:p w14:paraId="6492000A">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6600</w:t>
                  </w:r>
                </w:p>
              </w:tc>
              <w:tc>
                <w:tcPr>
                  <w:tcW w:w="591" w:type="pct"/>
                  <w:noWrap w:val="0"/>
                  <w:tcMar>
                    <w:left w:w="0" w:type="dxa"/>
                    <w:right w:w="0" w:type="dxa"/>
                  </w:tcMar>
                  <w:vAlign w:val="center"/>
                </w:tcPr>
                <w:p w14:paraId="0C2581F7">
                  <w:pPr>
                    <w:keepNext w:val="0"/>
                    <w:keepLines w:val="0"/>
                    <w:suppressLineNumbers w:val="0"/>
                    <w:adjustRightInd w:val="0"/>
                    <w:snapToGrid w:val="0"/>
                    <w:spacing w:before="0" w:beforeAutospacing="0" w:after="0" w:afterAutospacing="0"/>
                    <w:ind w:left="0" w:right="0"/>
                    <w:jc w:val="center"/>
                    <w:rPr>
                      <w:rFonts w:hint="eastAsia"/>
                      <w:color w:val="auto"/>
                      <w:szCs w:val="21"/>
                    </w:rPr>
                  </w:pPr>
                  <w:r>
                    <w:rPr>
                      <w:rFonts w:hint="eastAsia"/>
                      <w:color w:val="auto"/>
                      <w:szCs w:val="21"/>
                    </w:rPr>
                    <w:t>固井水泥返至地面</w:t>
                  </w:r>
                </w:p>
              </w:tc>
            </w:tr>
          </w:tbl>
          <w:p w14:paraId="7EC18678">
            <w:pPr>
              <w:keepNext w:val="0"/>
              <w:keepLines w:val="0"/>
              <w:suppressLineNumbers w:val="0"/>
              <w:spacing w:before="0" w:beforeAutospacing="0" w:after="0" w:afterAutospacing="0"/>
              <w:ind w:left="0" w:right="0"/>
              <w:jc w:val="center"/>
              <w:rPr>
                <w:rFonts w:hint="eastAsia"/>
                <w:color w:val="auto"/>
              </w:rPr>
            </w:pPr>
            <w:r>
              <w:rPr>
                <w:rFonts w:hint="default"/>
                <w:color w:val="auto"/>
              </w:rPr>
              <w:drawing>
                <wp:inline distT="0" distB="0" distL="114300" distR="114300">
                  <wp:extent cx="2554605" cy="4894580"/>
                  <wp:effectExtent l="0" t="0" r="17145" b="1270"/>
                  <wp:docPr id="1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
                          <pic:cNvPicPr>
                            <a:picLocks noChangeAspect="1"/>
                          </pic:cNvPicPr>
                        </pic:nvPicPr>
                        <pic:blipFill>
                          <a:blip r:embed="rId9"/>
                          <a:stretch>
                            <a:fillRect/>
                          </a:stretch>
                        </pic:blipFill>
                        <pic:spPr>
                          <a:xfrm>
                            <a:off x="0" y="0"/>
                            <a:ext cx="2554605" cy="4894580"/>
                          </a:xfrm>
                          <a:prstGeom prst="rect">
                            <a:avLst/>
                          </a:prstGeom>
                          <a:noFill/>
                          <a:ln>
                            <a:noFill/>
                          </a:ln>
                        </pic:spPr>
                      </pic:pic>
                    </a:graphicData>
                  </a:graphic>
                </wp:inline>
              </w:drawing>
            </w:r>
          </w:p>
          <w:p w14:paraId="6C58861B">
            <w:pPr>
              <w:keepNext w:val="0"/>
              <w:keepLines w:val="0"/>
              <w:suppressLineNumbers w:val="0"/>
              <w:spacing w:before="0" w:beforeAutospacing="0" w:after="0" w:afterAutospacing="0" w:line="360" w:lineRule="auto"/>
              <w:ind w:left="0" w:right="0"/>
              <w:jc w:val="center"/>
              <w:rPr>
                <w:rFonts w:hint="default"/>
                <w:b/>
                <w:color w:val="auto"/>
                <w:sz w:val="24"/>
              </w:rPr>
            </w:pPr>
            <w:r>
              <w:rPr>
                <w:rFonts w:hint="eastAsia"/>
                <w:b/>
                <w:color w:val="auto"/>
                <w:sz w:val="24"/>
              </w:rPr>
              <w:t>图2-2 井身结构示意图</w:t>
            </w:r>
          </w:p>
          <w:p w14:paraId="4F1B25DB">
            <w:pPr>
              <w:keepNext w:val="0"/>
              <w:keepLines w:val="0"/>
              <w:suppressLineNumbers w:val="0"/>
              <w:spacing w:before="0" w:beforeAutospacing="0" w:after="0" w:afterAutospacing="0" w:line="360" w:lineRule="auto"/>
              <w:ind w:left="0" w:right="0" w:firstLine="482" w:firstLineChars="200"/>
              <w:rPr>
                <w:rFonts w:hint="default"/>
                <w:b/>
                <w:color w:val="auto"/>
                <w:sz w:val="24"/>
              </w:rPr>
            </w:pPr>
            <w:r>
              <w:rPr>
                <w:rFonts w:hint="eastAsia"/>
                <w:b/>
                <w:color w:val="auto"/>
                <w:sz w:val="24"/>
              </w:rPr>
              <w:t>四、依托工程</w:t>
            </w:r>
          </w:p>
          <w:p w14:paraId="46F6DA1C">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rPr>
            </w:pPr>
            <w:r>
              <w:rPr>
                <w:rFonts w:hint="eastAsia"/>
                <w:color w:val="auto"/>
                <w:sz w:val="24"/>
              </w:rPr>
              <w:t>1、吉兰泰联合站</w:t>
            </w:r>
          </w:p>
          <w:p w14:paraId="2A22C255">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rPr>
            </w:pPr>
            <w:r>
              <w:rPr>
                <w:rFonts w:hint="eastAsia"/>
                <w:color w:val="auto"/>
                <w:sz w:val="24"/>
              </w:rPr>
              <w:t>（1）基本情况</w:t>
            </w:r>
          </w:p>
          <w:p w14:paraId="1BC8F68C">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rPr>
            </w:pPr>
            <w:r>
              <w:rPr>
                <w:rFonts w:hint="eastAsia"/>
                <w:color w:val="auto"/>
                <w:sz w:val="24"/>
                <w:lang w:eastAsia="zh-CN"/>
              </w:rPr>
              <w:t>本工程</w:t>
            </w:r>
            <w:r>
              <w:rPr>
                <w:rFonts w:hint="default"/>
                <w:color w:val="auto"/>
                <w:sz w:val="24"/>
              </w:rPr>
              <w:t>采出液</w:t>
            </w:r>
            <w:r>
              <w:rPr>
                <w:rFonts w:hint="eastAsia"/>
                <w:color w:val="auto"/>
                <w:sz w:val="24"/>
              </w:rPr>
              <w:t>、</w:t>
            </w:r>
            <w:r>
              <w:rPr>
                <w:rFonts w:hint="default"/>
                <w:color w:val="auto"/>
                <w:sz w:val="24"/>
              </w:rPr>
              <w:t>钻井废水拉运至吉兰泰联合站，采出液</w:t>
            </w:r>
            <w:r>
              <w:rPr>
                <w:rFonts w:hint="eastAsia"/>
                <w:color w:val="auto"/>
                <w:sz w:val="24"/>
              </w:rPr>
              <w:t>进入站内采出液</w:t>
            </w:r>
            <w:r>
              <w:rPr>
                <w:rFonts w:hint="default"/>
                <w:color w:val="auto"/>
                <w:sz w:val="24"/>
              </w:rPr>
              <w:t>处理系统</w:t>
            </w:r>
            <w:r>
              <w:rPr>
                <w:rFonts w:hint="eastAsia"/>
                <w:color w:val="auto"/>
                <w:sz w:val="24"/>
              </w:rPr>
              <w:t>，钻井废水进入站内采出水</w:t>
            </w:r>
            <w:r>
              <w:rPr>
                <w:rFonts w:hint="default"/>
                <w:color w:val="auto"/>
                <w:sz w:val="24"/>
              </w:rPr>
              <w:t>处理系统</w:t>
            </w:r>
            <w:r>
              <w:rPr>
                <w:rFonts w:hint="eastAsia"/>
                <w:color w:val="auto"/>
                <w:sz w:val="24"/>
              </w:rPr>
              <w:t>。</w:t>
            </w:r>
            <w:r>
              <w:rPr>
                <w:rFonts w:hint="default"/>
                <w:color w:val="auto"/>
                <w:sz w:val="24"/>
              </w:rPr>
              <w:t>吉兰泰联合站属于</w:t>
            </w:r>
            <w:r>
              <w:rPr>
                <w:rFonts w:hint="eastAsia"/>
                <w:color w:val="auto"/>
                <w:sz w:val="24"/>
              </w:rPr>
              <w:t>吉兰泰油田整体开发项目</w:t>
            </w:r>
            <w:r>
              <w:rPr>
                <w:rFonts w:hint="default"/>
                <w:color w:val="auto"/>
                <w:sz w:val="24"/>
              </w:rPr>
              <w:t>，为华北油田吉泰勘探开发分公司内部站场</w:t>
            </w:r>
            <w:r>
              <w:rPr>
                <w:rFonts w:hint="eastAsia"/>
                <w:color w:val="auto"/>
                <w:sz w:val="24"/>
                <w:lang w:eastAsia="zh-CN"/>
              </w:rPr>
              <w:t>（</w:t>
            </w:r>
            <w:r>
              <w:rPr>
                <w:rFonts w:hint="eastAsia"/>
                <w:color w:val="auto"/>
                <w:sz w:val="24"/>
                <w:lang w:eastAsia="zh-CN"/>
              </w:rPr>
              <w:t>与本项目同属华北油田，本项目废水等拉运至吉兰泰联合站，无需签订协议</w:t>
            </w:r>
            <w:r>
              <w:rPr>
                <w:rFonts w:hint="eastAsia"/>
                <w:color w:val="auto"/>
                <w:sz w:val="24"/>
                <w:lang w:eastAsia="zh-CN"/>
              </w:rPr>
              <w:t>），</w:t>
            </w:r>
            <w:r>
              <w:rPr>
                <w:rFonts w:hint="default"/>
                <w:color w:val="auto"/>
                <w:sz w:val="24"/>
              </w:rPr>
              <w:t>位于内蒙古自治区阿拉善左旗，距离</w:t>
            </w:r>
            <w:r>
              <w:rPr>
                <w:rFonts w:hint="eastAsia"/>
                <w:color w:val="auto"/>
                <w:sz w:val="24"/>
                <w:lang w:eastAsia="zh-CN"/>
              </w:rPr>
              <w:t>本工程</w:t>
            </w:r>
            <w:r>
              <w:rPr>
                <w:rFonts w:hint="default"/>
                <w:color w:val="auto"/>
                <w:sz w:val="24"/>
                <w:highlight w:val="none"/>
              </w:rPr>
              <w:t>约</w:t>
            </w:r>
            <w:r>
              <w:rPr>
                <w:rFonts w:hint="eastAsia"/>
                <w:color w:val="auto"/>
                <w:sz w:val="24"/>
                <w:highlight w:val="none"/>
                <w:lang w:val="en-US" w:eastAsia="zh-CN"/>
              </w:rPr>
              <w:t>68</w:t>
            </w:r>
            <w:r>
              <w:rPr>
                <w:rFonts w:hint="default"/>
                <w:color w:val="auto"/>
                <w:sz w:val="24"/>
                <w:highlight w:val="none"/>
              </w:rPr>
              <w:t>km。</w:t>
            </w:r>
          </w:p>
          <w:p w14:paraId="33E79FCD">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rPr>
            </w:pPr>
            <w:r>
              <w:rPr>
                <w:rFonts w:hint="eastAsia"/>
                <w:color w:val="auto"/>
                <w:sz w:val="24"/>
              </w:rPr>
              <w:t>2020年8月阿拉善盟生态环境局对吉兰泰油田整体开发项目批复，批复文号：阿环审</w:t>
            </w:r>
            <w:r>
              <w:rPr>
                <w:rFonts w:hint="eastAsia"/>
                <w:color w:val="auto"/>
                <w:sz w:val="24"/>
                <w:lang w:eastAsia="zh-CN"/>
              </w:rPr>
              <w:t>〔2020〕22号</w:t>
            </w:r>
            <w:r>
              <w:rPr>
                <w:rFonts w:hint="eastAsia"/>
                <w:color w:val="auto"/>
                <w:sz w:val="24"/>
              </w:rPr>
              <w:t>，项目同年开始建设；2022年12月吉兰泰油田整体开发项目通过了竣工环境保护自主验收。企业于2022年2月委托第三方编制了吉兰泰油田吉华2浅层区块产能建设项目环境影响评价报告书，于2023年7月12日取得了内蒙古自治区阿拉善盟生态环境局的批复，批复文号：阿环审</w:t>
            </w:r>
            <w:r>
              <w:rPr>
                <w:rFonts w:hint="eastAsia"/>
                <w:color w:val="auto"/>
                <w:sz w:val="24"/>
                <w:lang w:eastAsia="zh-CN"/>
              </w:rPr>
              <w:t>〔2023〕9号</w:t>
            </w:r>
            <w:r>
              <w:rPr>
                <w:rFonts w:hint="eastAsia"/>
                <w:color w:val="auto"/>
                <w:sz w:val="24"/>
              </w:rPr>
              <w:t>；该项目于2024年7月通过了竣工环境保护自主验收。</w:t>
            </w:r>
          </w:p>
          <w:p w14:paraId="6B1BC89E">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吉兰泰联合站主要工艺包括采油、原油沉降脱水、计量、污水处理、注水、供热、消防、装卸油、站控九大系统。吉兰泰联合站采出水处理系统主要处理油田采出水</w:t>
            </w:r>
            <w:r>
              <w:rPr>
                <w:rFonts w:hint="eastAsia"/>
                <w:color w:val="auto"/>
                <w:sz w:val="24"/>
              </w:rPr>
              <w:t>、</w:t>
            </w:r>
            <w:r>
              <w:rPr>
                <w:rFonts w:hint="default"/>
                <w:color w:val="auto"/>
                <w:sz w:val="24"/>
              </w:rPr>
              <w:t>钻井废水等</w:t>
            </w:r>
            <w:r>
              <w:rPr>
                <w:rFonts w:hint="eastAsia"/>
                <w:color w:val="auto"/>
                <w:sz w:val="24"/>
              </w:rPr>
              <w:t>。</w:t>
            </w:r>
          </w:p>
          <w:p w14:paraId="229F7E11">
            <w:pPr>
              <w:keepNext w:val="0"/>
              <w:keepLines w:val="0"/>
              <w:suppressLineNumbers w:val="0"/>
              <w:adjustRightInd w:val="0"/>
              <w:snapToGrid w:val="0"/>
              <w:spacing w:before="0" w:beforeAutospacing="0" w:after="0" w:afterAutospacing="0" w:line="360" w:lineRule="auto"/>
              <w:ind w:left="0" w:right="0"/>
              <w:jc w:val="center"/>
              <w:rPr>
                <w:rFonts w:hint="eastAsia"/>
                <w:color w:val="auto"/>
              </w:rPr>
            </w:pPr>
            <w:r>
              <w:rPr>
                <w:rFonts w:hint="default"/>
                <w:color w:val="auto"/>
              </w:rPr>
              <w:drawing>
                <wp:inline distT="0" distB="0" distL="114300" distR="114300">
                  <wp:extent cx="4599305" cy="2403475"/>
                  <wp:effectExtent l="0" t="0" r="10795" b="15875"/>
                  <wp:docPr id="1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
                          <pic:cNvPicPr>
                            <a:picLocks noChangeAspect="1"/>
                          </pic:cNvPicPr>
                        </pic:nvPicPr>
                        <pic:blipFill>
                          <a:blip r:embed="rId10"/>
                          <a:srcRect b="23418"/>
                          <a:stretch>
                            <a:fillRect/>
                          </a:stretch>
                        </pic:blipFill>
                        <pic:spPr>
                          <a:xfrm>
                            <a:off x="0" y="0"/>
                            <a:ext cx="4599305" cy="2403475"/>
                          </a:xfrm>
                          <a:prstGeom prst="rect">
                            <a:avLst/>
                          </a:prstGeom>
                          <a:noFill/>
                          <a:ln>
                            <a:noFill/>
                          </a:ln>
                        </pic:spPr>
                      </pic:pic>
                    </a:graphicData>
                  </a:graphic>
                </wp:inline>
              </w:drawing>
            </w:r>
          </w:p>
          <w:p w14:paraId="3282FF0C">
            <w:pPr>
              <w:keepNext w:val="0"/>
              <w:keepLines w:val="0"/>
              <w:suppressLineNumbers w:val="0"/>
              <w:adjustRightInd w:val="0"/>
              <w:snapToGrid w:val="0"/>
              <w:spacing w:before="0" w:beforeAutospacing="0" w:after="0" w:afterAutospacing="0" w:line="360" w:lineRule="auto"/>
              <w:ind w:left="0" w:right="0"/>
              <w:jc w:val="center"/>
              <w:rPr>
                <w:rFonts w:hint="eastAsia"/>
                <w:color w:val="auto"/>
                <w:sz w:val="24"/>
              </w:rPr>
            </w:pPr>
            <w:r>
              <w:rPr>
                <w:rFonts w:hint="eastAsia"/>
                <w:b/>
                <w:color w:val="auto"/>
                <w:sz w:val="24"/>
              </w:rPr>
              <w:t>图2-3 吉兰泰联合站平面布置图</w:t>
            </w:r>
          </w:p>
          <w:p w14:paraId="2BFAC9A3">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2</w:t>
            </w:r>
            <w:r>
              <w:rPr>
                <w:rFonts w:hint="eastAsia" w:ascii="宋体" w:hAnsi="宋体" w:eastAsia="宋体" w:cs="宋体"/>
                <w:color w:val="auto"/>
                <w:sz w:val="24"/>
                <w:lang w:eastAsia="zh-CN"/>
              </w:rPr>
              <w:t>）依托可行性</w:t>
            </w:r>
          </w:p>
          <w:p w14:paraId="3992606C">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olor w:val="auto"/>
                <w:sz w:val="24"/>
                <w:lang w:eastAsia="zh-CN"/>
              </w:rPr>
            </w:pPr>
            <w:r>
              <w:rPr>
                <w:rFonts w:hint="eastAsia" w:ascii="宋体" w:hAnsi="宋体" w:eastAsia="宋体" w:cs="宋体"/>
                <w:color w:val="auto"/>
                <w:sz w:val="24"/>
              </w:rPr>
              <w:t>①</w:t>
            </w:r>
            <w:r>
              <w:rPr>
                <w:rFonts w:hint="eastAsia" w:eastAsia="宋体"/>
                <w:color w:val="auto"/>
                <w:sz w:val="24"/>
                <w:lang w:eastAsia="zh-CN"/>
              </w:rPr>
              <w:t>原油处理系统</w:t>
            </w:r>
            <w:r>
              <w:rPr>
                <w:rFonts w:hint="eastAsia"/>
                <w:color w:val="auto"/>
                <w:sz w:val="24"/>
                <w:lang w:eastAsia="zh-CN"/>
              </w:rPr>
              <w:t>（采出液处理系统）</w:t>
            </w:r>
            <w:r>
              <w:rPr>
                <w:rFonts w:hint="eastAsia" w:eastAsia="宋体"/>
                <w:color w:val="auto"/>
                <w:sz w:val="24"/>
                <w:lang w:eastAsia="zh-CN"/>
              </w:rPr>
              <w:t>依托可行性</w:t>
            </w:r>
          </w:p>
          <w:p w14:paraId="72DEC4E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2"/>
                <w:sz w:val="24"/>
                <w:szCs w:val="24"/>
                <w:lang w:val="en-US" w:eastAsia="zh-CN" w:bidi="ar"/>
              </w:rPr>
            </w:pPr>
            <w:r>
              <w:rPr>
                <w:rFonts w:hint="eastAsia"/>
                <w:color w:val="auto"/>
                <w:sz w:val="24"/>
              </w:rPr>
              <w:t>吉兰泰联合站</w:t>
            </w:r>
            <w:r>
              <w:rPr>
                <w:rFonts w:hint="default"/>
                <w:color w:val="auto"/>
                <w:sz w:val="24"/>
              </w:rPr>
              <w:t>原油</w:t>
            </w:r>
            <w:r>
              <w:rPr>
                <w:rFonts w:hint="eastAsia"/>
                <w:color w:val="auto"/>
                <w:sz w:val="24"/>
                <w:lang w:eastAsia="zh-CN"/>
              </w:rPr>
              <w:t>（采出液）</w:t>
            </w:r>
            <w:r>
              <w:rPr>
                <w:rFonts w:hint="default"/>
                <w:color w:val="auto"/>
                <w:sz w:val="24"/>
              </w:rPr>
              <w:t>处理</w:t>
            </w:r>
            <w:r>
              <w:rPr>
                <w:rFonts w:hint="eastAsia"/>
                <w:color w:val="auto"/>
                <w:sz w:val="24"/>
              </w:rPr>
              <w:t>规模</w:t>
            </w:r>
            <w:r>
              <w:rPr>
                <w:rFonts w:hint="default"/>
                <w:color w:val="auto"/>
                <w:sz w:val="24"/>
              </w:rPr>
              <w:t>为</w:t>
            </w:r>
            <w:r>
              <w:rPr>
                <w:rFonts w:hint="eastAsia"/>
                <w:color w:val="auto"/>
                <w:sz w:val="24"/>
              </w:rPr>
              <w:t>36.1</w:t>
            </w:r>
            <w:r>
              <w:rPr>
                <w:rFonts w:hint="default"/>
                <w:color w:val="auto"/>
                <w:sz w:val="24"/>
              </w:rPr>
              <w:t>×10</w:t>
            </w:r>
            <w:r>
              <w:rPr>
                <w:rFonts w:hint="default"/>
                <w:color w:val="auto"/>
                <w:sz w:val="24"/>
                <w:vertAlign w:val="superscript"/>
              </w:rPr>
              <w:t>4</w:t>
            </w:r>
            <w:r>
              <w:rPr>
                <w:rFonts w:hint="default"/>
                <w:color w:val="auto"/>
                <w:sz w:val="24"/>
              </w:rPr>
              <w:t>t/a</w:t>
            </w:r>
            <w:r>
              <w:rPr>
                <w:rFonts w:hint="eastAsia"/>
                <w:color w:val="auto"/>
                <w:sz w:val="24"/>
                <w:lang w:eastAsia="zh-CN"/>
              </w:rPr>
              <w:t>（</w:t>
            </w:r>
            <w:r>
              <w:rPr>
                <w:rFonts w:hint="eastAsia"/>
                <w:color w:val="auto"/>
                <w:sz w:val="24"/>
                <w:lang w:val="en-US" w:eastAsia="zh-CN"/>
              </w:rPr>
              <w:t>989</w:t>
            </w:r>
            <w:r>
              <w:rPr>
                <w:rFonts w:hint="eastAsia"/>
                <w:color w:val="auto"/>
                <w:sz w:val="24"/>
                <w:lang w:eastAsia="zh-CN"/>
              </w:rPr>
              <w:t>t/</w:t>
            </w:r>
            <w:r>
              <w:rPr>
                <w:rFonts w:hint="eastAsia"/>
                <w:color w:val="auto"/>
                <w:sz w:val="24"/>
                <w:lang w:val="en-US" w:eastAsia="zh-CN"/>
              </w:rPr>
              <w:t>d</w:t>
            </w:r>
            <w:r>
              <w:rPr>
                <w:rFonts w:hint="eastAsia"/>
                <w:color w:val="auto"/>
                <w:sz w:val="24"/>
                <w:lang w:eastAsia="zh-CN"/>
              </w:rPr>
              <w:t>）</w:t>
            </w:r>
            <w:r>
              <w:rPr>
                <w:rFonts w:hint="default"/>
                <w:color w:val="auto"/>
                <w:sz w:val="24"/>
              </w:rPr>
              <w:t>，目前</w:t>
            </w:r>
            <w:r>
              <w:rPr>
                <w:rFonts w:hint="eastAsia"/>
                <w:color w:val="auto"/>
                <w:sz w:val="24"/>
              </w:rPr>
              <w:t>运行规模</w:t>
            </w:r>
            <w:r>
              <w:rPr>
                <w:rFonts w:hint="default"/>
                <w:color w:val="auto"/>
                <w:sz w:val="24"/>
              </w:rPr>
              <w:t>为</w:t>
            </w:r>
            <w:r>
              <w:rPr>
                <w:rFonts w:hint="eastAsia"/>
                <w:color w:val="auto"/>
                <w:sz w:val="24"/>
              </w:rPr>
              <w:t>28.0</w:t>
            </w:r>
            <w:r>
              <w:rPr>
                <w:rFonts w:hint="default"/>
                <w:color w:val="auto"/>
                <w:sz w:val="24"/>
              </w:rPr>
              <w:t>×10</w:t>
            </w:r>
            <w:r>
              <w:rPr>
                <w:rFonts w:hint="default"/>
                <w:color w:val="auto"/>
                <w:sz w:val="24"/>
                <w:vertAlign w:val="superscript"/>
              </w:rPr>
              <w:t>4</w:t>
            </w:r>
            <w:r>
              <w:rPr>
                <w:rFonts w:hint="default"/>
                <w:color w:val="auto"/>
                <w:sz w:val="24"/>
              </w:rPr>
              <w:t>t/a</w:t>
            </w:r>
            <w:r>
              <w:rPr>
                <w:rFonts w:hint="eastAsia"/>
                <w:color w:val="auto"/>
                <w:sz w:val="24"/>
                <w:lang w:eastAsia="zh-CN"/>
              </w:rPr>
              <w:t>（</w:t>
            </w:r>
            <w:r>
              <w:rPr>
                <w:rFonts w:hint="eastAsia"/>
                <w:color w:val="auto"/>
                <w:sz w:val="24"/>
                <w:lang w:val="en-US" w:eastAsia="zh-CN"/>
              </w:rPr>
              <w:t>767</w:t>
            </w:r>
            <w:r>
              <w:rPr>
                <w:rFonts w:hint="eastAsia"/>
                <w:color w:val="auto"/>
                <w:sz w:val="24"/>
                <w:lang w:eastAsia="zh-CN"/>
              </w:rPr>
              <w:t>t/</w:t>
            </w:r>
            <w:r>
              <w:rPr>
                <w:rFonts w:hint="eastAsia"/>
                <w:color w:val="auto"/>
                <w:sz w:val="24"/>
                <w:lang w:val="en-US" w:eastAsia="zh-CN"/>
              </w:rPr>
              <w:t>d</w:t>
            </w:r>
            <w:r>
              <w:rPr>
                <w:rFonts w:hint="eastAsia"/>
                <w:color w:val="auto"/>
                <w:sz w:val="24"/>
                <w:lang w:eastAsia="zh-CN"/>
              </w:rPr>
              <w:t>）。试油期</w:t>
            </w:r>
            <w:r>
              <w:rPr>
                <w:rFonts w:hint="default"/>
                <w:color w:val="auto"/>
                <w:sz w:val="24"/>
                <w:highlight w:val="none"/>
              </w:rPr>
              <w:t>一般为7天，原油（采出液）按照10t/d计算，则单井采出液为70t，平均2</w:t>
            </w:r>
            <w:r>
              <w:rPr>
                <w:rFonts w:hint="eastAsia"/>
                <w:color w:val="auto"/>
                <w:sz w:val="24"/>
                <w:highlight w:val="none"/>
                <w:lang w:eastAsia="zh-CN"/>
              </w:rPr>
              <w:t>～</w:t>
            </w:r>
            <w:r>
              <w:rPr>
                <w:rFonts w:hint="default"/>
                <w:color w:val="auto"/>
                <w:sz w:val="24"/>
                <w:highlight w:val="none"/>
              </w:rPr>
              <w:t>3天采用罐车拉运一次</w:t>
            </w:r>
            <w:r>
              <w:rPr>
                <w:rFonts w:hint="eastAsia"/>
                <w:color w:val="auto"/>
                <w:sz w:val="24"/>
                <w:highlight w:val="none"/>
              </w:rPr>
              <w:t>；</w:t>
            </w:r>
            <w:r>
              <w:rPr>
                <w:rFonts w:hint="eastAsia"/>
                <w:color w:val="auto"/>
                <w:sz w:val="24"/>
                <w:lang w:eastAsia="zh-CN"/>
              </w:rPr>
              <w:t>目前巴彦勘探开发分公司部署的探井分批次建设，同批次开工建设的探井约为10口，</w:t>
            </w:r>
            <w:r>
              <w:rPr>
                <w:rFonts w:hint="default" w:ascii="Times New Roman" w:hAnsi="Times New Roman" w:eastAsia="宋体" w:cs="Times New Roman"/>
                <w:color w:val="auto"/>
                <w:kern w:val="2"/>
                <w:sz w:val="24"/>
                <w:szCs w:val="24"/>
                <w:lang w:val="en-US" w:eastAsia="zh-CN" w:bidi="ar"/>
              </w:rPr>
              <w:t>则</w:t>
            </w:r>
            <w:r>
              <w:rPr>
                <w:rFonts w:hint="eastAsia" w:cs="Times New Roman"/>
                <w:color w:val="auto"/>
                <w:kern w:val="2"/>
                <w:sz w:val="24"/>
                <w:szCs w:val="24"/>
                <w:lang w:val="en-US" w:eastAsia="zh-CN" w:bidi="ar"/>
              </w:rPr>
              <w:t>本工程</w:t>
            </w:r>
            <w:r>
              <w:rPr>
                <w:rFonts w:hint="default" w:ascii="Times New Roman" w:hAnsi="Times New Roman" w:eastAsia="宋体" w:cs="Times New Roman"/>
                <w:color w:val="auto"/>
                <w:kern w:val="2"/>
                <w:sz w:val="24"/>
                <w:szCs w:val="24"/>
                <w:lang w:val="en-US" w:eastAsia="zh-CN" w:bidi="ar"/>
              </w:rPr>
              <w:t>单次拉运的采出液量占吉兰泰联合站原油处理系统</w:t>
            </w:r>
            <w:r>
              <w:rPr>
                <w:rFonts w:hint="eastAsia" w:cs="Times New Roman"/>
                <w:color w:val="auto"/>
                <w:kern w:val="2"/>
                <w:sz w:val="24"/>
                <w:szCs w:val="24"/>
                <w:lang w:val="en-US" w:eastAsia="zh-CN" w:bidi="ar"/>
              </w:rPr>
              <w:t>日处理剩余规模</w:t>
            </w:r>
            <w:r>
              <w:rPr>
                <w:rFonts w:hint="default" w:ascii="Times New Roman" w:hAnsi="Times New Roman" w:eastAsia="宋体" w:cs="Times New Roman"/>
                <w:color w:val="auto"/>
                <w:kern w:val="2"/>
                <w:sz w:val="24"/>
                <w:szCs w:val="24"/>
                <w:lang w:val="en-US" w:eastAsia="zh-CN" w:bidi="ar"/>
              </w:rPr>
              <w:t>约</w:t>
            </w:r>
            <w:r>
              <w:rPr>
                <w:rFonts w:hint="eastAsia" w:cs="Times New Roman"/>
                <w:color w:val="auto"/>
                <w:kern w:val="2"/>
                <w:sz w:val="24"/>
                <w:szCs w:val="24"/>
                <w:highlight w:val="none"/>
                <w:lang w:val="en-US" w:eastAsia="zh-CN" w:bidi="ar"/>
              </w:rPr>
              <w:t>6.42</w:t>
            </w:r>
            <w:r>
              <w:rPr>
                <w:rFonts w:hint="default" w:ascii="Times New Roman" w:hAnsi="Times New Roman" w:eastAsia="宋体" w:cs="Times New Roman"/>
                <w:color w:val="auto"/>
                <w:kern w:val="2"/>
                <w:sz w:val="24"/>
                <w:szCs w:val="24"/>
                <w:highlight w:val="none"/>
                <w:lang w:val="en-US" w:eastAsia="zh-CN" w:bidi="ar"/>
              </w:rPr>
              <w:t>%</w:t>
            </w:r>
            <w:r>
              <w:rPr>
                <w:rFonts w:hint="default" w:ascii="Times New Roman" w:hAnsi="Times New Roman" w:eastAsia="宋体" w:cs="Times New Roman"/>
                <w:color w:val="auto"/>
                <w:kern w:val="2"/>
                <w:sz w:val="24"/>
                <w:szCs w:val="24"/>
                <w:lang w:val="en-US" w:eastAsia="zh-CN" w:bidi="ar"/>
              </w:rPr>
              <w:t>。</w:t>
            </w:r>
            <w:r>
              <w:rPr>
                <w:rFonts w:hint="eastAsia"/>
                <w:color w:val="auto"/>
                <w:sz w:val="24"/>
                <w:lang w:eastAsia="zh-CN"/>
              </w:rPr>
              <w:t>可满足本项目需求。</w:t>
            </w:r>
          </w:p>
          <w:p w14:paraId="7097013A">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此外，此次勘探井采出液成分与原油处理系统处理的采出液相似，可进入吉兰泰联合站原油处理系统处理。</w:t>
            </w:r>
          </w:p>
          <w:p w14:paraId="69065786">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olor w:val="auto"/>
                <w:sz w:val="24"/>
                <w:highlight w:val="none"/>
                <w:lang w:eastAsia="zh-CN"/>
              </w:rPr>
            </w:pPr>
            <w:r>
              <w:rPr>
                <w:rFonts w:hint="eastAsia" w:ascii="宋体" w:hAnsi="宋体" w:eastAsia="宋体" w:cs="宋体"/>
                <w:color w:val="auto"/>
                <w:sz w:val="24"/>
                <w:highlight w:val="none"/>
              </w:rPr>
              <w:t>②</w:t>
            </w:r>
            <w:r>
              <w:rPr>
                <w:rFonts w:hint="eastAsia" w:eastAsia="宋体"/>
                <w:color w:val="auto"/>
                <w:sz w:val="24"/>
                <w:highlight w:val="none"/>
                <w:lang w:eastAsia="zh-CN"/>
              </w:rPr>
              <w:t>采出水处理系统依托可行性</w:t>
            </w:r>
          </w:p>
          <w:p w14:paraId="226B5635">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highlight w:val="none"/>
                <w:lang w:eastAsia="zh-CN"/>
              </w:rPr>
            </w:pPr>
            <w:r>
              <w:rPr>
                <w:rFonts w:hint="default" w:ascii="Times New Roman" w:hAnsi="Times New Roman" w:eastAsia="宋体" w:cs="Times New Roman"/>
                <w:color w:val="auto"/>
                <w:kern w:val="2"/>
                <w:sz w:val="24"/>
                <w:szCs w:val="24"/>
                <w:lang w:val="en-US" w:eastAsia="zh-CN" w:bidi="ar"/>
              </w:rPr>
              <w:t>吉兰泰联合站采出水</w:t>
            </w:r>
            <w:r>
              <w:rPr>
                <w:rFonts w:hint="eastAsia" w:cs="Times New Roman"/>
                <w:color w:val="auto"/>
                <w:kern w:val="2"/>
                <w:sz w:val="24"/>
                <w:szCs w:val="24"/>
                <w:lang w:val="en-US" w:eastAsia="zh-CN" w:bidi="ar"/>
              </w:rPr>
              <w:t>设计</w:t>
            </w:r>
            <w:r>
              <w:rPr>
                <w:rFonts w:hint="default" w:ascii="Times New Roman" w:hAnsi="Times New Roman" w:eastAsia="宋体" w:cs="Times New Roman"/>
                <w:color w:val="auto"/>
                <w:kern w:val="2"/>
                <w:sz w:val="24"/>
                <w:szCs w:val="24"/>
                <w:lang w:val="en-US" w:eastAsia="zh-CN" w:bidi="ar"/>
              </w:rPr>
              <w:t>处理规模</w:t>
            </w:r>
            <w:r>
              <w:rPr>
                <w:rFonts w:hint="eastAsia" w:cs="Times New Roman"/>
                <w:color w:val="auto"/>
                <w:kern w:val="2"/>
                <w:sz w:val="24"/>
                <w:szCs w:val="24"/>
                <w:lang w:val="en-US" w:eastAsia="zh-CN" w:bidi="ar"/>
              </w:rPr>
              <w:t>30.24×10</w:t>
            </w:r>
            <w:r>
              <w:rPr>
                <w:rFonts w:hint="eastAsia" w:cs="Times New Roman"/>
                <w:color w:val="auto"/>
                <w:kern w:val="2"/>
                <w:sz w:val="24"/>
                <w:szCs w:val="24"/>
                <w:vertAlign w:val="superscript"/>
                <w:lang w:val="en-US" w:eastAsia="zh-CN" w:bidi="ar"/>
              </w:rPr>
              <w:t>4</w:t>
            </w:r>
            <w:r>
              <w:rPr>
                <w:rFonts w:hint="eastAsia" w:cs="Times New Roman"/>
                <w:color w:val="auto"/>
                <w:kern w:val="2"/>
                <w:sz w:val="24"/>
                <w:szCs w:val="24"/>
                <w:lang w:val="en-US" w:eastAsia="zh-CN" w:bidi="ar"/>
              </w:rPr>
              <w:t>t/a（840</w:t>
            </w:r>
            <w:r>
              <w:rPr>
                <w:rFonts w:hint="default" w:ascii="Times New Roman" w:hAnsi="Times New Roman" w:eastAsia="宋体" w:cs="Times New Roman"/>
                <w:color w:val="auto"/>
                <w:kern w:val="2"/>
                <w:sz w:val="24"/>
                <w:szCs w:val="24"/>
                <w:lang w:val="en-US" w:eastAsia="zh-CN" w:bidi="ar"/>
              </w:rPr>
              <w:t>m</w:t>
            </w:r>
            <w:r>
              <w:rPr>
                <w:rFonts w:hint="default" w:ascii="Times New Roman" w:hAnsi="Times New Roman" w:eastAsia="宋体" w:cs="Times New Roman"/>
                <w:color w:val="auto"/>
                <w:kern w:val="2"/>
                <w:sz w:val="24"/>
                <w:szCs w:val="24"/>
                <w:vertAlign w:val="superscript"/>
                <w:lang w:val="en-US" w:eastAsia="zh-CN" w:bidi="ar"/>
              </w:rPr>
              <w:t>3</w:t>
            </w:r>
            <w:r>
              <w:rPr>
                <w:rFonts w:hint="default" w:ascii="Times New Roman" w:hAnsi="Times New Roman" w:eastAsia="宋体" w:cs="Times New Roman"/>
                <w:color w:val="auto"/>
                <w:kern w:val="2"/>
                <w:sz w:val="24"/>
                <w:szCs w:val="24"/>
                <w:lang w:val="en-US" w:eastAsia="zh-CN" w:bidi="ar"/>
              </w:rPr>
              <w:t>/d</w:t>
            </w:r>
            <w:r>
              <w:rPr>
                <w:rFonts w:hint="eastAsia" w:cs="Times New Roman"/>
                <w:color w:val="auto"/>
                <w:kern w:val="2"/>
                <w:sz w:val="24"/>
                <w:szCs w:val="24"/>
                <w:lang w:val="en-US" w:eastAsia="zh-CN" w:bidi="ar"/>
              </w:rPr>
              <w:t>）</w:t>
            </w:r>
            <w:r>
              <w:rPr>
                <w:rFonts w:hint="default" w:ascii="Times New Roman" w:hAnsi="Times New Roman" w:eastAsia="宋体" w:cs="Times New Roman"/>
                <w:color w:val="auto"/>
                <w:kern w:val="2"/>
                <w:sz w:val="24"/>
                <w:szCs w:val="24"/>
                <w:lang w:val="en-US" w:eastAsia="zh-CN" w:bidi="ar"/>
              </w:rPr>
              <w:t>，目前运行规模</w:t>
            </w:r>
            <w:r>
              <w:rPr>
                <w:rFonts w:hint="eastAsia" w:cs="Times New Roman"/>
                <w:color w:val="auto"/>
                <w:kern w:val="2"/>
                <w:sz w:val="24"/>
                <w:szCs w:val="24"/>
                <w:lang w:val="en-US" w:eastAsia="zh-CN" w:bidi="ar"/>
              </w:rPr>
              <w:t>15.06</w:t>
            </w:r>
            <w:r>
              <w:rPr>
                <w:rFonts w:hint="default" w:ascii="Times New Roman" w:hAnsi="Times New Roman" w:eastAsia="宋体" w:cs="Times New Roman"/>
                <w:color w:val="auto"/>
                <w:kern w:val="2"/>
                <w:sz w:val="24"/>
                <w:szCs w:val="24"/>
                <w:lang w:val="en-US" w:eastAsia="zh-CN" w:bidi="ar"/>
              </w:rPr>
              <w:t>×10</w:t>
            </w:r>
            <w:r>
              <w:rPr>
                <w:rFonts w:hint="default" w:ascii="Times New Roman" w:hAnsi="Times New Roman" w:eastAsia="宋体" w:cs="Times New Roman"/>
                <w:color w:val="auto"/>
                <w:kern w:val="2"/>
                <w:sz w:val="24"/>
                <w:szCs w:val="24"/>
                <w:vertAlign w:val="superscript"/>
                <w:lang w:val="en-US" w:eastAsia="zh-CN" w:bidi="ar"/>
              </w:rPr>
              <w:t>4</w:t>
            </w:r>
            <w:r>
              <w:rPr>
                <w:rFonts w:hint="default" w:ascii="Times New Roman" w:hAnsi="Times New Roman" w:eastAsia="宋体" w:cs="Times New Roman"/>
                <w:color w:val="auto"/>
                <w:kern w:val="2"/>
                <w:sz w:val="24"/>
                <w:szCs w:val="24"/>
                <w:lang w:val="en-US" w:eastAsia="zh-CN" w:bidi="ar"/>
              </w:rPr>
              <w:t>t/a</w:t>
            </w:r>
            <w:r>
              <w:rPr>
                <w:rFonts w:hint="eastAsia" w:cs="Times New Roman"/>
                <w:color w:val="auto"/>
                <w:kern w:val="2"/>
                <w:sz w:val="24"/>
                <w:szCs w:val="24"/>
                <w:lang w:val="en-US" w:eastAsia="zh-CN" w:bidi="ar"/>
              </w:rPr>
              <w:t>（418</w:t>
            </w:r>
            <w:r>
              <w:rPr>
                <w:rFonts w:hint="default" w:ascii="Times New Roman" w:hAnsi="Times New Roman" w:eastAsia="宋体" w:cs="Times New Roman"/>
                <w:color w:val="auto"/>
                <w:kern w:val="2"/>
                <w:sz w:val="24"/>
                <w:szCs w:val="24"/>
                <w:lang w:val="en-US" w:eastAsia="zh-CN" w:bidi="ar"/>
              </w:rPr>
              <w:t>m</w:t>
            </w:r>
            <w:r>
              <w:rPr>
                <w:rFonts w:hint="default" w:ascii="Times New Roman" w:hAnsi="Times New Roman" w:eastAsia="宋体" w:cs="Times New Roman"/>
                <w:color w:val="auto"/>
                <w:kern w:val="2"/>
                <w:sz w:val="24"/>
                <w:szCs w:val="24"/>
                <w:vertAlign w:val="superscript"/>
                <w:lang w:val="en-US" w:eastAsia="zh-CN" w:bidi="ar"/>
              </w:rPr>
              <w:t>3</w:t>
            </w:r>
            <w:r>
              <w:rPr>
                <w:rFonts w:hint="default" w:ascii="Times New Roman" w:hAnsi="Times New Roman" w:eastAsia="宋体" w:cs="Times New Roman"/>
                <w:color w:val="auto"/>
                <w:kern w:val="2"/>
                <w:sz w:val="24"/>
                <w:szCs w:val="24"/>
                <w:lang w:val="en-US" w:eastAsia="zh-CN" w:bidi="ar"/>
              </w:rPr>
              <w:t>/d</w:t>
            </w:r>
            <w:r>
              <w:rPr>
                <w:rFonts w:hint="eastAsia" w:cs="Times New Roman"/>
                <w:color w:val="auto"/>
                <w:kern w:val="2"/>
                <w:sz w:val="24"/>
                <w:szCs w:val="24"/>
                <w:lang w:val="en-US" w:eastAsia="zh-CN" w:bidi="ar"/>
              </w:rPr>
              <w:t>），</w:t>
            </w:r>
            <w:r>
              <w:rPr>
                <w:rFonts w:hint="default" w:ascii="Times New Roman" w:hAnsi="Times New Roman" w:eastAsia="宋体" w:cs="Times New Roman"/>
                <w:color w:val="auto"/>
                <w:kern w:val="2"/>
                <w:sz w:val="24"/>
                <w:szCs w:val="24"/>
                <w:lang w:val="en-US" w:eastAsia="zh-CN" w:bidi="ar"/>
              </w:rPr>
              <w:t>目前剩余处理规模为</w:t>
            </w:r>
            <w:r>
              <w:rPr>
                <w:rFonts w:hint="eastAsia" w:cs="Times New Roman"/>
                <w:color w:val="auto"/>
                <w:kern w:val="2"/>
                <w:sz w:val="24"/>
                <w:szCs w:val="24"/>
                <w:lang w:val="en-US" w:eastAsia="zh-CN" w:bidi="ar"/>
              </w:rPr>
              <w:t>15.18</w:t>
            </w:r>
            <w:r>
              <w:rPr>
                <w:rFonts w:hint="default" w:ascii="Times New Roman" w:hAnsi="Times New Roman" w:eastAsia="宋体" w:cs="Times New Roman"/>
                <w:color w:val="auto"/>
                <w:kern w:val="2"/>
                <w:sz w:val="24"/>
                <w:szCs w:val="24"/>
                <w:lang w:val="en-US" w:eastAsia="zh-CN" w:bidi="ar"/>
              </w:rPr>
              <w:t>×10</w:t>
            </w:r>
            <w:r>
              <w:rPr>
                <w:rFonts w:hint="default" w:ascii="Times New Roman" w:hAnsi="Times New Roman" w:eastAsia="宋体" w:cs="Times New Roman"/>
                <w:color w:val="auto"/>
                <w:kern w:val="2"/>
                <w:sz w:val="24"/>
                <w:szCs w:val="24"/>
                <w:vertAlign w:val="superscript"/>
                <w:lang w:val="en-US" w:eastAsia="zh-CN" w:bidi="ar"/>
              </w:rPr>
              <w:t>4</w:t>
            </w:r>
            <w:r>
              <w:rPr>
                <w:rFonts w:hint="default" w:ascii="Times New Roman" w:hAnsi="Times New Roman" w:eastAsia="宋体" w:cs="Times New Roman"/>
                <w:color w:val="auto"/>
                <w:kern w:val="2"/>
                <w:sz w:val="24"/>
                <w:szCs w:val="24"/>
                <w:lang w:val="en-US" w:eastAsia="zh-CN" w:bidi="ar"/>
              </w:rPr>
              <w:t>t/a（</w:t>
            </w:r>
            <w:r>
              <w:rPr>
                <w:rFonts w:hint="eastAsia" w:cs="Times New Roman"/>
                <w:color w:val="auto"/>
                <w:kern w:val="2"/>
                <w:sz w:val="24"/>
                <w:szCs w:val="24"/>
                <w:lang w:val="en-US" w:eastAsia="zh-CN" w:bidi="ar"/>
              </w:rPr>
              <w:t>422</w:t>
            </w:r>
            <w:r>
              <w:rPr>
                <w:rFonts w:hint="default" w:ascii="Times New Roman" w:hAnsi="Times New Roman" w:eastAsia="宋体" w:cs="Times New Roman"/>
                <w:color w:val="auto"/>
                <w:kern w:val="2"/>
                <w:sz w:val="24"/>
                <w:szCs w:val="24"/>
                <w:lang w:val="en-US" w:eastAsia="zh-CN" w:bidi="ar"/>
              </w:rPr>
              <w:t>m</w:t>
            </w:r>
            <w:r>
              <w:rPr>
                <w:rFonts w:hint="default" w:ascii="Times New Roman" w:hAnsi="Times New Roman" w:eastAsia="宋体" w:cs="Times New Roman"/>
                <w:color w:val="auto"/>
                <w:kern w:val="2"/>
                <w:sz w:val="24"/>
                <w:szCs w:val="24"/>
                <w:vertAlign w:val="superscript"/>
                <w:lang w:val="en-US" w:eastAsia="zh-CN" w:bidi="ar"/>
              </w:rPr>
              <w:t>3</w:t>
            </w:r>
            <w:r>
              <w:rPr>
                <w:rFonts w:hint="default" w:ascii="Times New Roman" w:hAnsi="Times New Roman" w:eastAsia="宋体" w:cs="Times New Roman"/>
                <w:color w:val="auto"/>
                <w:kern w:val="2"/>
                <w:sz w:val="24"/>
                <w:szCs w:val="24"/>
                <w:lang w:val="en-US" w:eastAsia="zh-CN" w:bidi="ar"/>
              </w:rPr>
              <w:t>/d）</w:t>
            </w:r>
            <w:r>
              <w:rPr>
                <w:rFonts w:hint="eastAsia" w:cs="Times New Roman"/>
                <w:color w:val="auto"/>
                <w:kern w:val="2"/>
                <w:sz w:val="24"/>
                <w:szCs w:val="24"/>
                <w:lang w:val="en-US" w:eastAsia="zh-CN" w:bidi="ar"/>
              </w:rPr>
              <w:t>。本工程</w:t>
            </w:r>
            <w:r>
              <w:rPr>
                <w:rFonts w:hint="eastAsia" w:ascii="Times New Roman" w:hAnsi="Times New Roman" w:eastAsia="宋体" w:cs="Times New Roman"/>
                <w:color w:val="auto"/>
                <w:kern w:val="2"/>
                <w:sz w:val="24"/>
                <w:szCs w:val="24"/>
                <w:lang w:val="en-US" w:eastAsia="zh-CN" w:bidi="ar"/>
              </w:rPr>
              <w:t>废水</w:t>
            </w:r>
            <w:r>
              <w:rPr>
                <w:rFonts w:hint="default"/>
                <w:color w:val="auto"/>
                <w:sz w:val="24"/>
                <w:highlight w:val="none"/>
              </w:rPr>
              <w:t>产生量为</w:t>
            </w:r>
            <w:r>
              <w:rPr>
                <w:rFonts w:hint="eastAsia"/>
                <w:color w:val="auto"/>
                <w:sz w:val="24"/>
                <w:highlight w:val="none"/>
                <w:lang w:val="en-US" w:eastAsia="zh-CN"/>
              </w:rPr>
              <w:t>317</w:t>
            </w:r>
            <w:r>
              <w:rPr>
                <w:rFonts w:hint="default"/>
                <w:color w:val="auto"/>
                <w:sz w:val="24"/>
                <w:highlight w:val="none"/>
              </w:rPr>
              <w:t>m</w:t>
            </w:r>
            <w:r>
              <w:rPr>
                <w:rFonts w:hint="default"/>
                <w:color w:val="auto"/>
                <w:sz w:val="24"/>
                <w:highlight w:val="none"/>
                <w:vertAlign w:val="superscript"/>
              </w:rPr>
              <w:t>3</w:t>
            </w:r>
            <w:r>
              <w:rPr>
                <w:rFonts w:hint="default"/>
                <w:color w:val="auto"/>
                <w:sz w:val="24"/>
                <w:highlight w:val="none"/>
              </w:rPr>
              <w:t>/勘探期</w:t>
            </w:r>
            <w:r>
              <w:rPr>
                <w:rFonts w:hint="eastAsia"/>
                <w:color w:val="auto"/>
                <w:sz w:val="24"/>
                <w:highlight w:val="none"/>
              </w:rPr>
              <w:t>（</w:t>
            </w:r>
            <w:r>
              <w:rPr>
                <w:rFonts w:hint="eastAsia"/>
                <w:color w:val="auto"/>
                <w:sz w:val="24"/>
                <w:highlight w:val="none"/>
                <w:lang w:val="en-US" w:eastAsia="zh-CN"/>
              </w:rPr>
              <w:t>5.28</w:t>
            </w:r>
            <w:r>
              <w:rPr>
                <w:rFonts w:hint="default"/>
                <w:color w:val="auto"/>
                <w:sz w:val="24"/>
                <w:highlight w:val="none"/>
              </w:rPr>
              <w:t>m</w:t>
            </w:r>
            <w:r>
              <w:rPr>
                <w:rFonts w:hint="default"/>
                <w:color w:val="auto"/>
                <w:sz w:val="24"/>
                <w:highlight w:val="none"/>
                <w:vertAlign w:val="superscript"/>
              </w:rPr>
              <w:t>3</w:t>
            </w:r>
            <w:r>
              <w:rPr>
                <w:rFonts w:hint="default"/>
                <w:color w:val="auto"/>
                <w:sz w:val="24"/>
                <w:highlight w:val="none"/>
              </w:rPr>
              <w:t>/</w:t>
            </w:r>
            <w:r>
              <w:rPr>
                <w:rFonts w:hint="eastAsia"/>
                <w:color w:val="auto"/>
                <w:sz w:val="24"/>
                <w:highlight w:val="none"/>
              </w:rPr>
              <w:t>d）</w:t>
            </w:r>
            <w:r>
              <w:rPr>
                <w:rFonts w:hint="eastAsia"/>
                <w:color w:val="auto"/>
                <w:sz w:val="24"/>
                <w:highlight w:val="none"/>
                <w:lang w:eastAsia="zh-CN"/>
              </w:rPr>
              <w:t>，</w:t>
            </w:r>
            <w:r>
              <w:rPr>
                <w:rFonts w:hint="default" w:ascii="Times New Roman" w:hAnsi="Times New Roman" w:eastAsia="宋体" w:cs="Times New Roman"/>
                <w:color w:val="auto"/>
                <w:kern w:val="2"/>
                <w:sz w:val="24"/>
                <w:szCs w:val="24"/>
                <w:lang w:val="en-US" w:eastAsia="zh-CN" w:bidi="ar"/>
              </w:rPr>
              <w:t>分批次进入采出水处理系统处理，一般5天左右采用罐车拉运一次。目前巴彦勘探开发分公司部署的探井分批次建设，同批次开工建设的探井约为10口</w:t>
            </w:r>
            <w:r>
              <w:rPr>
                <w:rFonts w:hint="eastAsia" w:cs="Times New Roman"/>
                <w:color w:val="auto"/>
                <w:kern w:val="2"/>
                <w:sz w:val="24"/>
                <w:szCs w:val="24"/>
                <w:lang w:val="en-US" w:eastAsia="zh-CN" w:bidi="ar"/>
              </w:rPr>
              <w:t>。</w:t>
            </w:r>
            <w:r>
              <w:rPr>
                <w:rFonts w:hint="eastAsia"/>
                <w:color w:val="auto"/>
                <w:sz w:val="24"/>
                <w:highlight w:val="none"/>
                <w:lang w:eastAsia="zh-CN"/>
              </w:rPr>
              <w:t>根据各个井场钻井废水产生情况，具体调度安排废水拉运工作，确保不影响钻井现场及联合站的正常运行。联合站采出水水处理规模可满足本项目需求。</w:t>
            </w:r>
          </w:p>
          <w:p w14:paraId="232D9F0F">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rPr>
            </w:pPr>
            <w:r>
              <w:rPr>
                <w:rFonts w:hint="eastAsia"/>
                <w:color w:val="auto"/>
                <w:sz w:val="24"/>
              </w:rPr>
              <w:t>吉兰泰联合站采出水处理系统采用“缓冲罐+撬装含油污水处理装置（电催化氧化+气浮）+电磁脉冲除油装置+二级过滤”，根据《吉兰泰油田吉华2浅层区块产能建设项目竣工环境保护验收调查报告》中对采出水处理系统出水口水质检测数据，出水水质符合《碎屑岩油藏注水水质指标技术要求及分析方法》（SY/T5329-2022）标准，处理达标的水进入注水罐，通过现有回注井，回注于采油层。注水层位为地质构造封闭的采油层，回注方式采用分层注水的方式。</w:t>
            </w:r>
          </w:p>
          <w:p w14:paraId="57A56F98">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rPr>
            </w:pPr>
            <w:r>
              <w:rPr>
                <w:rFonts w:hint="eastAsia"/>
                <w:color w:val="auto"/>
                <w:sz w:val="24"/>
                <w:lang w:eastAsia="zh-CN"/>
              </w:rPr>
              <w:t>联合站采出水处理系统产生的含油污泥进入污泥回收装置，回收后的污泥进入污泥搅拌罐进行搅拌，再进入污泥处理装置加入絮凝剂，通过卧螺离心装置脱水，脱出的污水由泵提升到电磁脉冲除油装置，污泥含水率≤80%后装入编织袋内，暂存于危废间，定期拉运到有处理资质的企业进行处理。</w:t>
            </w:r>
          </w:p>
          <w:p w14:paraId="4B97552B">
            <w:pPr>
              <w:keepNext w:val="0"/>
              <w:keepLines w:val="0"/>
              <w:suppressLineNumbers w:val="0"/>
              <w:adjustRightInd w:val="0"/>
              <w:snapToGrid w:val="0"/>
              <w:spacing w:before="0" w:beforeAutospacing="0" w:after="0" w:afterAutospacing="0" w:line="360" w:lineRule="auto"/>
              <w:ind w:left="0" w:right="0"/>
              <w:jc w:val="center"/>
              <w:rPr>
                <w:rFonts w:hint="eastAsia"/>
                <w:color w:val="auto"/>
                <w:sz w:val="24"/>
              </w:rPr>
            </w:pPr>
            <w:r>
              <w:rPr>
                <w:rFonts w:hint="default"/>
                <w:color w:val="auto"/>
              </w:rPr>
              <w:drawing>
                <wp:inline distT="0" distB="0" distL="114300" distR="114300">
                  <wp:extent cx="4324350" cy="1209675"/>
                  <wp:effectExtent l="0" t="0" r="0" b="9525"/>
                  <wp:docPr id="1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
                          <pic:cNvPicPr>
                            <a:picLocks noChangeAspect="1"/>
                          </pic:cNvPicPr>
                        </pic:nvPicPr>
                        <pic:blipFill>
                          <a:blip r:embed="rId11"/>
                          <a:stretch>
                            <a:fillRect/>
                          </a:stretch>
                        </pic:blipFill>
                        <pic:spPr>
                          <a:xfrm>
                            <a:off x="0" y="0"/>
                            <a:ext cx="4324350" cy="1209675"/>
                          </a:xfrm>
                          <a:prstGeom prst="rect">
                            <a:avLst/>
                          </a:prstGeom>
                          <a:noFill/>
                          <a:ln>
                            <a:noFill/>
                          </a:ln>
                        </pic:spPr>
                      </pic:pic>
                    </a:graphicData>
                  </a:graphic>
                </wp:inline>
              </w:drawing>
            </w:r>
          </w:p>
          <w:p w14:paraId="5FBC10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b/>
                <w:color w:val="auto"/>
                <w:sz w:val="24"/>
              </w:rPr>
            </w:pPr>
            <w:r>
              <w:rPr>
                <w:rFonts w:hint="eastAsia"/>
                <w:b/>
                <w:color w:val="auto"/>
                <w:sz w:val="24"/>
              </w:rPr>
              <w:t>图2-4 联合站采出水处理系统及回注工艺流程图</w:t>
            </w:r>
          </w:p>
          <w:p w14:paraId="673A1C33">
            <w:pPr>
              <w:keepNext w:val="0"/>
              <w:keepLines w:val="0"/>
              <w:suppressLineNumbers w:val="0"/>
              <w:spacing w:before="120" w:beforeLines="50" w:beforeAutospacing="0" w:after="0" w:afterAutospacing="0" w:line="360" w:lineRule="auto"/>
              <w:ind w:left="0" w:right="0"/>
              <w:jc w:val="center"/>
              <w:rPr>
                <w:rFonts w:hint="eastAsia"/>
                <w:b/>
                <w:color w:val="auto"/>
                <w:sz w:val="24"/>
              </w:rPr>
            </w:pPr>
            <w:r>
              <w:rPr>
                <w:rFonts w:hint="eastAsia"/>
                <w:b/>
                <w:color w:val="auto"/>
                <w:sz w:val="24"/>
              </w:rPr>
              <w:drawing>
                <wp:inline distT="0" distB="0" distL="114300" distR="114300">
                  <wp:extent cx="5305425" cy="1133475"/>
                  <wp:effectExtent l="0" t="0" r="9525" b="9525"/>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12"/>
                          <a:stretch>
                            <a:fillRect/>
                          </a:stretch>
                        </pic:blipFill>
                        <pic:spPr>
                          <a:xfrm>
                            <a:off x="0" y="0"/>
                            <a:ext cx="5305425" cy="1133475"/>
                          </a:xfrm>
                          <a:prstGeom prst="rect">
                            <a:avLst/>
                          </a:prstGeom>
                          <a:noFill/>
                          <a:ln>
                            <a:noFill/>
                          </a:ln>
                        </pic:spPr>
                      </pic:pic>
                    </a:graphicData>
                  </a:graphic>
                </wp:inline>
              </w:drawing>
            </w:r>
          </w:p>
          <w:p w14:paraId="106854C4">
            <w:pPr>
              <w:keepNext w:val="0"/>
              <w:keepLines w:val="0"/>
              <w:suppressLineNumbers w:val="0"/>
              <w:spacing w:before="120" w:beforeLines="50" w:beforeAutospacing="0" w:after="0" w:afterAutospacing="0" w:line="360" w:lineRule="auto"/>
              <w:ind w:left="0" w:right="0"/>
              <w:jc w:val="center"/>
              <w:rPr>
                <w:rFonts w:hint="eastAsia"/>
                <w:b/>
                <w:color w:val="auto"/>
                <w:sz w:val="24"/>
              </w:rPr>
            </w:pPr>
            <w:r>
              <w:rPr>
                <w:rFonts w:hint="eastAsia"/>
                <w:b/>
                <w:color w:val="auto"/>
                <w:sz w:val="24"/>
              </w:rPr>
              <w:t>图2-</w:t>
            </w:r>
            <w:r>
              <w:rPr>
                <w:rFonts w:hint="eastAsia"/>
                <w:b/>
                <w:color w:val="auto"/>
                <w:sz w:val="24"/>
                <w:lang w:val="en-US" w:eastAsia="zh-CN"/>
              </w:rPr>
              <w:t>5</w:t>
            </w:r>
            <w:r>
              <w:rPr>
                <w:rFonts w:hint="eastAsia"/>
                <w:b/>
                <w:color w:val="auto"/>
                <w:sz w:val="24"/>
              </w:rPr>
              <w:t xml:space="preserve"> 联合站污泥处理系统工艺流程图</w:t>
            </w:r>
          </w:p>
          <w:p w14:paraId="4141503C">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rPr>
            </w:pPr>
            <w:r>
              <w:rPr>
                <w:rFonts w:hint="eastAsia"/>
                <w:color w:val="auto"/>
                <w:sz w:val="24"/>
              </w:rPr>
              <w:t>综上，吉兰泰联合站原油和采出水处理系统剩余处理能力以及处理工艺均满足项目要求，因此依托可行</w:t>
            </w:r>
            <w:r>
              <w:rPr>
                <w:rFonts w:hint="default"/>
                <w:color w:val="auto"/>
                <w:sz w:val="24"/>
              </w:rPr>
              <w:t>。</w:t>
            </w:r>
            <w:r>
              <w:rPr>
                <w:rFonts w:hint="eastAsia"/>
                <w:color w:val="auto"/>
                <w:sz w:val="24"/>
                <w:lang w:eastAsia="zh-CN"/>
              </w:rPr>
              <w:t>本工程</w:t>
            </w:r>
            <w:r>
              <w:rPr>
                <w:rFonts w:hint="eastAsia"/>
                <w:color w:val="auto"/>
                <w:sz w:val="24"/>
              </w:rPr>
              <w:t>采出液、钻井废水运输前应该先检查包装容器是否完整、密封，在运输过程中加强运输环保管理。</w:t>
            </w:r>
          </w:p>
          <w:p w14:paraId="3773C447">
            <w:pPr>
              <w:keepNext w:val="0"/>
              <w:keepLines w:val="0"/>
              <w:suppressLineNumbers w:val="0"/>
              <w:adjustRightInd w:val="0"/>
              <w:snapToGrid w:val="0"/>
              <w:spacing w:before="0" w:beforeLines="0" w:beforeAutospacing="0" w:after="0" w:afterLines="0" w:afterAutospacing="0" w:line="360" w:lineRule="auto"/>
              <w:ind w:left="0" w:right="0" w:firstLine="482" w:firstLineChars="200"/>
              <w:rPr>
                <w:rFonts w:hint="eastAsia" w:ascii="Times New Roman" w:hAnsi="Times New Roman" w:eastAsia="宋体" w:cs="Times New Roman"/>
                <w:b/>
                <w:color w:val="auto"/>
                <w:sz w:val="24"/>
                <w:szCs w:val="24"/>
                <w:highlight w:val="none"/>
                <w:lang w:eastAsia="zh-CN"/>
              </w:rPr>
            </w:pPr>
            <w:r>
              <w:rPr>
                <w:rFonts w:hint="default" w:ascii="Times New Roman" w:hAnsi="Times New Roman" w:eastAsia="宋体" w:cs="Times New Roman"/>
                <w:b/>
                <w:color w:val="auto"/>
                <w:sz w:val="24"/>
                <w:szCs w:val="24"/>
                <w:highlight w:val="none"/>
              </w:rPr>
              <w:t>2</w:t>
            </w:r>
            <w:r>
              <w:rPr>
                <w:rFonts w:hint="eastAsia" w:ascii="宋体" w:hAnsi="宋体" w:eastAsia="宋体"/>
                <w:color w:val="auto"/>
                <w:sz w:val="24"/>
                <w:szCs w:val="24"/>
                <w:highlight w:val="none"/>
              </w:rPr>
              <w:t>、</w:t>
            </w:r>
            <w:r>
              <w:rPr>
                <w:rFonts w:hint="eastAsia" w:cs="Times New Roman"/>
                <w:b/>
                <w:color w:val="auto"/>
                <w:sz w:val="24"/>
                <w:szCs w:val="24"/>
                <w:highlight w:val="none"/>
                <w:lang w:eastAsia="zh-CN"/>
              </w:rPr>
              <w:t>内蒙古联源热电有限公司固废处置场</w:t>
            </w:r>
          </w:p>
          <w:p w14:paraId="34B12A7D">
            <w:pPr>
              <w:keepNext w:val="0"/>
              <w:keepLines w:val="0"/>
              <w:suppressLineNumbers w:val="0"/>
              <w:adjustRightInd w:val="0"/>
              <w:snapToGrid w:val="0"/>
              <w:spacing w:before="0" w:beforeLines="0" w:beforeAutospacing="0" w:after="0" w:afterLines="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本项目水基废弃泥浆、岩屑经</w:t>
            </w:r>
            <w:r>
              <w:rPr>
                <w:rFonts w:hint="eastAsia" w:cs="Times New Roman"/>
                <w:color w:val="auto"/>
                <w:sz w:val="24"/>
                <w:szCs w:val="24"/>
                <w:highlight w:val="none"/>
                <w:lang w:eastAsia="zh-CN"/>
              </w:rPr>
              <w:t>“泥浆不落地系统”</w:t>
            </w:r>
            <w:r>
              <w:rPr>
                <w:rFonts w:hint="default" w:ascii="Times New Roman" w:hAnsi="Times New Roman" w:eastAsia="宋体" w:cs="Times New Roman"/>
                <w:color w:val="auto"/>
                <w:sz w:val="24"/>
                <w:szCs w:val="24"/>
                <w:highlight w:val="none"/>
              </w:rPr>
              <w:t>固液分离处理后，产生的固相废弃泥浆、岩屑（泥饼）属于Ⅱ类一般工业固体废物，根据相关合同、协议及实际施工进度等，拉运至</w:t>
            </w:r>
            <w:r>
              <w:rPr>
                <w:rFonts w:hint="eastAsia" w:cs="Times New Roman"/>
                <w:color w:val="auto"/>
                <w:sz w:val="24"/>
                <w:szCs w:val="24"/>
                <w:highlight w:val="none"/>
                <w:lang w:eastAsia="zh-CN"/>
              </w:rPr>
              <w:t>内蒙古联源热电有限公司固废处置场</w:t>
            </w:r>
            <w:r>
              <w:rPr>
                <w:rFonts w:hint="default" w:ascii="Times New Roman" w:hAnsi="Times New Roman" w:eastAsia="宋体" w:cs="Times New Roman"/>
                <w:color w:val="auto"/>
                <w:sz w:val="24"/>
                <w:szCs w:val="24"/>
                <w:highlight w:val="none"/>
              </w:rPr>
              <w:t>填埋。</w:t>
            </w:r>
          </w:p>
          <w:p w14:paraId="745402D6">
            <w:pPr>
              <w:keepNext w:val="0"/>
              <w:keepLines w:val="0"/>
              <w:suppressLineNumbers w:val="0"/>
              <w:adjustRightInd w:val="0"/>
              <w:snapToGrid w:val="0"/>
              <w:spacing w:before="0" w:beforeLines="0" w:beforeAutospacing="0" w:after="0" w:afterLines="0" w:afterAutospacing="0" w:line="360" w:lineRule="auto"/>
              <w:ind w:left="0" w:right="0" w:firstLine="480" w:firstLineChars="200"/>
              <w:rPr>
                <w:rFonts w:hint="default"/>
                <w:color w:val="auto"/>
                <w:sz w:val="24"/>
                <w:szCs w:val="24"/>
                <w:highlight w:val="none"/>
              </w:rPr>
            </w:pPr>
            <w:r>
              <w:rPr>
                <w:rFonts w:hint="eastAsia" w:eastAsia="宋体"/>
                <w:color w:val="auto"/>
                <w:sz w:val="24"/>
                <w:szCs w:val="24"/>
                <w:highlight w:val="none"/>
              </w:rPr>
              <w:t>（1）基本情况</w:t>
            </w:r>
          </w:p>
          <w:p w14:paraId="29438813">
            <w:pPr>
              <w:keepNext w:val="0"/>
              <w:keepLines w:val="0"/>
              <w:suppressLineNumbers w:val="0"/>
              <w:spacing w:before="0" w:beforeLines="0" w:beforeAutospacing="0" w:after="0" w:afterLines="0" w:afterAutospacing="0" w:line="360" w:lineRule="auto"/>
              <w:ind w:left="0" w:right="0" w:firstLine="480" w:firstLineChars="200"/>
              <w:rPr>
                <w:rFonts w:hint="default"/>
                <w:color w:val="auto"/>
                <w:sz w:val="24"/>
                <w:szCs w:val="24"/>
                <w:highlight w:val="none"/>
              </w:rPr>
            </w:pPr>
            <w:r>
              <w:rPr>
                <w:rFonts w:hint="default"/>
                <w:color w:val="auto"/>
                <w:sz w:val="24"/>
                <w:szCs w:val="24"/>
                <w:highlight w:val="none"/>
              </w:rPr>
              <w:t>2020年7月14日巴彦淖尔市生态环境局对内蒙古联源热电有限公司固废处置场项目批复，批复文号：巴环审</w:t>
            </w:r>
            <w:r>
              <w:rPr>
                <w:rFonts w:hint="eastAsia"/>
                <w:color w:val="auto"/>
                <w:sz w:val="24"/>
                <w:szCs w:val="24"/>
                <w:highlight w:val="none"/>
                <w:lang w:eastAsia="zh-CN"/>
              </w:rPr>
              <w:t>〔2020〕33号</w:t>
            </w:r>
            <w:r>
              <w:rPr>
                <w:rFonts w:hint="default"/>
                <w:color w:val="auto"/>
                <w:sz w:val="24"/>
                <w:szCs w:val="24"/>
                <w:highlight w:val="none"/>
              </w:rPr>
              <w:t>，2020年11月14日内蒙古联源热电有限公司固废处置场项目一期工程通过了竣工环境保护自主验收，项目批复及验收意见见附件。</w:t>
            </w:r>
          </w:p>
          <w:p w14:paraId="38427C17">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地理位置：内蒙古自治区巴彦淖尔市临河区乌兰图克镇团结村，距离本项目约</w:t>
            </w:r>
            <w:r>
              <w:rPr>
                <w:rFonts w:hint="eastAsia" w:cs="Times New Roman"/>
                <w:bCs/>
                <w:color w:val="auto"/>
                <w:kern w:val="2"/>
                <w:sz w:val="24"/>
                <w:szCs w:val="24"/>
                <w:highlight w:val="none"/>
                <w:lang w:val="en-US" w:eastAsia="zh-CN" w:bidi="ar"/>
              </w:rPr>
              <w:t>70</w:t>
            </w:r>
            <w:r>
              <w:rPr>
                <w:rFonts w:hint="default" w:ascii="Times New Roman" w:hAnsi="Times New Roman" w:eastAsia="宋体" w:cs="Times New Roman"/>
                <w:bCs/>
                <w:color w:val="auto"/>
                <w:kern w:val="2"/>
                <w:sz w:val="24"/>
                <w:szCs w:val="24"/>
                <w:highlight w:val="none"/>
                <w:lang w:val="en-US" w:eastAsia="zh-CN" w:bidi="ar"/>
              </w:rPr>
              <w:t>km</w:t>
            </w:r>
            <w:r>
              <w:rPr>
                <w:rFonts w:hint="eastAsia" w:ascii="宋体" w:hAnsi="宋体" w:eastAsia="宋体" w:cs="宋体"/>
                <w:bCs/>
                <w:color w:val="auto"/>
                <w:kern w:val="2"/>
                <w:sz w:val="24"/>
                <w:szCs w:val="24"/>
                <w:highlight w:val="none"/>
                <w:lang w:val="en-US" w:eastAsia="zh-CN" w:bidi="ar"/>
              </w:rPr>
              <w:t>。</w:t>
            </w:r>
          </w:p>
          <w:p w14:paraId="02A2F7B2">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处置能力：内蒙古联源热电有限公司固废处置场为一般工业</w:t>
            </w:r>
            <w:r>
              <w:rPr>
                <w:rFonts w:hint="default" w:ascii="Times New Roman" w:hAnsi="Times New Roman" w:eastAsia="宋体" w:cs="Times New Roman"/>
                <w:bCs/>
                <w:color w:val="auto"/>
                <w:kern w:val="2"/>
                <w:sz w:val="24"/>
                <w:szCs w:val="24"/>
                <w:highlight w:val="none"/>
                <w:lang w:val="en-US" w:eastAsia="zh-CN" w:bidi="ar"/>
              </w:rPr>
              <w:t>Ⅱ</w:t>
            </w:r>
            <w:r>
              <w:rPr>
                <w:rFonts w:hint="eastAsia" w:ascii="宋体" w:hAnsi="宋体" w:eastAsia="宋体" w:cs="宋体"/>
                <w:bCs/>
                <w:color w:val="auto"/>
                <w:kern w:val="2"/>
                <w:sz w:val="24"/>
                <w:szCs w:val="24"/>
                <w:highlight w:val="none"/>
                <w:lang w:val="en-US" w:eastAsia="zh-CN" w:bidi="ar"/>
              </w:rPr>
              <w:t>类固体废物填埋场，由南至北依次为一区、二区、三区，区与区之间是固废碾压成的临时坝。现在正在运行一区处置场，占地面积</w:t>
            </w:r>
            <w:r>
              <w:rPr>
                <w:rFonts w:hint="default" w:ascii="Times New Roman" w:hAnsi="Times New Roman" w:eastAsia="宋体" w:cs="Times New Roman"/>
                <w:bCs/>
                <w:color w:val="auto"/>
                <w:kern w:val="2"/>
                <w:sz w:val="24"/>
                <w:szCs w:val="24"/>
                <w:highlight w:val="none"/>
                <w:lang w:val="en-US" w:eastAsia="zh-CN" w:bidi="ar"/>
              </w:rPr>
              <w:t>11.57hm</w:t>
            </w:r>
            <w:r>
              <w:rPr>
                <w:rFonts w:hint="default" w:ascii="Times New Roman" w:hAnsi="Times New Roman" w:eastAsia="宋体" w:cs="Times New Roman"/>
                <w:bCs/>
                <w:color w:val="auto"/>
                <w:kern w:val="2"/>
                <w:sz w:val="24"/>
                <w:szCs w:val="24"/>
                <w:highlight w:val="none"/>
                <w:vertAlign w:val="superscript"/>
                <w:lang w:val="en-US" w:eastAsia="zh-CN" w:bidi="ar"/>
              </w:rPr>
              <w:t>2</w:t>
            </w:r>
            <w:r>
              <w:rPr>
                <w:rFonts w:hint="eastAsia" w:ascii="宋体" w:hAnsi="宋体" w:eastAsia="宋体" w:cs="宋体"/>
                <w:bCs/>
                <w:color w:val="auto"/>
                <w:kern w:val="2"/>
                <w:sz w:val="24"/>
                <w:szCs w:val="24"/>
                <w:highlight w:val="none"/>
                <w:lang w:val="en-US" w:eastAsia="zh-CN" w:bidi="ar"/>
              </w:rPr>
              <w:t>，库容</w:t>
            </w:r>
            <w:r>
              <w:rPr>
                <w:rFonts w:hint="default" w:ascii="Times New Roman" w:hAnsi="Times New Roman" w:eastAsia="宋体" w:cs="Times New Roman"/>
                <w:bCs/>
                <w:color w:val="auto"/>
                <w:kern w:val="2"/>
                <w:sz w:val="24"/>
                <w:szCs w:val="24"/>
                <w:highlight w:val="none"/>
                <w:lang w:val="en-US" w:eastAsia="zh-CN" w:bidi="ar"/>
              </w:rPr>
              <w:t>176</w:t>
            </w:r>
            <w:r>
              <w:rPr>
                <w:rFonts w:hint="eastAsia" w:ascii="宋体" w:hAnsi="宋体" w:eastAsia="宋体" w:cs="宋体"/>
                <w:bCs/>
                <w:color w:val="auto"/>
                <w:kern w:val="2"/>
                <w:sz w:val="24"/>
                <w:szCs w:val="24"/>
                <w:highlight w:val="none"/>
                <w:lang w:val="en-US" w:eastAsia="zh-CN" w:bidi="ar"/>
              </w:rPr>
              <w:t>万</w:t>
            </w:r>
            <w:r>
              <w:rPr>
                <w:rFonts w:hint="default" w:ascii="Times New Roman" w:hAnsi="Times New Roman" w:eastAsia="宋体" w:cs="Times New Roman"/>
                <w:bCs/>
                <w:color w:val="auto"/>
                <w:kern w:val="2"/>
                <w:sz w:val="24"/>
                <w:szCs w:val="24"/>
                <w:highlight w:val="none"/>
                <w:lang w:val="en-US" w:eastAsia="zh-CN" w:bidi="ar"/>
              </w:rPr>
              <w:t>m</w:t>
            </w:r>
            <w:r>
              <w:rPr>
                <w:rFonts w:hint="default" w:ascii="Times New Roman" w:hAnsi="Times New Roman" w:eastAsia="宋体" w:cs="Times New Roman"/>
                <w:bCs/>
                <w:color w:val="auto"/>
                <w:kern w:val="2"/>
                <w:sz w:val="24"/>
                <w:szCs w:val="24"/>
                <w:highlight w:val="none"/>
                <w:vertAlign w:val="superscript"/>
                <w:lang w:val="en-US" w:eastAsia="zh-CN" w:bidi="ar"/>
              </w:rPr>
              <w:t>3</w:t>
            </w:r>
            <w:r>
              <w:rPr>
                <w:rFonts w:hint="eastAsia" w:ascii="宋体" w:hAnsi="宋体" w:eastAsia="宋体" w:cs="宋体"/>
                <w:bCs/>
                <w:color w:val="auto"/>
                <w:kern w:val="2"/>
                <w:sz w:val="24"/>
                <w:szCs w:val="24"/>
                <w:highlight w:val="none"/>
                <w:lang w:val="en-US" w:eastAsia="zh-CN" w:bidi="ar"/>
              </w:rPr>
              <w:t>。目前一区处置场总库容约</w:t>
            </w:r>
            <w:r>
              <w:rPr>
                <w:rFonts w:hint="default" w:ascii="Times New Roman" w:hAnsi="Times New Roman" w:eastAsia="宋体" w:cs="Times New Roman"/>
                <w:bCs/>
                <w:color w:val="auto"/>
                <w:kern w:val="2"/>
                <w:sz w:val="24"/>
                <w:szCs w:val="24"/>
                <w:highlight w:val="none"/>
                <w:lang w:val="en-US" w:eastAsia="zh-CN" w:bidi="ar"/>
              </w:rPr>
              <w:t>176</w:t>
            </w:r>
            <w:r>
              <w:rPr>
                <w:rFonts w:hint="eastAsia" w:ascii="宋体" w:hAnsi="宋体" w:eastAsia="宋体" w:cs="宋体"/>
                <w:bCs/>
                <w:color w:val="auto"/>
                <w:kern w:val="2"/>
                <w:sz w:val="24"/>
                <w:szCs w:val="24"/>
                <w:highlight w:val="none"/>
                <w:lang w:val="en-US" w:eastAsia="zh-CN" w:bidi="ar"/>
              </w:rPr>
              <w:t>万</w:t>
            </w:r>
            <w:r>
              <w:rPr>
                <w:rFonts w:hint="default" w:ascii="Times New Roman" w:hAnsi="Times New Roman" w:eastAsia="宋体" w:cs="Times New Roman"/>
                <w:bCs/>
                <w:color w:val="auto"/>
                <w:kern w:val="2"/>
                <w:sz w:val="24"/>
                <w:szCs w:val="24"/>
                <w:highlight w:val="none"/>
                <w:lang w:val="en-US" w:eastAsia="zh-CN" w:bidi="ar"/>
              </w:rPr>
              <w:t>m</w:t>
            </w:r>
            <w:r>
              <w:rPr>
                <w:rFonts w:hint="default" w:ascii="Times New Roman" w:hAnsi="Times New Roman" w:eastAsia="宋体" w:cs="Times New Roman"/>
                <w:bCs/>
                <w:color w:val="auto"/>
                <w:kern w:val="2"/>
                <w:sz w:val="24"/>
                <w:szCs w:val="24"/>
                <w:highlight w:val="none"/>
                <w:vertAlign w:val="superscript"/>
                <w:lang w:val="en-US" w:eastAsia="zh-CN" w:bidi="ar"/>
              </w:rPr>
              <w:t>3</w:t>
            </w:r>
            <w:r>
              <w:rPr>
                <w:rFonts w:hint="eastAsia" w:ascii="宋体" w:hAnsi="宋体" w:eastAsia="宋体" w:cs="宋体"/>
                <w:bCs/>
                <w:color w:val="auto"/>
                <w:kern w:val="2"/>
                <w:sz w:val="24"/>
                <w:szCs w:val="24"/>
                <w:highlight w:val="none"/>
                <w:lang w:val="en-US" w:eastAsia="zh-CN" w:bidi="ar"/>
              </w:rPr>
              <w:t>，剩余库容约</w:t>
            </w:r>
            <w:r>
              <w:rPr>
                <w:rFonts w:hint="eastAsia" w:cs="Times New Roman"/>
                <w:bCs/>
                <w:color w:val="auto"/>
                <w:kern w:val="2"/>
                <w:sz w:val="24"/>
                <w:szCs w:val="24"/>
                <w:highlight w:val="none"/>
                <w:lang w:val="en-US" w:eastAsia="zh-CN" w:bidi="ar"/>
              </w:rPr>
              <w:t>50</w:t>
            </w:r>
            <w:r>
              <w:rPr>
                <w:rFonts w:hint="eastAsia" w:ascii="宋体" w:hAnsi="宋体" w:eastAsia="宋体" w:cs="宋体"/>
                <w:bCs/>
                <w:color w:val="auto"/>
                <w:kern w:val="2"/>
                <w:sz w:val="24"/>
                <w:szCs w:val="24"/>
                <w:highlight w:val="none"/>
                <w:lang w:val="en-US" w:eastAsia="zh-CN" w:bidi="ar"/>
              </w:rPr>
              <w:t>万</w:t>
            </w:r>
            <w:r>
              <w:rPr>
                <w:rFonts w:hint="default" w:ascii="Times New Roman" w:hAnsi="Times New Roman" w:eastAsia="宋体" w:cs="Times New Roman"/>
                <w:bCs/>
                <w:color w:val="auto"/>
                <w:kern w:val="2"/>
                <w:sz w:val="24"/>
                <w:szCs w:val="24"/>
                <w:highlight w:val="none"/>
                <w:lang w:val="en-US" w:eastAsia="zh-CN" w:bidi="ar"/>
              </w:rPr>
              <w:t>m</w:t>
            </w:r>
            <w:r>
              <w:rPr>
                <w:rFonts w:hint="default" w:ascii="Times New Roman" w:hAnsi="Times New Roman" w:eastAsia="宋体" w:cs="Times New Roman"/>
                <w:bCs/>
                <w:color w:val="auto"/>
                <w:kern w:val="2"/>
                <w:sz w:val="24"/>
                <w:szCs w:val="24"/>
                <w:highlight w:val="none"/>
                <w:vertAlign w:val="superscript"/>
                <w:lang w:val="en-US" w:eastAsia="zh-CN" w:bidi="ar"/>
              </w:rPr>
              <w:t>3</w:t>
            </w:r>
            <w:r>
              <w:rPr>
                <w:rFonts w:hint="eastAsia" w:ascii="宋体" w:hAnsi="宋体" w:eastAsia="宋体" w:cs="宋体"/>
                <w:bCs/>
                <w:color w:val="auto"/>
                <w:kern w:val="2"/>
                <w:sz w:val="24"/>
                <w:szCs w:val="24"/>
                <w:highlight w:val="none"/>
                <w:lang w:val="en-US" w:eastAsia="zh-CN" w:bidi="ar"/>
              </w:rPr>
              <w:t>。</w:t>
            </w:r>
          </w:p>
          <w:p w14:paraId="66AFACB1">
            <w:pPr>
              <w:keepNext w:val="0"/>
              <w:keepLines w:val="0"/>
              <w:suppressLineNumbers w:val="0"/>
              <w:spacing w:before="0" w:beforeLines="0" w:beforeAutospacing="0" w:after="0" w:afterLines="0" w:afterAutospacing="0" w:line="360" w:lineRule="auto"/>
              <w:ind w:left="199" w:leftChars="95" w:right="0" w:firstLine="240" w:firstLineChars="100"/>
              <w:rPr>
                <w:rFonts w:hint="default"/>
                <w:color w:val="auto"/>
                <w:sz w:val="24"/>
                <w:szCs w:val="24"/>
                <w:highlight w:val="none"/>
              </w:rPr>
            </w:pPr>
            <w:r>
              <w:rPr>
                <w:rFonts w:hint="eastAsia" w:eastAsia="宋体"/>
                <w:color w:val="auto"/>
                <w:sz w:val="24"/>
                <w:szCs w:val="24"/>
                <w:highlight w:val="none"/>
              </w:rPr>
              <w:t>（</w:t>
            </w:r>
            <w:r>
              <w:rPr>
                <w:rFonts w:hint="default"/>
                <w:color w:val="auto"/>
                <w:sz w:val="24"/>
                <w:szCs w:val="24"/>
                <w:highlight w:val="none"/>
              </w:rPr>
              <w:t>2</w:t>
            </w:r>
            <w:r>
              <w:rPr>
                <w:rFonts w:hint="eastAsia" w:eastAsia="宋体"/>
                <w:color w:val="auto"/>
                <w:sz w:val="24"/>
                <w:szCs w:val="24"/>
                <w:highlight w:val="none"/>
              </w:rPr>
              <w:t>）接纳可行性</w:t>
            </w:r>
          </w:p>
          <w:p w14:paraId="7C52BD7D">
            <w:pPr>
              <w:keepNext w:val="0"/>
              <w:keepLines w:val="0"/>
              <w:suppressLineNumbers w:val="0"/>
              <w:spacing w:before="0" w:beforeLines="0" w:beforeAutospacing="0" w:after="0" w:afterLines="0" w:afterAutospacing="0" w:line="360" w:lineRule="auto"/>
              <w:ind w:left="0" w:right="0" w:firstLine="480" w:firstLineChars="200"/>
              <w:rPr>
                <w:rFonts w:hint="default"/>
                <w:color w:val="auto"/>
                <w:sz w:val="24"/>
                <w:szCs w:val="24"/>
                <w:highlight w:val="none"/>
              </w:rPr>
            </w:pPr>
            <w:r>
              <w:rPr>
                <w:rFonts w:hint="eastAsia" w:eastAsia="宋体"/>
                <w:color w:val="auto"/>
                <w:sz w:val="24"/>
                <w:szCs w:val="24"/>
                <w:highlight w:val="none"/>
              </w:rPr>
              <w:t>本项目废弃泥浆、岩屑产生量</w:t>
            </w:r>
            <w:r>
              <w:rPr>
                <w:rFonts w:hint="eastAsia"/>
                <w:color w:val="auto"/>
                <w:sz w:val="24"/>
                <w:szCs w:val="24"/>
                <w:highlight w:val="none"/>
                <w:lang w:val="en-US" w:eastAsia="zh-CN"/>
              </w:rPr>
              <w:t>702.12</w:t>
            </w:r>
            <w:r>
              <w:rPr>
                <w:rFonts w:hint="eastAsia" w:eastAsia="宋体"/>
                <w:color w:val="auto"/>
                <w:sz w:val="24"/>
                <w:szCs w:val="24"/>
                <w:highlight w:val="none"/>
              </w:rPr>
              <w:t>m</w:t>
            </w:r>
            <w:r>
              <w:rPr>
                <w:rFonts w:hint="default"/>
                <w:color w:val="auto"/>
                <w:sz w:val="24"/>
                <w:szCs w:val="24"/>
                <w:highlight w:val="none"/>
                <w:vertAlign w:val="superscript"/>
              </w:rPr>
              <w:t>3</w:t>
            </w:r>
            <w:r>
              <w:rPr>
                <w:rFonts w:hint="default"/>
                <w:color w:val="auto"/>
                <w:sz w:val="24"/>
                <w:szCs w:val="24"/>
                <w:highlight w:val="none"/>
              </w:rPr>
              <w:t>/</w:t>
            </w:r>
            <w:r>
              <w:rPr>
                <w:rFonts w:hint="eastAsia" w:eastAsia="宋体"/>
                <w:color w:val="auto"/>
                <w:sz w:val="24"/>
                <w:szCs w:val="24"/>
                <w:highlight w:val="none"/>
              </w:rPr>
              <w:t>勘探期，目前巴彦勘探开发分公司部署的探井分批次建设，同批次开工建设的探井约10口，根据建设单位台账统计，同批次探井废弃泥浆、岩屑累计产生量约</w:t>
            </w:r>
            <w:r>
              <w:rPr>
                <w:rFonts w:hint="default"/>
                <w:color w:val="auto"/>
                <w:sz w:val="24"/>
                <w:szCs w:val="24"/>
                <w:highlight w:val="none"/>
              </w:rPr>
              <w:t>8506m</w:t>
            </w:r>
            <w:r>
              <w:rPr>
                <w:rFonts w:hint="default"/>
                <w:color w:val="auto"/>
                <w:sz w:val="24"/>
                <w:szCs w:val="24"/>
                <w:highlight w:val="none"/>
                <w:vertAlign w:val="superscript"/>
              </w:rPr>
              <w:t>3</w:t>
            </w:r>
            <w:r>
              <w:rPr>
                <w:rFonts w:hint="eastAsia" w:eastAsia="宋体"/>
                <w:color w:val="auto"/>
                <w:sz w:val="24"/>
                <w:szCs w:val="24"/>
                <w:highlight w:val="none"/>
              </w:rPr>
              <w:t>左右，填埋场剩余库容均能满足需求。</w:t>
            </w:r>
            <w:r>
              <w:rPr>
                <w:rFonts w:hint="eastAsia"/>
                <w:color w:val="auto"/>
                <w:sz w:val="24"/>
                <w:szCs w:val="24"/>
                <w:highlight w:val="none"/>
                <w:lang w:eastAsia="zh-CN"/>
              </w:rPr>
              <w:t>内蒙古联源热电有限公司固废处置场</w:t>
            </w:r>
            <w:r>
              <w:rPr>
                <w:rFonts w:hint="eastAsia" w:eastAsia="宋体"/>
                <w:color w:val="auto"/>
                <w:sz w:val="24"/>
                <w:szCs w:val="24"/>
                <w:highlight w:val="none"/>
              </w:rPr>
              <w:t>已取得环评批复，并完成环保竣工验收，同时建设单位已与填埋场签订协议，可以接纳本项目产生的固相废弃泥浆、岩屑（泥饼）。</w:t>
            </w:r>
          </w:p>
          <w:p w14:paraId="3FA3AD66">
            <w:pPr>
              <w:pStyle w:val="231"/>
              <w:keepNext w:val="0"/>
              <w:keepLines w:val="0"/>
              <w:suppressLineNumbers w:val="0"/>
              <w:spacing w:before="0" w:beforeLines="0" w:beforeAutospacing="0" w:after="0" w:afterLines="0" w:afterAutospacing="0" w:line="360" w:lineRule="auto"/>
              <w:ind w:left="0" w:right="0" w:firstLine="480" w:firstLineChars="200"/>
              <w:rPr>
                <w:rFonts w:hint="default" w:ascii="Times New Roman" w:hAnsi="Times New Roman" w:cs="Times New Roman"/>
                <w:b/>
                <w:color w:val="auto"/>
                <w:sz w:val="24"/>
                <w:szCs w:val="24"/>
              </w:rPr>
            </w:pPr>
            <w:r>
              <w:rPr>
                <w:rFonts w:hint="default" w:ascii="Times New Roman" w:hAnsi="Times New Roman" w:cs="Times New Roman"/>
                <w:color w:val="auto"/>
                <w:sz w:val="24"/>
                <w:szCs w:val="24"/>
              </w:rPr>
              <w:t>3</w:t>
            </w:r>
            <w:r>
              <w:rPr>
                <w:rFonts w:hint="eastAsia" w:ascii="Times New Roman" w:hAnsi="Times New Roman" w:cs="Times New Roman"/>
                <w:color w:val="auto"/>
                <w:sz w:val="24"/>
                <w:szCs w:val="24"/>
              </w:rPr>
              <w:t>、运输管理要求</w:t>
            </w:r>
          </w:p>
          <w:p w14:paraId="1F17BC1A">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eastAsia="宋体"/>
                <w:color w:val="auto"/>
                <w:sz w:val="24"/>
                <w:szCs w:val="24"/>
              </w:rPr>
              <w:t>本项目废弃泥浆、岩屑产生量</w:t>
            </w:r>
            <w:r>
              <w:rPr>
                <w:rFonts w:hint="eastAsia"/>
                <w:color w:val="auto"/>
                <w:sz w:val="24"/>
                <w:szCs w:val="24"/>
                <w:lang w:val="en-US" w:eastAsia="zh-CN"/>
              </w:rPr>
              <w:t>702.12</w:t>
            </w:r>
            <w:r>
              <w:rPr>
                <w:rFonts w:hint="eastAsia" w:eastAsia="宋体"/>
                <w:color w:val="auto"/>
                <w:sz w:val="24"/>
                <w:szCs w:val="24"/>
              </w:rPr>
              <w:t>m</w:t>
            </w:r>
            <w:r>
              <w:rPr>
                <w:rFonts w:hint="default"/>
                <w:color w:val="auto"/>
                <w:sz w:val="24"/>
                <w:szCs w:val="24"/>
                <w:vertAlign w:val="superscript"/>
              </w:rPr>
              <w:t>3</w:t>
            </w:r>
            <w:r>
              <w:rPr>
                <w:rFonts w:hint="default"/>
                <w:color w:val="auto"/>
                <w:sz w:val="24"/>
                <w:szCs w:val="24"/>
              </w:rPr>
              <w:t>/</w:t>
            </w:r>
            <w:r>
              <w:rPr>
                <w:rFonts w:hint="eastAsia" w:eastAsia="宋体"/>
                <w:color w:val="auto"/>
                <w:sz w:val="24"/>
                <w:szCs w:val="24"/>
              </w:rPr>
              <w:t>勘探期，在无特殊情况下，每日应安排专业车辆拉运，确保可以不在现场暂存。建设单位应建立固体废物管理台账，在运输过程中严格执行三联单制度；业主单位在做好各项防范措施和应急措施的同时，可邀请进、出辖区的相关环保部门加强对转运车辆的监督和指导，使意外事故危害降到最小。运输路线应选择避开环境敏感区，运输过程中应当严格根据已经选定的路线进行转运，不得擅自更改运输路线。对运输参与人员进行环境保护教育培训，提升应对泄漏等风险事故的应对能力。制作运输路线需要穿越的各个行政区域相应的环境保护等主管部门的通讯录，提升应急反应能力，将可能造成的环境影响降到最低。</w:t>
            </w:r>
          </w:p>
        </w:tc>
      </w:tr>
      <w:tr w14:paraId="2F11B9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457" w:type="dxa"/>
            <w:noWrap w:val="0"/>
            <w:vAlign w:val="center"/>
          </w:tcPr>
          <w:p w14:paraId="7B855B67">
            <w:pPr>
              <w:keepNext w:val="0"/>
              <w:keepLines w:val="0"/>
              <w:suppressLineNumbers w:val="0"/>
              <w:adjustRightInd w:val="0"/>
              <w:snapToGrid w:val="0"/>
              <w:spacing w:before="0" w:beforeAutospacing="0" w:after="0" w:afterAutospacing="0"/>
              <w:ind w:left="0" w:right="0"/>
              <w:jc w:val="center"/>
              <w:rPr>
                <w:rFonts w:hint="default"/>
                <w:b/>
                <w:color w:val="auto"/>
                <w:kern w:val="0"/>
                <w:sz w:val="24"/>
              </w:rPr>
            </w:pPr>
            <w:r>
              <w:rPr>
                <w:rFonts w:hint="default"/>
                <w:b/>
                <w:color w:val="auto"/>
                <w:kern w:val="0"/>
                <w:sz w:val="24"/>
              </w:rPr>
              <w:t>总平面及现场布置</w:t>
            </w:r>
          </w:p>
        </w:tc>
        <w:tc>
          <w:tcPr>
            <w:tcW w:w="8437" w:type="dxa"/>
            <w:noWrap w:val="0"/>
            <w:vAlign w:val="center"/>
          </w:tcPr>
          <w:p w14:paraId="72D6EA24">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rPr>
            </w:pPr>
            <w:r>
              <w:rPr>
                <w:rFonts w:hint="eastAsia"/>
                <w:color w:val="auto"/>
                <w:sz w:val="24"/>
                <w:lang w:eastAsia="zh-CN"/>
              </w:rPr>
              <w:t>本工程</w:t>
            </w:r>
            <w:r>
              <w:rPr>
                <w:rFonts w:hint="default"/>
                <w:color w:val="auto"/>
                <w:sz w:val="24"/>
              </w:rPr>
              <w:t>分钻井期和试油期两个阶段进行平面布置。</w:t>
            </w:r>
          </w:p>
          <w:p w14:paraId="029AACF4">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rPr>
            </w:pPr>
            <w:r>
              <w:rPr>
                <w:rFonts w:hint="default"/>
                <w:color w:val="auto"/>
                <w:sz w:val="24"/>
              </w:rPr>
              <w:t>钻井期井场布置钻井平台、泥浆不落地工艺系统区、钻具区、材料区、值班室、仪器室、录井室、井控房等设备及办公生活区。</w:t>
            </w:r>
          </w:p>
          <w:p w14:paraId="7FF281B1">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钻井完成后进入试油期，试油前拆除井架，撤离泥浆不落地处理系统等钻井设施，试油期平面布置主要为井口采油机、集油管线、储液罐、值班室、配电室等。</w:t>
            </w:r>
          </w:p>
          <w:p w14:paraId="6638C374">
            <w:pPr>
              <w:keepNext w:val="0"/>
              <w:keepLines w:val="0"/>
              <w:suppressLineNumbers w:val="0"/>
              <w:adjustRightInd w:val="0"/>
              <w:snapToGrid w:val="0"/>
              <w:spacing w:before="0" w:beforeAutospacing="0" w:after="0" w:afterAutospacing="0" w:line="360" w:lineRule="auto"/>
              <w:ind w:left="0" w:right="0"/>
              <w:jc w:val="center"/>
              <w:rPr>
                <w:rFonts w:hint="default"/>
                <w:color w:val="auto"/>
                <w:sz w:val="24"/>
              </w:rPr>
            </w:pPr>
            <w:r>
              <w:rPr>
                <w:rFonts w:hint="default"/>
                <w:color w:val="auto"/>
                <w:sz w:val="24"/>
              </w:rPr>
              <w:drawing>
                <wp:inline distT="0" distB="0" distL="114300" distR="114300">
                  <wp:extent cx="4580890" cy="2383155"/>
                  <wp:effectExtent l="0" t="0" r="10160" b="17145"/>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13"/>
                          <a:stretch>
                            <a:fillRect/>
                          </a:stretch>
                        </pic:blipFill>
                        <pic:spPr>
                          <a:xfrm>
                            <a:off x="0" y="0"/>
                            <a:ext cx="4580890" cy="2383155"/>
                          </a:xfrm>
                          <a:prstGeom prst="rect">
                            <a:avLst/>
                          </a:prstGeom>
                          <a:noFill/>
                          <a:ln>
                            <a:noFill/>
                          </a:ln>
                        </pic:spPr>
                      </pic:pic>
                    </a:graphicData>
                  </a:graphic>
                </wp:inline>
              </w:drawing>
            </w:r>
          </w:p>
          <w:p w14:paraId="536DC159">
            <w:pPr>
              <w:keepNext w:val="0"/>
              <w:keepLines w:val="0"/>
              <w:suppressLineNumbers w:val="0"/>
              <w:adjustRightInd w:val="0"/>
              <w:snapToGrid w:val="0"/>
              <w:spacing w:before="0" w:beforeAutospacing="0" w:after="0" w:afterAutospacing="0" w:line="360" w:lineRule="auto"/>
              <w:ind w:left="0" w:right="0"/>
              <w:jc w:val="center"/>
              <w:rPr>
                <w:rFonts w:hint="default"/>
                <w:color w:val="auto"/>
              </w:rPr>
            </w:pPr>
            <w:r>
              <w:rPr>
                <w:rFonts w:hint="default"/>
                <w:b/>
                <w:color w:val="auto"/>
                <w:kern w:val="0"/>
                <w:sz w:val="24"/>
                <w:szCs w:val="21"/>
              </w:rPr>
              <w:t>图</w:t>
            </w:r>
            <w:r>
              <w:rPr>
                <w:rFonts w:hint="eastAsia"/>
                <w:b/>
                <w:color w:val="auto"/>
                <w:kern w:val="0"/>
                <w:sz w:val="24"/>
                <w:szCs w:val="21"/>
              </w:rPr>
              <w:t>2</w:t>
            </w:r>
            <w:r>
              <w:rPr>
                <w:rFonts w:hint="default"/>
                <w:b/>
                <w:color w:val="auto"/>
                <w:kern w:val="0"/>
                <w:sz w:val="24"/>
                <w:szCs w:val="21"/>
              </w:rPr>
              <w:t>-6</w:t>
            </w:r>
            <w:r>
              <w:rPr>
                <w:rFonts w:hint="eastAsia"/>
                <w:b/>
                <w:color w:val="auto"/>
                <w:kern w:val="0"/>
                <w:sz w:val="24"/>
                <w:szCs w:val="21"/>
              </w:rPr>
              <w:t xml:space="preserve"> 钻井期井场平面布置示意图</w:t>
            </w:r>
          </w:p>
          <w:p w14:paraId="53764A8A">
            <w:pPr>
              <w:keepNext w:val="0"/>
              <w:keepLines w:val="0"/>
              <w:suppressLineNumbers w:val="0"/>
              <w:adjustRightInd w:val="0"/>
              <w:snapToGrid w:val="0"/>
              <w:spacing w:before="0" w:beforeAutospacing="0" w:after="0" w:afterAutospacing="0" w:line="360" w:lineRule="auto"/>
              <w:ind w:left="0" w:right="0"/>
              <w:jc w:val="center"/>
              <w:rPr>
                <w:rFonts w:hint="eastAsia"/>
                <w:color w:val="auto"/>
              </w:rPr>
            </w:pPr>
            <w:r>
              <w:rPr>
                <w:rFonts w:hint="default"/>
                <w:color w:val="auto"/>
              </w:rPr>
              <w:drawing>
                <wp:inline distT="0" distB="0" distL="114300" distR="114300">
                  <wp:extent cx="3480435" cy="1961515"/>
                  <wp:effectExtent l="0" t="0" r="5715" b="635"/>
                  <wp:docPr id="11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1"/>
                          <pic:cNvPicPr>
                            <a:picLocks noChangeAspect="1"/>
                          </pic:cNvPicPr>
                        </pic:nvPicPr>
                        <pic:blipFill>
                          <a:blip r:embed="rId14"/>
                          <a:stretch>
                            <a:fillRect/>
                          </a:stretch>
                        </pic:blipFill>
                        <pic:spPr>
                          <a:xfrm>
                            <a:off x="0" y="0"/>
                            <a:ext cx="3480435" cy="1961515"/>
                          </a:xfrm>
                          <a:prstGeom prst="rect">
                            <a:avLst/>
                          </a:prstGeom>
                          <a:noFill/>
                          <a:ln>
                            <a:noFill/>
                          </a:ln>
                        </pic:spPr>
                      </pic:pic>
                    </a:graphicData>
                  </a:graphic>
                </wp:inline>
              </w:drawing>
            </w:r>
          </w:p>
          <w:p w14:paraId="36133EF5">
            <w:pPr>
              <w:keepNext w:val="0"/>
              <w:keepLines w:val="0"/>
              <w:suppressLineNumbers w:val="0"/>
              <w:adjustRightInd w:val="0"/>
              <w:snapToGrid w:val="0"/>
              <w:spacing w:before="0" w:beforeAutospacing="0" w:after="0" w:afterAutospacing="0" w:line="360" w:lineRule="auto"/>
              <w:ind w:left="0" w:right="0"/>
              <w:jc w:val="center"/>
              <w:rPr>
                <w:rFonts w:hint="eastAsia"/>
                <w:b/>
                <w:color w:val="auto"/>
                <w:kern w:val="0"/>
                <w:sz w:val="24"/>
                <w:szCs w:val="21"/>
              </w:rPr>
            </w:pPr>
            <w:r>
              <w:rPr>
                <w:rFonts w:hint="default"/>
                <w:b/>
                <w:color w:val="auto"/>
                <w:kern w:val="0"/>
                <w:sz w:val="24"/>
                <w:szCs w:val="21"/>
              </w:rPr>
              <w:t>图</w:t>
            </w:r>
            <w:r>
              <w:rPr>
                <w:rFonts w:hint="eastAsia"/>
                <w:b/>
                <w:color w:val="auto"/>
                <w:kern w:val="0"/>
                <w:sz w:val="24"/>
                <w:szCs w:val="21"/>
              </w:rPr>
              <w:t>2</w:t>
            </w:r>
            <w:r>
              <w:rPr>
                <w:rFonts w:hint="default"/>
                <w:b/>
                <w:color w:val="auto"/>
                <w:kern w:val="0"/>
                <w:sz w:val="24"/>
                <w:szCs w:val="21"/>
              </w:rPr>
              <w:t>-</w:t>
            </w:r>
            <w:r>
              <w:rPr>
                <w:rFonts w:hint="eastAsia"/>
                <w:b/>
                <w:color w:val="auto"/>
                <w:kern w:val="0"/>
                <w:sz w:val="24"/>
                <w:szCs w:val="21"/>
              </w:rPr>
              <w:t>7 试油期井场平面布置示意图</w:t>
            </w:r>
          </w:p>
        </w:tc>
      </w:tr>
      <w:tr w14:paraId="7A4E5E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7" w:type="dxa"/>
            <w:noWrap w:val="0"/>
            <w:vAlign w:val="center"/>
          </w:tcPr>
          <w:p w14:paraId="308DC991">
            <w:pPr>
              <w:keepNext w:val="0"/>
              <w:keepLines w:val="0"/>
              <w:suppressLineNumbers w:val="0"/>
              <w:adjustRightInd w:val="0"/>
              <w:snapToGrid w:val="0"/>
              <w:spacing w:before="0" w:beforeAutospacing="0" w:after="0" w:afterAutospacing="0"/>
              <w:ind w:left="0" w:right="0"/>
              <w:jc w:val="center"/>
              <w:rPr>
                <w:rFonts w:hint="default"/>
                <w:b/>
                <w:color w:val="auto"/>
                <w:kern w:val="0"/>
                <w:sz w:val="24"/>
              </w:rPr>
            </w:pPr>
            <w:r>
              <w:rPr>
                <w:rFonts w:hint="default"/>
                <w:b/>
                <w:color w:val="auto"/>
                <w:kern w:val="0"/>
                <w:sz w:val="24"/>
              </w:rPr>
              <w:t>施工方案</w:t>
            </w:r>
          </w:p>
        </w:tc>
        <w:tc>
          <w:tcPr>
            <w:tcW w:w="8437" w:type="dxa"/>
            <w:noWrap w:val="0"/>
            <w:vAlign w:val="center"/>
          </w:tcPr>
          <w:p w14:paraId="7D8DBC5A">
            <w:pPr>
              <w:keepNext w:val="0"/>
              <w:keepLines w:val="0"/>
              <w:suppressLineNumbers w:val="0"/>
              <w:spacing w:before="0" w:beforeAutospacing="0" w:after="0" w:afterAutospacing="0" w:line="360" w:lineRule="auto"/>
              <w:ind w:left="0" w:right="0" w:firstLine="480"/>
              <w:rPr>
                <w:rFonts w:hint="default"/>
                <w:b/>
                <w:color w:val="auto"/>
                <w:sz w:val="24"/>
              </w:rPr>
            </w:pPr>
            <w:r>
              <w:rPr>
                <w:rFonts w:hint="eastAsia"/>
                <w:b/>
                <w:color w:val="auto"/>
                <w:sz w:val="24"/>
              </w:rPr>
              <w:t>施工工艺</w:t>
            </w:r>
          </w:p>
          <w:p w14:paraId="11045CC5">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lang w:eastAsia="zh-CN"/>
              </w:rPr>
              <w:t>本工程</w:t>
            </w:r>
            <w:r>
              <w:rPr>
                <w:rFonts w:hint="eastAsia"/>
                <w:color w:val="auto"/>
                <w:sz w:val="24"/>
              </w:rPr>
              <w:t>主要包括</w:t>
            </w:r>
            <w:r>
              <w:rPr>
                <w:rFonts w:hint="eastAsia"/>
                <w:color w:val="auto"/>
                <w:sz w:val="24"/>
                <w:lang w:eastAsia="zh-CN"/>
              </w:rPr>
              <w:t>钻前工程、</w:t>
            </w:r>
            <w:r>
              <w:rPr>
                <w:rFonts w:hint="eastAsia"/>
                <w:color w:val="auto"/>
                <w:sz w:val="24"/>
              </w:rPr>
              <w:t>钻井工程和</w:t>
            </w:r>
            <w:r>
              <w:rPr>
                <w:rFonts w:hint="eastAsia"/>
                <w:color w:val="auto"/>
                <w:sz w:val="24"/>
                <w:highlight w:val="none"/>
              </w:rPr>
              <w:t>试油工程</w:t>
            </w:r>
            <w:r>
              <w:rPr>
                <w:rFonts w:hint="eastAsia"/>
                <w:color w:val="auto"/>
                <w:sz w:val="24"/>
              </w:rPr>
              <w:t>，均为</w:t>
            </w:r>
            <w:r>
              <w:rPr>
                <w:rFonts w:hint="eastAsia"/>
                <w:color w:val="auto"/>
                <w:sz w:val="24"/>
                <w:lang w:eastAsia="zh-CN"/>
              </w:rPr>
              <w:t>本工程</w:t>
            </w:r>
            <w:r>
              <w:rPr>
                <w:rFonts w:hint="eastAsia"/>
                <w:color w:val="auto"/>
                <w:sz w:val="24"/>
              </w:rPr>
              <w:t>施工期，</w:t>
            </w:r>
            <w:r>
              <w:rPr>
                <w:rFonts w:hint="eastAsia"/>
                <w:color w:val="auto"/>
                <w:sz w:val="24"/>
                <w:lang w:eastAsia="zh-CN"/>
              </w:rPr>
              <w:t>本工程</w:t>
            </w:r>
            <w:r>
              <w:rPr>
                <w:rFonts w:hint="eastAsia"/>
                <w:color w:val="auto"/>
                <w:sz w:val="24"/>
              </w:rPr>
              <w:t>不涉及运营期。</w:t>
            </w:r>
            <w:r>
              <w:rPr>
                <w:rFonts w:hint="eastAsia"/>
                <w:color w:val="auto"/>
                <w:sz w:val="24"/>
                <w:lang w:eastAsia="zh-CN"/>
              </w:rPr>
              <w:t>本工程</w:t>
            </w:r>
            <w:r>
              <w:rPr>
                <w:rFonts w:hint="eastAsia"/>
                <w:color w:val="auto"/>
                <w:sz w:val="24"/>
              </w:rPr>
              <w:t>工艺流程及产污环节如下图所示。</w:t>
            </w:r>
          </w:p>
          <w:p w14:paraId="70670477">
            <w:pPr>
              <w:keepNext w:val="0"/>
              <w:keepLines w:val="0"/>
              <w:suppressLineNumbers w:val="0"/>
              <w:spacing w:before="0" w:beforeAutospacing="0" w:after="0" w:afterAutospacing="0" w:line="360" w:lineRule="auto"/>
              <w:ind w:left="0" w:right="0"/>
              <w:jc w:val="center"/>
              <w:rPr>
                <w:rFonts w:hint="default"/>
                <w:b/>
                <w:color w:val="auto"/>
                <w:sz w:val="24"/>
              </w:rPr>
            </w:pPr>
            <w:r>
              <w:rPr>
                <w:rFonts w:hint="default"/>
                <w:b/>
                <w:color w:val="auto"/>
                <w:sz w:val="24"/>
              </w:rPr>
              <w:object>
                <v:shape id="_x0000_i1025" o:spt="75" type="#_x0000_t75" style="height:304.4pt;width:276.05pt;" o:ole="t" filled="f" o:preferrelative="t" stroked="f" coordsize="21600,21600">
                  <v:path/>
                  <v:fill on="f" focussize="0,0"/>
                  <v:stroke on="f"/>
                  <v:imagedata r:id="rId16" o:title=""/>
                  <o:lock v:ext="edit" aspectratio="t"/>
                  <w10:wrap type="none"/>
                  <w10:anchorlock/>
                </v:shape>
                <o:OLEObject Type="Embed" ProgID="Visio.Drawing.15" ShapeID="_x0000_i1025" DrawAspect="Content" ObjectID="_1468075725" r:id="rId15">
                  <o:LockedField>false</o:LockedField>
                </o:OLEObject>
              </w:object>
            </w:r>
          </w:p>
          <w:p w14:paraId="457FC31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jc w:val="center"/>
              <w:textAlignment w:val="auto"/>
              <w:rPr>
                <w:rFonts w:hint="default"/>
                <w:b/>
                <w:color w:val="auto"/>
                <w:kern w:val="0"/>
                <w:sz w:val="24"/>
                <w:szCs w:val="21"/>
              </w:rPr>
            </w:pPr>
            <w:r>
              <w:rPr>
                <w:rFonts w:hint="default"/>
                <w:b/>
                <w:color w:val="auto"/>
                <w:kern w:val="0"/>
                <w:sz w:val="24"/>
                <w:szCs w:val="21"/>
              </w:rPr>
              <w:t>图</w:t>
            </w:r>
            <w:r>
              <w:rPr>
                <w:rFonts w:hint="eastAsia"/>
                <w:b/>
                <w:color w:val="auto"/>
                <w:kern w:val="0"/>
                <w:sz w:val="24"/>
                <w:szCs w:val="21"/>
              </w:rPr>
              <w:t>2</w:t>
            </w:r>
            <w:r>
              <w:rPr>
                <w:rFonts w:hint="default"/>
                <w:b/>
                <w:color w:val="auto"/>
                <w:kern w:val="0"/>
                <w:sz w:val="24"/>
                <w:szCs w:val="21"/>
              </w:rPr>
              <w:t>-</w:t>
            </w:r>
            <w:r>
              <w:rPr>
                <w:rFonts w:hint="eastAsia"/>
                <w:b/>
                <w:color w:val="auto"/>
                <w:kern w:val="0"/>
                <w:sz w:val="24"/>
                <w:szCs w:val="21"/>
              </w:rPr>
              <w:t xml:space="preserve">8 </w:t>
            </w:r>
            <w:r>
              <w:rPr>
                <w:rFonts w:hint="default"/>
                <w:b/>
                <w:color w:val="auto"/>
                <w:kern w:val="0"/>
                <w:sz w:val="24"/>
                <w:szCs w:val="21"/>
              </w:rPr>
              <w:t>工艺流程及产排污节点图</w:t>
            </w:r>
          </w:p>
          <w:p w14:paraId="5421774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color w:val="auto"/>
                <w:sz w:val="24"/>
              </w:rPr>
            </w:pPr>
            <w:r>
              <w:rPr>
                <w:rFonts w:hint="eastAsia"/>
                <w:color w:val="auto"/>
                <w:sz w:val="24"/>
              </w:rPr>
              <w:t>钻前工程包括道路建设、平整井场及钻井设备安装等</w:t>
            </w:r>
            <w:r>
              <w:rPr>
                <w:rFonts w:hint="eastAsia"/>
                <w:color w:val="auto"/>
                <w:sz w:val="24"/>
                <w:lang w:eastAsia="zh-CN"/>
              </w:rPr>
              <w:t>；</w:t>
            </w:r>
            <w:r>
              <w:rPr>
                <w:rFonts w:hint="eastAsia"/>
                <w:color w:val="auto"/>
                <w:sz w:val="24"/>
              </w:rPr>
              <w:t>钻井工作</w:t>
            </w:r>
            <w:r>
              <w:rPr>
                <w:rFonts w:hint="eastAsia"/>
                <w:color w:val="auto"/>
                <w:sz w:val="24"/>
                <w:lang w:eastAsia="zh-CN"/>
              </w:rPr>
              <w:t>包括</w:t>
            </w:r>
            <w:r>
              <w:rPr>
                <w:rFonts w:hint="eastAsia"/>
                <w:color w:val="auto"/>
                <w:sz w:val="24"/>
              </w:rPr>
              <w:t>固井、测井、录井等；试油工程包括：试油、封井等。</w:t>
            </w:r>
          </w:p>
          <w:p w14:paraId="0B72E2BC">
            <w:pPr>
              <w:keepNext w:val="0"/>
              <w:keepLines w:val="0"/>
              <w:suppressLineNumbers w:val="0"/>
              <w:spacing w:before="0" w:beforeAutospacing="0" w:after="0" w:afterAutospacing="0" w:line="360" w:lineRule="auto"/>
              <w:ind w:left="0" w:right="0" w:firstLine="482" w:firstLineChars="200"/>
              <w:rPr>
                <w:rFonts w:hint="default"/>
                <w:b/>
                <w:color w:val="auto"/>
                <w:sz w:val="24"/>
              </w:rPr>
            </w:pPr>
            <w:r>
              <w:rPr>
                <w:rFonts w:hint="eastAsia"/>
                <w:b/>
                <w:color w:val="auto"/>
                <w:sz w:val="24"/>
              </w:rPr>
              <w:t>一、钻前工程</w:t>
            </w:r>
          </w:p>
          <w:p w14:paraId="19D3AB51">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default"/>
                <w:color w:val="auto"/>
                <w:sz w:val="24"/>
              </w:rPr>
              <w:t>钻前工程主要包括：道路建设、表土剥离</w:t>
            </w:r>
            <w:r>
              <w:rPr>
                <w:rFonts w:hint="eastAsia"/>
                <w:color w:val="auto"/>
                <w:sz w:val="24"/>
              </w:rPr>
              <w:t>和</w:t>
            </w:r>
            <w:r>
              <w:rPr>
                <w:rFonts w:hint="default"/>
                <w:color w:val="auto"/>
                <w:sz w:val="24"/>
              </w:rPr>
              <w:t>平整井场</w:t>
            </w:r>
            <w:r>
              <w:rPr>
                <w:rFonts w:hint="eastAsia"/>
                <w:color w:val="auto"/>
                <w:sz w:val="24"/>
              </w:rPr>
              <w:t>、</w:t>
            </w:r>
            <w:r>
              <w:rPr>
                <w:rFonts w:hint="default"/>
                <w:color w:val="auto"/>
                <w:sz w:val="24"/>
              </w:rPr>
              <w:t>钻井设备安装等以及配套设施布置与建设。</w:t>
            </w:r>
          </w:p>
          <w:p w14:paraId="25C993DB">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highlight w:val="none"/>
                <w:lang w:eastAsia="zh-CN"/>
              </w:rPr>
              <w:t>本工程</w:t>
            </w:r>
            <w:r>
              <w:rPr>
                <w:rFonts w:hint="default"/>
                <w:color w:val="auto"/>
                <w:sz w:val="24"/>
                <w:highlight w:val="none"/>
              </w:rPr>
              <w:t>新建进场道路</w:t>
            </w:r>
            <w:r>
              <w:rPr>
                <w:rFonts w:hint="eastAsia"/>
                <w:color w:val="auto"/>
                <w:sz w:val="24"/>
                <w:highlight w:val="none"/>
                <w:lang w:val="en-US" w:eastAsia="zh-CN"/>
              </w:rPr>
              <w:t>516m</w:t>
            </w:r>
            <w:r>
              <w:rPr>
                <w:rFonts w:hint="default"/>
                <w:color w:val="auto"/>
                <w:sz w:val="24"/>
                <w:highlight w:val="none"/>
              </w:rPr>
              <w:t>，</w:t>
            </w:r>
            <w:r>
              <w:rPr>
                <w:rFonts w:hint="default"/>
                <w:color w:val="auto"/>
                <w:sz w:val="24"/>
              </w:rPr>
              <w:t>道路路面采用砂石压实处理，满足钻井设备以及原辅材料运输车辆通行要求，设计行车速度20km/h。项目勘探结束后，若地层无工业油流则将道路进行平整和恢复；若地层有工业油流则建设单位需办理相关手续，保留进场道路，方便后续开发利用。</w:t>
            </w:r>
          </w:p>
          <w:p w14:paraId="45AF011B">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lang w:eastAsia="zh-CN"/>
              </w:rPr>
              <w:t>本工程</w:t>
            </w:r>
            <w:r>
              <w:rPr>
                <w:rFonts w:hint="default"/>
                <w:color w:val="auto"/>
                <w:sz w:val="24"/>
              </w:rPr>
              <w:t>实施表土剥离，剥离厚度为0.</w:t>
            </w:r>
            <w:r>
              <w:rPr>
                <w:rFonts w:hint="eastAsia"/>
                <w:color w:val="auto"/>
                <w:sz w:val="24"/>
              </w:rPr>
              <w:t>30</w:t>
            </w:r>
            <w:r>
              <w:rPr>
                <w:rFonts w:hint="default"/>
                <w:color w:val="auto"/>
                <w:sz w:val="24"/>
              </w:rPr>
              <w:t>m</w:t>
            </w:r>
            <w:r>
              <w:rPr>
                <w:rFonts w:hint="eastAsia"/>
                <w:color w:val="auto"/>
                <w:sz w:val="24"/>
              </w:rPr>
              <w:t>，</w:t>
            </w:r>
            <w:r>
              <w:rPr>
                <w:rFonts w:hint="default"/>
                <w:color w:val="auto"/>
                <w:sz w:val="24"/>
              </w:rPr>
              <w:t>土壤剥离、开挖、堆放</w:t>
            </w:r>
            <w:r>
              <w:rPr>
                <w:rFonts w:hint="eastAsia"/>
                <w:color w:val="auto"/>
                <w:sz w:val="24"/>
              </w:rPr>
              <w:t>；</w:t>
            </w:r>
            <w:r>
              <w:rPr>
                <w:rFonts w:hint="default"/>
                <w:color w:val="auto"/>
                <w:sz w:val="24"/>
              </w:rPr>
              <w:t>勘探施工结束后循序回填。</w:t>
            </w:r>
            <w:r>
              <w:rPr>
                <w:rFonts w:hint="eastAsia"/>
                <w:color w:val="auto"/>
                <w:sz w:val="24"/>
                <w:lang w:eastAsia="zh-CN"/>
              </w:rPr>
              <w:t>本工程</w:t>
            </w:r>
            <w:r>
              <w:rPr>
                <w:rFonts w:hint="default"/>
                <w:color w:val="auto"/>
                <w:sz w:val="24"/>
              </w:rPr>
              <w:t>在井场设置表土暂存场地一处</w:t>
            </w:r>
            <w:r>
              <w:rPr>
                <w:rFonts w:hint="eastAsia"/>
                <w:color w:val="auto"/>
                <w:sz w:val="24"/>
                <w:lang w:eastAsia="zh-CN"/>
              </w:rPr>
              <w:t>，位于井场西侧</w:t>
            </w:r>
            <w:r>
              <w:rPr>
                <w:rFonts w:hint="default"/>
                <w:color w:val="auto"/>
                <w:sz w:val="24"/>
              </w:rPr>
              <w:t>，面积</w:t>
            </w:r>
            <w:r>
              <w:rPr>
                <w:rFonts w:hint="eastAsia"/>
                <w:color w:val="auto"/>
                <w:sz w:val="24"/>
              </w:rPr>
              <w:t>2475</w:t>
            </w:r>
            <w:r>
              <w:rPr>
                <w:rFonts w:hint="default"/>
                <w:color w:val="auto"/>
                <w:sz w:val="24"/>
              </w:rPr>
              <w:t>平方米（</w:t>
            </w:r>
            <w:r>
              <w:rPr>
                <w:rFonts w:hint="eastAsia"/>
                <w:color w:val="auto"/>
                <w:sz w:val="24"/>
              </w:rPr>
              <w:t>45</w:t>
            </w:r>
            <w:r>
              <w:rPr>
                <w:rFonts w:hint="default"/>
                <w:color w:val="auto"/>
                <w:kern w:val="0"/>
                <w:sz w:val="24"/>
              </w:rPr>
              <w:t>×</w:t>
            </w:r>
            <w:r>
              <w:rPr>
                <w:rFonts w:hint="eastAsia"/>
                <w:color w:val="auto"/>
                <w:sz w:val="24"/>
              </w:rPr>
              <w:t>55</w:t>
            </w:r>
            <w:r>
              <w:rPr>
                <w:rFonts w:hint="default"/>
                <w:color w:val="auto"/>
                <w:sz w:val="24"/>
              </w:rPr>
              <w:t>m），表土堆放采用</w:t>
            </w:r>
            <w:r>
              <w:rPr>
                <w:rFonts w:hint="default"/>
                <w:color w:val="auto"/>
                <w:sz w:val="24"/>
                <w:highlight w:val="none"/>
              </w:rPr>
              <w:t>台体形</w:t>
            </w:r>
            <w:r>
              <w:rPr>
                <w:rFonts w:hint="default"/>
                <w:color w:val="auto"/>
                <w:sz w:val="24"/>
              </w:rPr>
              <w:t>，边坡为1:1。在土壤堆存期间，为了防止水力与风力的侵蚀，用</w:t>
            </w:r>
            <w:r>
              <w:rPr>
                <w:rFonts w:hint="eastAsia"/>
                <w:color w:val="auto"/>
                <w:sz w:val="24"/>
                <w:lang w:eastAsia="zh-CN"/>
              </w:rPr>
              <w:t>盖土网</w:t>
            </w:r>
            <w:r>
              <w:rPr>
                <w:rFonts w:hint="default"/>
                <w:color w:val="auto"/>
                <w:sz w:val="24"/>
              </w:rPr>
              <w:t>覆盖，对施工场地临时堆表土进行拦挡防护。</w:t>
            </w:r>
          </w:p>
          <w:p w14:paraId="614ED726">
            <w:pPr>
              <w:keepNext w:val="0"/>
              <w:keepLines w:val="0"/>
              <w:suppressLineNumbers w:val="0"/>
              <w:spacing w:before="0" w:beforeAutospacing="0" w:after="0" w:afterAutospacing="0" w:line="360" w:lineRule="auto"/>
              <w:ind w:left="0" w:right="0"/>
              <w:jc w:val="center"/>
              <w:rPr>
                <w:rStyle w:val="35"/>
                <w:rFonts w:hint="eastAsia"/>
                <w:color w:val="auto"/>
                <w:kern w:val="0"/>
                <w:u w:val="none"/>
              </w:rPr>
            </w:pPr>
            <w:r>
              <w:rPr>
                <w:rStyle w:val="35"/>
                <w:rFonts w:hint="default"/>
                <w:color w:val="auto"/>
                <w:kern w:val="0"/>
                <w:u w:val="none"/>
              </w:rPr>
              <w:drawing>
                <wp:inline distT="0" distB="0" distL="114300" distR="114300">
                  <wp:extent cx="3524250" cy="1259205"/>
                  <wp:effectExtent l="0" t="0" r="0" b="17145"/>
                  <wp:docPr id="117" name="图片 9" descr="微信截图_2022121214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9" descr="微信截图_20221212142044"/>
                          <pic:cNvPicPr>
                            <a:picLocks noChangeAspect="1"/>
                          </pic:cNvPicPr>
                        </pic:nvPicPr>
                        <pic:blipFill>
                          <a:blip r:embed="rId17">
                            <a:clrChange>
                              <a:clrFrom>
                                <a:srgbClr val="D3E3C7"/>
                              </a:clrFrom>
                              <a:clrTo>
                                <a:srgbClr val="D3E3C7">
                                  <a:alpha val="0"/>
                                </a:srgbClr>
                              </a:clrTo>
                            </a:clrChange>
                            <a:lum bright="20001" contrast="20000"/>
                          </a:blip>
                          <a:srcRect t="4942" b="30167"/>
                          <a:stretch>
                            <a:fillRect/>
                          </a:stretch>
                        </pic:blipFill>
                        <pic:spPr>
                          <a:xfrm>
                            <a:off x="0" y="0"/>
                            <a:ext cx="3524250" cy="1259205"/>
                          </a:xfrm>
                          <a:prstGeom prst="rect">
                            <a:avLst/>
                          </a:prstGeom>
                          <a:noFill/>
                          <a:ln>
                            <a:noFill/>
                          </a:ln>
                        </pic:spPr>
                      </pic:pic>
                    </a:graphicData>
                  </a:graphic>
                </wp:inline>
              </w:drawing>
            </w:r>
          </w:p>
          <w:p w14:paraId="56FAFC68">
            <w:pPr>
              <w:pStyle w:val="231"/>
              <w:keepNext w:val="0"/>
              <w:keepLines w:val="0"/>
              <w:suppressLineNumbers w:val="0"/>
              <w:spacing w:before="0" w:beforeAutospacing="0" w:after="120" w:afterAutospacing="0"/>
              <w:ind w:left="0" w:right="0"/>
              <w:jc w:val="center"/>
              <w:rPr>
                <w:rFonts w:hint="eastAsia" w:ascii="Times New Roman" w:hAnsi="Times New Roman"/>
                <w:b/>
                <w:color w:val="auto"/>
                <w:szCs w:val="21"/>
              </w:rPr>
            </w:pPr>
            <w:r>
              <w:rPr>
                <w:rFonts w:hint="default" w:ascii="Times New Roman" w:hAnsi="Times New Roman"/>
                <w:b/>
                <w:color w:val="auto"/>
                <w:szCs w:val="21"/>
              </w:rPr>
              <w:t>图</w:t>
            </w:r>
            <w:r>
              <w:rPr>
                <w:rFonts w:hint="eastAsia" w:ascii="Times New Roman" w:hAnsi="Times New Roman"/>
                <w:b/>
                <w:color w:val="auto"/>
                <w:szCs w:val="21"/>
              </w:rPr>
              <w:t>2</w:t>
            </w:r>
            <w:r>
              <w:rPr>
                <w:rFonts w:hint="default" w:ascii="Times New Roman" w:hAnsi="Times New Roman"/>
                <w:b/>
                <w:color w:val="auto"/>
                <w:szCs w:val="21"/>
              </w:rPr>
              <w:t>-</w:t>
            </w:r>
            <w:r>
              <w:rPr>
                <w:rFonts w:hint="eastAsia" w:ascii="Times New Roman" w:hAnsi="Times New Roman"/>
                <w:b/>
                <w:color w:val="auto"/>
                <w:szCs w:val="21"/>
              </w:rPr>
              <w:t>9 井场表土临时堆存示意图</w:t>
            </w:r>
          </w:p>
          <w:p w14:paraId="7AF3605F">
            <w:pPr>
              <w:pStyle w:val="23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lang w:val="en-US" w:eastAsia="zh-CN" w:bidi="ar-SA"/>
              </w:rPr>
              <w:t>钻前工程时</w:t>
            </w:r>
            <w:r>
              <w:rPr>
                <w:rFonts w:hint="default" w:ascii="Times New Roman" w:hAnsi="Times New Roman" w:eastAsia="宋体" w:cs="Times New Roman"/>
                <w:color w:val="auto"/>
                <w:kern w:val="2"/>
                <w:sz w:val="24"/>
                <w:szCs w:val="24"/>
                <w:lang w:val="en-US" w:eastAsia="zh-CN" w:bidi="ar-SA"/>
              </w:rPr>
              <w:t>废气污染源主要为</w:t>
            </w:r>
            <w:r>
              <w:rPr>
                <w:rFonts w:hint="eastAsia" w:ascii="Times New Roman" w:hAnsi="Times New Roman" w:eastAsia="宋体" w:cs="Times New Roman"/>
                <w:color w:val="auto"/>
                <w:kern w:val="2"/>
                <w:sz w:val="24"/>
                <w:szCs w:val="24"/>
                <w:lang w:val="en-US" w:eastAsia="zh-CN" w:bidi="ar-SA"/>
              </w:rPr>
              <w:t>施工扬尘。井场设置专用洒水泵定期洒水防尘，降低扬尘的产生量，从源头上降低施工扬尘对环境空气质量和敏感点的影响。</w:t>
            </w:r>
          </w:p>
          <w:p w14:paraId="5FC84054">
            <w:pPr>
              <w:pStyle w:val="23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钻前工程时废水污染源主要为生活污水，井场设置</w:t>
            </w:r>
            <w:r>
              <w:rPr>
                <w:rFonts w:hint="eastAsia" w:ascii="Times New Roman" w:hAnsi="Times New Roman" w:cs="Times New Roman"/>
                <w:color w:val="auto"/>
                <w:kern w:val="2"/>
                <w:sz w:val="24"/>
                <w:szCs w:val="24"/>
                <w:highlight w:val="none"/>
                <w:lang w:val="en-US" w:eastAsia="zh-CN" w:bidi="ar-SA"/>
              </w:rPr>
              <w:t>环保厕所</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生活污水排入</w:t>
            </w:r>
            <w:r>
              <w:rPr>
                <w:rFonts w:hint="eastAsia" w:ascii="Times New Roman" w:hAnsi="Times New Roman" w:cs="Times New Roman"/>
                <w:color w:val="auto"/>
                <w:kern w:val="2"/>
                <w:sz w:val="24"/>
                <w:szCs w:val="24"/>
                <w:highlight w:val="none"/>
                <w:lang w:val="en-US" w:eastAsia="zh-CN" w:bidi="ar-SA"/>
              </w:rPr>
              <w:t>环保厕所</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定期清掏。</w:t>
            </w:r>
          </w:p>
          <w:p w14:paraId="78636535">
            <w:pPr>
              <w:pStyle w:val="23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钻前工程时噪声污染源主要为</w:t>
            </w:r>
            <w:r>
              <w:rPr>
                <w:rFonts w:hint="eastAsia" w:ascii="Times New Roman" w:hAnsi="Times New Roman" w:eastAsia="宋体" w:cs="Times New Roman"/>
                <w:color w:val="auto"/>
                <w:kern w:val="2"/>
                <w:sz w:val="24"/>
                <w:szCs w:val="24"/>
                <w:lang w:val="en-US" w:eastAsia="zh-CN" w:bidi="ar-SA"/>
              </w:rPr>
              <w:t>施工机械</w:t>
            </w:r>
            <w:r>
              <w:rPr>
                <w:rFonts w:hint="default" w:ascii="Times New Roman" w:hAnsi="Times New Roman" w:eastAsia="宋体" w:cs="Times New Roman"/>
                <w:color w:val="auto"/>
                <w:kern w:val="2"/>
                <w:sz w:val="24"/>
                <w:szCs w:val="24"/>
                <w:lang w:val="en-US" w:eastAsia="zh-CN" w:bidi="ar-SA"/>
              </w:rPr>
              <w:t>噪声，选用低噪声设备，进行基础减振；避免高噪声设备同时施工，合理布置、安排时间合理施工，维护设备正常运行。</w:t>
            </w:r>
          </w:p>
          <w:p w14:paraId="5EC4C366">
            <w:pPr>
              <w:pStyle w:val="23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试油工程时废固体废物主要为生活垃圾。井场设置垃圾桶，生活垃圾集中收集后，委托当地环卫部门处置。</w:t>
            </w:r>
          </w:p>
          <w:p w14:paraId="09871A4E">
            <w:pPr>
              <w:keepNext w:val="0"/>
              <w:keepLines w:val="0"/>
              <w:suppressLineNumbers w:val="0"/>
              <w:spacing w:before="0" w:beforeAutospacing="0" w:after="0" w:afterAutospacing="0" w:line="360" w:lineRule="auto"/>
              <w:ind w:left="0" w:right="0" w:firstLine="480"/>
              <w:rPr>
                <w:rFonts w:hint="eastAsia"/>
                <w:b/>
                <w:bCs/>
                <w:color w:val="auto"/>
                <w:sz w:val="24"/>
              </w:rPr>
            </w:pPr>
            <w:r>
              <w:rPr>
                <w:rFonts w:hint="eastAsia"/>
                <w:b/>
                <w:bCs/>
                <w:color w:val="auto"/>
                <w:sz w:val="24"/>
              </w:rPr>
              <w:t>二</w:t>
            </w:r>
            <w:r>
              <w:rPr>
                <w:rFonts w:hint="default"/>
                <w:b/>
                <w:bCs/>
                <w:color w:val="auto"/>
                <w:sz w:val="24"/>
              </w:rPr>
              <w:t>、钻井</w:t>
            </w:r>
            <w:r>
              <w:rPr>
                <w:rFonts w:hint="eastAsia"/>
                <w:b/>
                <w:bCs/>
                <w:color w:val="auto"/>
                <w:sz w:val="24"/>
              </w:rPr>
              <w:t>工程</w:t>
            </w:r>
          </w:p>
          <w:p w14:paraId="2D7651C6">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rPr>
              <w:t>钻井工序主要包含钻井、录井、测井、固井等。</w:t>
            </w:r>
          </w:p>
          <w:p w14:paraId="051BEB92">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rPr>
              <w:t>根据本区域石油埋藏的地理、地质特征及油井产能大小和开发井网设计，探井多为斜井，采用分段钻探方式（一开、二开）钻井。</w:t>
            </w:r>
          </w:p>
          <w:p w14:paraId="4829FF95">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default"/>
                <w:color w:val="auto"/>
                <w:sz w:val="24"/>
              </w:rPr>
              <w:t>钻井工艺</w:t>
            </w:r>
            <w:r>
              <w:rPr>
                <w:rFonts w:hint="eastAsia"/>
                <w:color w:val="auto"/>
                <w:sz w:val="24"/>
              </w:rPr>
              <w:t>采用过平衡或近平衡</w:t>
            </w:r>
            <w:r>
              <w:rPr>
                <w:rFonts w:hint="default"/>
                <w:color w:val="auto"/>
                <w:sz w:val="24"/>
              </w:rPr>
              <w:t>钻井技术，作用于井底的</w:t>
            </w:r>
            <w:r>
              <w:rPr>
                <w:rFonts w:hint="eastAsia"/>
                <w:color w:val="auto"/>
                <w:sz w:val="24"/>
              </w:rPr>
              <w:t>液柱</w:t>
            </w:r>
            <w:r>
              <w:rPr>
                <w:rFonts w:hint="default"/>
                <w:color w:val="auto"/>
                <w:sz w:val="24"/>
              </w:rPr>
              <w:t>压力大于该处地层孔隙压力情况下的钻井作业。钻井作业时，依靠钻机的动力带动钻杆和钻头旋转，钻头逐次向下破碎遇到的岩层，并形成一个井筒（井眼）。钻头在破碎岩层的同时，通过空心的钻杆向地下注入</w:t>
            </w:r>
            <w:r>
              <w:rPr>
                <w:rFonts w:hint="eastAsia"/>
                <w:color w:val="auto"/>
                <w:sz w:val="24"/>
                <w:lang w:eastAsia="zh-CN"/>
              </w:rPr>
              <w:t>水基</w:t>
            </w:r>
            <w:r>
              <w:rPr>
                <w:rFonts w:hint="default"/>
                <w:color w:val="auto"/>
                <w:sz w:val="24"/>
              </w:rPr>
              <w:t>钻井液</w:t>
            </w:r>
            <w:r>
              <w:rPr>
                <w:rFonts w:hint="eastAsia"/>
                <w:color w:val="auto"/>
                <w:sz w:val="24"/>
                <w:lang w:eastAsia="zh-CN"/>
              </w:rPr>
              <w:t>（主要以水为主配置的钻井液，具体成分见表</w:t>
            </w:r>
            <w:r>
              <w:rPr>
                <w:rFonts w:hint="eastAsia"/>
                <w:color w:val="auto"/>
                <w:sz w:val="24"/>
                <w:lang w:val="en-US" w:eastAsia="zh-CN"/>
              </w:rPr>
              <w:t>2-4</w:t>
            </w:r>
            <w:r>
              <w:rPr>
                <w:rFonts w:hint="eastAsia"/>
                <w:color w:val="auto"/>
                <w:sz w:val="24"/>
                <w:lang w:eastAsia="zh-CN"/>
              </w:rPr>
              <w:t>）</w:t>
            </w:r>
            <w:r>
              <w:rPr>
                <w:rFonts w:hint="default"/>
                <w:color w:val="auto"/>
                <w:sz w:val="24"/>
              </w:rPr>
              <w:t>，将钻头在破碎地层而产生的大量岩屑由循环的钻井液带到地面。地面</w:t>
            </w:r>
            <w:r>
              <w:rPr>
                <w:rFonts w:hint="eastAsia"/>
                <w:color w:val="auto"/>
                <w:sz w:val="24"/>
              </w:rPr>
              <w:t>钻井液</w:t>
            </w:r>
            <w:r>
              <w:rPr>
                <w:rFonts w:hint="default"/>
                <w:color w:val="auto"/>
                <w:sz w:val="24"/>
              </w:rPr>
              <w:t>固控装置包括高性能泥浆振动筛和离心机，将钻井液中的岩屑清除后，通过钻井</w:t>
            </w:r>
            <w:r>
              <w:rPr>
                <w:rFonts w:hint="eastAsia"/>
                <w:color w:val="auto"/>
                <w:sz w:val="24"/>
              </w:rPr>
              <w:t>泥浆</w:t>
            </w:r>
            <w:r>
              <w:rPr>
                <w:rFonts w:hint="default"/>
                <w:color w:val="auto"/>
                <w:sz w:val="24"/>
              </w:rPr>
              <w:t>泵再次将钻井液</w:t>
            </w:r>
            <w:r>
              <w:rPr>
                <w:rFonts w:hint="eastAsia"/>
                <w:color w:val="auto"/>
                <w:sz w:val="24"/>
              </w:rPr>
              <w:t>（钻井泥浆）</w:t>
            </w:r>
            <w:r>
              <w:rPr>
                <w:rFonts w:hint="default"/>
                <w:color w:val="auto"/>
                <w:sz w:val="24"/>
              </w:rPr>
              <w:t>打入井内。钻井液经过钻杆内孔到达钻头水眼处，再从井壁与钻柱</w:t>
            </w:r>
            <w:r>
              <w:rPr>
                <w:rFonts w:hint="eastAsia"/>
                <w:color w:val="auto"/>
                <w:sz w:val="24"/>
              </w:rPr>
              <w:t>形成</w:t>
            </w:r>
            <w:r>
              <w:rPr>
                <w:rFonts w:hint="default"/>
                <w:color w:val="auto"/>
                <w:sz w:val="24"/>
              </w:rPr>
              <w:t>的环形空间返回流至地面。整个过程循环进行，使井</w:t>
            </w:r>
            <w:r>
              <w:rPr>
                <w:rFonts w:hint="eastAsia"/>
                <w:color w:val="auto"/>
                <w:sz w:val="24"/>
              </w:rPr>
              <w:t>深</w:t>
            </w:r>
            <w:r>
              <w:rPr>
                <w:rFonts w:hint="default"/>
                <w:color w:val="auto"/>
                <w:sz w:val="24"/>
              </w:rPr>
              <w:t>不断</w:t>
            </w:r>
            <w:r>
              <w:rPr>
                <w:rFonts w:hint="eastAsia"/>
                <w:color w:val="auto"/>
                <w:sz w:val="24"/>
              </w:rPr>
              <w:t>增加</w:t>
            </w:r>
            <w:r>
              <w:rPr>
                <w:rFonts w:hint="default"/>
                <w:color w:val="auto"/>
                <w:sz w:val="24"/>
              </w:rPr>
              <w:t>，直至目的井深。钻井中途会停钻，以便起下钻具更换钻头、下套管、测井和后续井身固井作业。</w:t>
            </w:r>
            <w:r>
              <w:rPr>
                <w:rFonts w:hint="eastAsia"/>
                <w:color w:val="auto"/>
                <w:sz w:val="24"/>
                <w:lang w:eastAsia="zh-CN"/>
              </w:rPr>
              <w:t>本工程</w:t>
            </w:r>
            <w:r>
              <w:rPr>
                <w:rFonts w:hint="default"/>
                <w:color w:val="auto"/>
                <w:sz w:val="24"/>
              </w:rPr>
              <w:t>全井段采用水基</w:t>
            </w:r>
            <w:r>
              <w:rPr>
                <w:rFonts w:hint="eastAsia"/>
                <w:color w:val="auto"/>
                <w:sz w:val="24"/>
              </w:rPr>
              <w:t>环保</w:t>
            </w:r>
            <w:r>
              <w:rPr>
                <w:rFonts w:hint="default"/>
                <w:color w:val="auto"/>
                <w:sz w:val="24"/>
              </w:rPr>
              <w:t>泥浆钻</w:t>
            </w:r>
            <w:r>
              <w:rPr>
                <w:rFonts w:hint="eastAsia"/>
                <w:color w:val="auto"/>
                <w:sz w:val="24"/>
              </w:rPr>
              <w:t>，</w:t>
            </w:r>
            <w:r>
              <w:rPr>
                <w:rFonts w:hint="default"/>
                <w:color w:val="auto"/>
                <w:sz w:val="24"/>
              </w:rPr>
              <w:t>钻井作业</w:t>
            </w:r>
            <w:r>
              <w:rPr>
                <w:rFonts w:hint="eastAsia"/>
                <w:color w:val="auto"/>
                <w:sz w:val="24"/>
              </w:rPr>
              <w:t>为</w:t>
            </w:r>
            <w:r>
              <w:rPr>
                <w:rFonts w:hint="default"/>
                <w:color w:val="auto"/>
                <w:sz w:val="24"/>
              </w:rPr>
              <w:t>24h连续进行。</w:t>
            </w:r>
          </w:p>
          <w:p w14:paraId="634CB9E8">
            <w:pPr>
              <w:pStyle w:val="231"/>
              <w:keepNext w:val="0"/>
              <w:keepLines w:val="0"/>
              <w:suppressLineNumbers w:val="0"/>
              <w:spacing w:before="0" w:beforeAutospacing="0" w:after="120" w:afterAutospacing="0"/>
              <w:ind w:left="0" w:right="0"/>
              <w:jc w:val="center"/>
              <w:rPr>
                <w:rFonts w:hint="default"/>
                <w:color w:val="auto"/>
              </w:rPr>
            </w:pPr>
            <w:r>
              <w:rPr>
                <w:rFonts w:hint="default"/>
                <w:color w:val="auto"/>
              </w:rPr>
              <w:drawing>
                <wp:inline distT="0" distB="0" distL="114300" distR="114300">
                  <wp:extent cx="2132330" cy="2089785"/>
                  <wp:effectExtent l="0" t="0" r="1270" b="5715"/>
                  <wp:docPr id="1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
                          <pic:cNvPicPr>
                            <a:picLocks noChangeAspect="1"/>
                          </pic:cNvPicPr>
                        </pic:nvPicPr>
                        <pic:blipFill>
                          <a:blip r:embed="rId18"/>
                          <a:stretch>
                            <a:fillRect/>
                          </a:stretch>
                        </pic:blipFill>
                        <pic:spPr>
                          <a:xfrm>
                            <a:off x="0" y="0"/>
                            <a:ext cx="2132330" cy="2089785"/>
                          </a:xfrm>
                          <a:prstGeom prst="rect">
                            <a:avLst/>
                          </a:prstGeom>
                          <a:noFill/>
                          <a:ln>
                            <a:noFill/>
                          </a:ln>
                        </pic:spPr>
                      </pic:pic>
                    </a:graphicData>
                  </a:graphic>
                </wp:inline>
              </w:drawing>
            </w:r>
            <w:r>
              <w:rPr>
                <w:rFonts w:hint="eastAsia"/>
                <w:color w:val="auto"/>
              </w:rPr>
              <w:t xml:space="preserve">  </w:t>
            </w:r>
            <w:r>
              <w:rPr>
                <w:rFonts w:hint="default"/>
                <w:color w:val="auto"/>
              </w:rPr>
              <w:drawing>
                <wp:inline distT="0" distB="0" distL="114300" distR="114300">
                  <wp:extent cx="2162810" cy="2085975"/>
                  <wp:effectExtent l="0" t="0" r="8890" b="9525"/>
                  <wp:docPr id="1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
                          <pic:cNvPicPr>
                            <a:picLocks noChangeAspect="1"/>
                          </pic:cNvPicPr>
                        </pic:nvPicPr>
                        <pic:blipFill>
                          <a:blip r:embed="rId19"/>
                          <a:stretch>
                            <a:fillRect/>
                          </a:stretch>
                        </pic:blipFill>
                        <pic:spPr>
                          <a:xfrm>
                            <a:off x="0" y="0"/>
                            <a:ext cx="2162810" cy="2085975"/>
                          </a:xfrm>
                          <a:prstGeom prst="rect">
                            <a:avLst/>
                          </a:prstGeom>
                          <a:noFill/>
                          <a:ln>
                            <a:noFill/>
                          </a:ln>
                        </pic:spPr>
                      </pic:pic>
                    </a:graphicData>
                  </a:graphic>
                </wp:inline>
              </w:drawing>
            </w:r>
          </w:p>
          <w:p w14:paraId="41AF7F66">
            <w:pPr>
              <w:pStyle w:val="231"/>
              <w:keepNext w:val="0"/>
              <w:keepLines w:val="0"/>
              <w:suppressLineNumbers w:val="0"/>
              <w:spacing w:before="0" w:beforeAutospacing="0" w:after="120" w:afterAutospacing="0"/>
              <w:ind w:left="0" w:right="0"/>
              <w:jc w:val="center"/>
              <w:rPr>
                <w:rFonts w:hint="eastAsia" w:ascii="Times New Roman" w:hAnsi="Times New Roman"/>
                <w:b/>
                <w:color w:val="auto"/>
                <w:szCs w:val="21"/>
              </w:rPr>
            </w:pPr>
            <w:r>
              <w:rPr>
                <w:rFonts w:hint="default" w:ascii="Times New Roman" w:hAnsi="Times New Roman"/>
                <w:b/>
                <w:color w:val="auto"/>
                <w:szCs w:val="21"/>
              </w:rPr>
              <w:t>图</w:t>
            </w:r>
            <w:r>
              <w:rPr>
                <w:rFonts w:hint="eastAsia" w:ascii="Times New Roman" w:hAnsi="Times New Roman"/>
                <w:b/>
                <w:color w:val="auto"/>
                <w:szCs w:val="21"/>
              </w:rPr>
              <w:t>2</w:t>
            </w:r>
            <w:r>
              <w:rPr>
                <w:rFonts w:hint="default" w:ascii="Times New Roman" w:hAnsi="Times New Roman"/>
                <w:b/>
                <w:color w:val="auto"/>
                <w:szCs w:val="21"/>
              </w:rPr>
              <w:t>-</w:t>
            </w:r>
            <w:r>
              <w:rPr>
                <w:rFonts w:hint="eastAsia" w:ascii="Times New Roman" w:hAnsi="Times New Roman"/>
                <w:b/>
                <w:color w:val="auto"/>
                <w:szCs w:val="21"/>
              </w:rPr>
              <w:t>10 钻井液循环示意图</w:t>
            </w:r>
          </w:p>
          <w:p w14:paraId="16B7EC35">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rPr>
              <w:t>主要过程：</w:t>
            </w:r>
          </w:p>
          <w:p w14:paraId="6AF3B7B3">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ascii="宋体" w:hAnsi="宋体" w:cs="宋体"/>
                <w:color w:val="auto"/>
                <w:sz w:val="24"/>
              </w:rPr>
              <w:t>①</w:t>
            </w:r>
            <w:r>
              <w:rPr>
                <w:rFonts w:hint="default"/>
                <w:color w:val="auto"/>
                <w:sz w:val="24"/>
              </w:rPr>
              <w:t>一开作业：钻井开孔后钻到表土层以下的基岩或钻达一定深度，下入表层套管后固井。主要作用：隔离上部含水层，不使地面水和表层地下水渗入井筒；保护井口，加固表土层井段的井壁；对于继续钻下去会遇到高压油气层的，在表层套管上安装防喷器预防井喷。</w:t>
            </w:r>
          </w:p>
          <w:p w14:paraId="03774BB0">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ascii="宋体" w:hAnsi="宋体" w:cs="宋体"/>
                <w:color w:val="auto"/>
                <w:sz w:val="24"/>
              </w:rPr>
              <w:t>②</w:t>
            </w:r>
            <w:r>
              <w:rPr>
                <w:rFonts w:hint="default"/>
                <w:color w:val="auto"/>
                <w:sz w:val="24"/>
              </w:rPr>
              <w:t>表层固井（一开固井）：表层固井是在井眼内下入套管柱后，在地面上利用专业设备将水泥浆通过套管柱</w:t>
            </w:r>
            <w:r>
              <w:rPr>
                <w:rFonts w:hint="eastAsia"/>
                <w:color w:val="auto"/>
                <w:sz w:val="24"/>
                <w:lang w:eastAsia="zh-CN"/>
              </w:rPr>
              <w:t>注入</w:t>
            </w:r>
            <w:r>
              <w:rPr>
                <w:rFonts w:hint="default"/>
                <w:color w:val="auto"/>
                <w:sz w:val="24"/>
              </w:rPr>
              <w:t>井眼与套管柱之间的环形空间中的过程。表层固井采用1.60</w:t>
            </w:r>
            <w:r>
              <w:rPr>
                <w:rFonts w:hint="default"/>
                <w:color w:val="auto"/>
                <w:sz w:val="24"/>
                <w:highlight w:val="none"/>
              </w:rPr>
              <w:t>-</w:t>
            </w:r>
            <w:r>
              <w:rPr>
                <w:rFonts w:hint="default"/>
                <w:color w:val="auto"/>
                <w:sz w:val="24"/>
              </w:rPr>
              <w:t>1.65g/cm</w:t>
            </w:r>
            <w:r>
              <w:rPr>
                <w:rFonts w:hint="default"/>
                <w:color w:val="auto"/>
                <w:sz w:val="24"/>
                <w:vertAlign w:val="superscript"/>
              </w:rPr>
              <w:t>3</w:t>
            </w:r>
            <w:r>
              <w:rPr>
                <w:rFonts w:hint="default"/>
                <w:color w:val="auto"/>
                <w:sz w:val="24"/>
              </w:rPr>
              <w:t>的低密度水泥浆体系，封固表层，为下步钻进创造条件。表层固井目的是封隔疏松、易塌、易漏等地层；保护地下潜水层。</w:t>
            </w:r>
          </w:p>
          <w:p w14:paraId="2C25AA06">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ascii="宋体" w:hAnsi="宋体" w:cs="宋体"/>
                <w:color w:val="auto"/>
                <w:sz w:val="24"/>
              </w:rPr>
              <w:t>③</w:t>
            </w:r>
            <w:r>
              <w:rPr>
                <w:rFonts w:hint="default"/>
                <w:color w:val="auto"/>
                <w:sz w:val="24"/>
              </w:rPr>
              <w:t>钻进：根据需要进行二开等作业，钻进至目的层。</w:t>
            </w:r>
          </w:p>
          <w:p w14:paraId="345E6955">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ascii="宋体" w:hAnsi="宋体" w:cs="宋体"/>
                <w:color w:val="auto"/>
                <w:sz w:val="24"/>
              </w:rPr>
              <w:t>④</w:t>
            </w:r>
            <w:r>
              <w:rPr>
                <w:rFonts w:hint="default"/>
                <w:color w:val="auto"/>
                <w:sz w:val="24"/>
              </w:rPr>
              <w:t>录井：在钻进过程中，用岩矿分析、地球化学、地球物理等方法，观察、采集、记录、分析随钻过程中的固体、液体等井筒返出物信息，以此建立录井地质剖面、发现油气显示、评价油气层。</w:t>
            </w:r>
          </w:p>
          <w:p w14:paraId="49BF580E">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ascii="宋体" w:hAnsi="宋体" w:cs="宋体"/>
                <w:color w:val="auto"/>
                <w:sz w:val="24"/>
              </w:rPr>
              <w:t>⑤</w:t>
            </w:r>
            <w:r>
              <w:rPr>
                <w:rFonts w:hint="default"/>
                <w:color w:val="auto"/>
                <w:sz w:val="24"/>
              </w:rPr>
              <w:t>测井：根据地质需要，选用适合的测井项目对钻开地层进行电测，最终根据电测曲线了解地层的特征及地层含油、气情况。</w:t>
            </w:r>
          </w:p>
          <w:p w14:paraId="382FF77B">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lang w:eastAsia="zh-CN"/>
              </w:rPr>
              <w:t>本工程</w:t>
            </w:r>
            <w:r>
              <w:rPr>
                <w:rFonts w:hint="default"/>
                <w:color w:val="auto"/>
                <w:sz w:val="24"/>
              </w:rPr>
              <w:t>采用Eclips5700以上组合测井系列，对全井段进行电传测井，Eclips5700测井属电</w:t>
            </w:r>
            <w:r>
              <w:rPr>
                <w:rFonts w:hint="default"/>
                <w:color w:val="auto"/>
                <w:sz w:val="24"/>
                <w:highlight w:val="none"/>
              </w:rPr>
              <w:t>传型</w:t>
            </w:r>
            <w:r>
              <w:rPr>
                <w:rFonts w:hint="default"/>
                <w:color w:val="auto"/>
                <w:sz w:val="24"/>
              </w:rPr>
              <w:t>号成像测井系统，分为地面装备（井下电传信号收集设备、计算机分析终端组成）、电缆（500kb/s传输速率电缆）、井下仪器（地层微电阻率扫描、偶极横波声波、超声波成像仪、地震成像、地层动态检测仪、方位电阻率成像、核孔隙度岩性仪、自然伽马测井、阵列声波等）。</w:t>
            </w:r>
          </w:p>
          <w:p w14:paraId="0432AA3C">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ascii="宋体" w:hAnsi="宋体" w:cs="宋体"/>
                <w:color w:val="auto"/>
                <w:sz w:val="24"/>
              </w:rPr>
              <w:t>⑥</w:t>
            </w:r>
            <w:r>
              <w:rPr>
                <w:rFonts w:hint="default"/>
                <w:color w:val="auto"/>
                <w:sz w:val="24"/>
              </w:rPr>
              <w:t>完钻固井</w:t>
            </w:r>
          </w:p>
          <w:p w14:paraId="17D84A40">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rPr>
              <w:t>固井工程包括下套管和注水泥两个过程。下套管就是在已经钻成的井眼中按规定深度下入一定规格的套管柱。固井作业的主要设备有水泥搅拌机、下灰罐车、混合漏斗和其他附属安全</w:t>
            </w:r>
            <w:r>
              <w:rPr>
                <w:rFonts w:hint="eastAsia"/>
                <w:color w:val="auto"/>
                <w:sz w:val="24"/>
                <w:highlight w:val="none"/>
              </w:rPr>
              <w:t>放</w:t>
            </w:r>
            <w:r>
              <w:rPr>
                <w:rFonts w:hint="eastAsia"/>
                <w:color w:val="auto"/>
                <w:sz w:val="24"/>
              </w:rPr>
              <w:t>喷设备等。循环处理泥浆（降低泥浆密度至固井需要泥浆密度）；召开固井现场施工会议；注入前置液（本区块为清水）；注入所需用量及合适密度的水泥浆；注入顶</w:t>
            </w:r>
            <w:r>
              <w:rPr>
                <w:rFonts w:hint="eastAsia"/>
                <w:color w:val="auto"/>
                <w:sz w:val="24"/>
                <w:highlight w:val="none"/>
              </w:rPr>
              <w:t>替液</w:t>
            </w:r>
            <w:r>
              <w:rPr>
                <w:rFonts w:hint="eastAsia"/>
                <w:color w:val="auto"/>
                <w:sz w:val="24"/>
              </w:rPr>
              <w:t>（本区块为清水）至碰压；碰压合格后，适当憋压核对数据后固井完成。固井过程中不产生污染物。</w:t>
            </w:r>
          </w:p>
          <w:p w14:paraId="58CF69C1">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rPr>
              <w:t>完钻固井</w:t>
            </w:r>
            <w:r>
              <w:rPr>
                <w:rFonts w:hint="default"/>
                <w:color w:val="auto"/>
                <w:sz w:val="24"/>
              </w:rPr>
              <w:t>采用单级固井，根据地质要求确定水泥返高</w:t>
            </w:r>
            <w:r>
              <w:rPr>
                <w:rFonts w:hint="eastAsia"/>
                <w:color w:val="auto"/>
                <w:sz w:val="24"/>
              </w:rPr>
              <w:t>，</w:t>
            </w:r>
            <w:r>
              <w:rPr>
                <w:rFonts w:hint="default"/>
                <w:color w:val="auto"/>
                <w:sz w:val="24"/>
              </w:rPr>
              <w:t>确保盖层等重点井段固井质量</w:t>
            </w:r>
            <w:r>
              <w:rPr>
                <w:rFonts w:hint="eastAsia"/>
                <w:color w:val="auto"/>
                <w:sz w:val="24"/>
              </w:rPr>
              <w:t>。完钻固井</w:t>
            </w:r>
            <w:r>
              <w:rPr>
                <w:rFonts w:hint="default"/>
                <w:color w:val="auto"/>
                <w:sz w:val="24"/>
              </w:rPr>
              <w:t>采用1.85</w:t>
            </w:r>
            <w:r>
              <w:rPr>
                <w:rFonts w:hint="default"/>
                <w:color w:val="auto"/>
                <w:sz w:val="24"/>
                <w:highlight w:val="none"/>
              </w:rPr>
              <w:t>-</w:t>
            </w:r>
            <w:r>
              <w:rPr>
                <w:rFonts w:hint="default"/>
                <w:color w:val="auto"/>
                <w:sz w:val="24"/>
              </w:rPr>
              <w:t>1.90g/cm</w:t>
            </w:r>
            <w:r>
              <w:rPr>
                <w:rFonts w:hint="default"/>
                <w:color w:val="auto"/>
                <w:sz w:val="24"/>
                <w:vertAlign w:val="superscript"/>
              </w:rPr>
              <w:t>3</w:t>
            </w:r>
            <w:r>
              <w:rPr>
                <w:rFonts w:hint="eastAsia"/>
                <w:color w:val="auto"/>
                <w:sz w:val="24"/>
              </w:rPr>
              <w:t>的双密双凝韧性防窜水泥浆体系，目的是封隔疏松、易塌、易漏地层；封隔油、气、水层，防止互相窜漏；</w:t>
            </w:r>
            <w:r>
              <w:rPr>
                <w:rFonts w:hint="default"/>
                <w:color w:val="auto"/>
                <w:sz w:val="24"/>
              </w:rPr>
              <w:t>安装井口</w:t>
            </w:r>
            <w:r>
              <w:rPr>
                <w:rFonts w:hint="eastAsia"/>
                <w:color w:val="auto"/>
                <w:sz w:val="24"/>
              </w:rPr>
              <w:t>设备</w:t>
            </w:r>
            <w:r>
              <w:rPr>
                <w:rFonts w:hint="default"/>
                <w:color w:val="auto"/>
                <w:sz w:val="24"/>
              </w:rPr>
              <w:t>，形成油气通道</w:t>
            </w:r>
            <w:r>
              <w:rPr>
                <w:rFonts w:hint="eastAsia"/>
                <w:color w:val="auto"/>
                <w:sz w:val="24"/>
              </w:rPr>
              <w:t>，</w:t>
            </w:r>
            <w:r>
              <w:rPr>
                <w:rFonts w:hint="default"/>
                <w:color w:val="auto"/>
                <w:sz w:val="24"/>
              </w:rPr>
              <w:t>以利于</w:t>
            </w:r>
            <w:r>
              <w:rPr>
                <w:rFonts w:hint="eastAsia"/>
                <w:color w:val="auto"/>
                <w:sz w:val="24"/>
              </w:rPr>
              <w:t>后续</w:t>
            </w:r>
            <w:r>
              <w:rPr>
                <w:rFonts w:hint="default"/>
                <w:color w:val="auto"/>
                <w:sz w:val="24"/>
              </w:rPr>
              <w:t>生产。</w:t>
            </w:r>
          </w:p>
          <w:p w14:paraId="5744F0C5">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lang w:eastAsia="zh-CN"/>
              </w:rPr>
              <w:t>钻井工程时</w:t>
            </w:r>
            <w:r>
              <w:rPr>
                <w:rFonts w:hint="eastAsia"/>
                <w:color w:val="auto"/>
                <w:sz w:val="24"/>
              </w:rPr>
              <w:t>废气污染源主要为施工扬尘</w:t>
            </w:r>
            <w:r>
              <w:rPr>
                <w:rFonts w:hint="eastAsia"/>
                <w:color w:val="auto"/>
                <w:sz w:val="24"/>
                <w:lang w:eastAsia="zh-CN"/>
              </w:rPr>
              <w:t>、柴油发电机废气、柴油罐挥发废气</w:t>
            </w:r>
            <w:r>
              <w:rPr>
                <w:rFonts w:hint="eastAsia"/>
                <w:color w:val="auto"/>
                <w:sz w:val="24"/>
              </w:rPr>
              <w:t>。井场设置专用洒水泵定期洒水防尘，降低扬尘的产生量，从源头上降低施工扬尘对环境空气质量和敏感点的影响。</w:t>
            </w:r>
          </w:p>
          <w:p w14:paraId="7A94096C">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lang w:eastAsia="zh-CN"/>
              </w:rPr>
              <w:t>钻井工程时</w:t>
            </w:r>
            <w:r>
              <w:rPr>
                <w:rFonts w:hint="eastAsia"/>
                <w:color w:val="auto"/>
                <w:sz w:val="24"/>
              </w:rPr>
              <w:t>废水污染源主要为钻井废水和生活污水，</w:t>
            </w:r>
            <w:r>
              <w:rPr>
                <w:rFonts w:hint="eastAsia"/>
                <w:color w:val="auto"/>
                <w:sz w:val="24"/>
                <w:lang w:val="en-US" w:eastAsia="zh-CN"/>
              </w:rPr>
              <w:t>井场设置环保厕所，生活污水排入环保厕所，定期清掏</w:t>
            </w:r>
            <w:r>
              <w:rPr>
                <w:rFonts w:hint="eastAsia"/>
                <w:color w:val="auto"/>
                <w:sz w:val="24"/>
              </w:rPr>
              <w:t>。钻井泥浆经泥浆不落地工艺系统处理，破胶脱稳后进行固液分离，废水收集至可移动废水罐临时贮存，由罐车拉运至吉兰泰联合站采出水处理系统，处理达标后回注。</w:t>
            </w:r>
          </w:p>
          <w:p w14:paraId="18CCFE80">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lang w:eastAsia="zh-CN"/>
              </w:rPr>
              <w:t>钻井工程时</w:t>
            </w:r>
            <w:r>
              <w:rPr>
                <w:rFonts w:hint="eastAsia"/>
                <w:color w:val="auto"/>
                <w:sz w:val="24"/>
              </w:rPr>
              <w:t>噪声污染源主要为泥浆泵及钻机</w:t>
            </w:r>
            <w:r>
              <w:rPr>
                <w:rFonts w:hint="eastAsia"/>
                <w:color w:val="auto"/>
                <w:sz w:val="24"/>
                <w:lang w:eastAsia="zh-CN"/>
              </w:rPr>
              <w:t>等机械</w:t>
            </w:r>
            <w:r>
              <w:rPr>
                <w:rFonts w:hint="eastAsia"/>
                <w:color w:val="auto"/>
                <w:sz w:val="24"/>
              </w:rPr>
              <w:t>噪声，选用低噪声设备，进行基础减振；避免高噪声设备同时施工，合理布置、安排时间合理施工，维护设备正常运行。</w:t>
            </w:r>
          </w:p>
          <w:p w14:paraId="72A007A0">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lang w:eastAsia="zh-CN"/>
              </w:rPr>
              <w:t>钻井工程时</w:t>
            </w:r>
            <w:r>
              <w:rPr>
                <w:rFonts w:hint="eastAsia"/>
                <w:color w:val="auto"/>
                <w:sz w:val="24"/>
              </w:rPr>
              <w:t>固体废物主要为钻井固相废弃物（钻井岩屑、钻井泥浆）、落地油（事故状态）和生活垃圾。井场设置垃圾桶，生活垃圾集中收集后，委托当地环卫部门处置；本项目钻井过程中使用水基钻井泥浆，采用“钻井泥浆不落地工艺”</w:t>
            </w:r>
            <w:r>
              <w:rPr>
                <w:rFonts w:hint="eastAsia"/>
                <w:color w:val="auto"/>
                <w:sz w:val="24"/>
                <w:lang w:eastAsia="zh-CN"/>
              </w:rPr>
              <w:t>处理后，泥饼（废弃钻井泥浆、岩屑）</w:t>
            </w:r>
            <w:r>
              <w:rPr>
                <w:rFonts w:hint="eastAsia"/>
                <w:color w:val="auto"/>
                <w:sz w:val="24"/>
              </w:rPr>
              <w:t>属于Ⅱ类一般工业固体废物，运至</w:t>
            </w:r>
            <w:r>
              <w:rPr>
                <w:rFonts w:hint="eastAsia"/>
                <w:color w:val="auto"/>
                <w:sz w:val="24"/>
                <w:lang w:eastAsia="zh-CN"/>
              </w:rPr>
              <w:t>内蒙古联源热电有限公司固废处置场</w:t>
            </w:r>
            <w:r>
              <w:rPr>
                <w:rFonts w:hint="eastAsia"/>
                <w:color w:val="auto"/>
                <w:sz w:val="24"/>
              </w:rPr>
              <w:t>填埋。若遇特殊情况不能及时清运时，暂存于固废暂存区，上部用苫布遮盖；落地油（事故状态下）和废机油暂存于</w:t>
            </w:r>
            <w:r>
              <w:rPr>
                <w:rFonts w:hint="eastAsia"/>
                <w:color w:val="auto"/>
                <w:sz w:val="24"/>
                <w:lang w:eastAsia="zh-CN"/>
              </w:rPr>
              <w:t>井场危废贮存点暂存</w:t>
            </w:r>
            <w:r>
              <w:rPr>
                <w:rFonts w:hint="eastAsia"/>
                <w:color w:val="auto"/>
                <w:sz w:val="24"/>
              </w:rPr>
              <w:t>，定期交由有资质单位处置。</w:t>
            </w:r>
          </w:p>
          <w:p w14:paraId="7451C2B4">
            <w:pPr>
              <w:keepNext w:val="0"/>
              <w:keepLines w:val="0"/>
              <w:suppressLineNumbers w:val="0"/>
              <w:spacing w:before="0" w:beforeAutospacing="0" w:after="0" w:afterAutospacing="0" w:line="360" w:lineRule="auto"/>
              <w:ind w:left="0" w:right="0" w:firstLine="482" w:firstLineChars="200"/>
              <w:rPr>
                <w:rFonts w:hint="default"/>
                <w:b/>
                <w:bCs/>
                <w:color w:val="auto"/>
                <w:sz w:val="24"/>
              </w:rPr>
            </w:pPr>
            <w:r>
              <w:rPr>
                <w:rFonts w:hint="eastAsia"/>
                <w:b/>
                <w:bCs/>
                <w:color w:val="auto"/>
                <w:sz w:val="24"/>
              </w:rPr>
              <w:t>三、试油工程</w:t>
            </w:r>
          </w:p>
          <w:p w14:paraId="1725224E">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rPr>
              <w:t>勘探井的井下作业是进行生产前的重要手段之一，主要包括射孔、下泵、试油等。</w:t>
            </w:r>
          </w:p>
          <w:p w14:paraId="477826E6">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rPr>
              <w:t>试油队在地面安装试油架，打开井口，利用射孔枪对目的层进行射孔，射孔的目的是建立地层和井筒的连通。射孔管柱至预定位置，使射孔枪对准目的层，进行射孔操作。射孔弹穿油层套管、水泥环并穿透油层一定深度，从而建立起油（气）流的通道。射孔后从下往上试油（两目的层之间安装封隔器），如果油井自喷，则安装油嘴，将出油（水、气）输送至地面；如果油井不能自喷，在井下安装抽吸泵，将井筒内的流体输送地面。</w:t>
            </w:r>
          </w:p>
          <w:p w14:paraId="5239DCE2">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lang w:eastAsia="zh-CN"/>
              </w:rPr>
              <w:t>采出液经井场内两相分离处理后，液态</w:t>
            </w:r>
            <w:r>
              <w:rPr>
                <w:rFonts w:hint="eastAsia"/>
                <w:color w:val="auto"/>
                <w:sz w:val="24"/>
              </w:rPr>
              <w:t>在储罐内暂存，气态经管道输送至井口50m外</w:t>
            </w:r>
            <w:r>
              <w:rPr>
                <w:rFonts w:hint="eastAsia"/>
                <w:color w:val="auto"/>
                <w:sz w:val="24"/>
                <w:lang w:eastAsia="zh-CN"/>
              </w:rPr>
              <w:t>放喷装置中</w:t>
            </w:r>
            <w:r>
              <w:rPr>
                <w:rFonts w:hint="eastAsia"/>
                <w:color w:val="auto"/>
                <w:sz w:val="24"/>
              </w:rPr>
              <w:t>的火炬燃烧后排放，火炬装置配套防回火与自动点火装置。根据一段时间内的</w:t>
            </w:r>
            <w:r>
              <w:rPr>
                <w:rFonts w:hint="default"/>
                <w:color w:val="auto"/>
                <w:sz w:val="24"/>
              </w:rPr>
              <w:t>采出量计算油气产量</w:t>
            </w:r>
            <w:r>
              <w:rPr>
                <w:rFonts w:hint="eastAsia"/>
                <w:color w:val="auto"/>
                <w:sz w:val="24"/>
              </w:rPr>
              <w:t>，据此判断是否达到具备转为开发井的石油地质储量要求。</w:t>
            </w:r>
          </w:p>
          <w:p w14:paraId="13842DA8">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rPr>
              <w:t>试油结束后，具有开采价值的井口保留采油树，按照要求办理探井转</w:t>
            </w:r>
            <w:r>
              <w:rPr>
                <w:rFonts w:hint="eastAsia"/>
                <w:color w:val="auto"/>
                <w:sz w:val="24"/>
                <w:highlight w:val="none"/>
              </w:rPr>
              <w:t>产能</w:t>
            </w:r>
            <w:r>
              <w:rPr>
                <w:rFonts w:hint="eastAsia"/>
                <w:color w:val="auto"/>
                <w:sz w:val="24"/>
              </w:rPr>
              <w:t>井手续；无开采价值则拆除试油设备，进行封井作业。试油过程中，由井口接密闭的试</w:t>
            </w:r>
            <w:r>
              <w:rPr>
                <w:rFonts w:hint="eastAsia"/>
                <w:color w:val="auto"/>
                <w:sz w:val="24"/>
                <w:lang w:eastAsia="zh-CN"/>
              </w:rPr>
              <w:t>油管</w:t>
            </w:r>
            <w:r>
              <w:rPr>
                <w:rFonts w:hint="eastAsia"/>
                <w:color w:val="auto"/>
                <w:sz w:val="24"/>
              </w:rPr>
              <w:t>，进入储液罐。整个试油过程中，严禁井筒出来的流体散落到地面。</w:t>
            </w:r>
          </w:p>
          <w:p w14:paraId="2686DE5F">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rPr>
              <w:t>由于本次勘探开发位于新矿区，周围无相应的油田站场，因此</w:t>
            </w:r>
            <w:r>
              <w:rPr>
                <w:rFonts w:hint="eastAsia"/>
                <w:color w:val="auto"/>
                <w:sz w:val="24"/>
                <w:lang w:eastAsia="zh-CN"/>
              </w:rPr>
              <w:t>本工程</w:t>
            </w:r>
            <w:r>
              <w:rPr>
                <w:rFonts w:hint="eastAsia"/>
                <w:color w:val="auto"/>
                <w:sz w:val="24"/>
              </w:rPr>
              <w:t>采出液由油田专用罐车拉运至吉兰泰联合站处理。</w:t>
            </w:r>
          </w:p>
          <w:p w14:paraId="572EEFD2">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lang w:eastAsia="zh-CN"/>
              </w:rPr>
              <w:t>本工程</w:t>
            </w:r>
            <w:r>
              <w:rPr>
                <w:rFonts w:hint="eastAsia"/>
                <w:color w:val="auto"/>
                <w:sz w:val="24"/>
              </w:rPr>
              <w:t>是勘探项目，只进行试采，不涉及注水开采工序。</w:t>
            </w:r>
          </w:p>
          <w:p w14:paraId="350C07EA">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lang w:eastAsia="zh-CN"/>
              </w:rPr>
              <w:t>试油工程时</w:t>
            </w:r>
            <w:r>
              <w:rPr>
                <w:rFonts w:hint="eastAsia"/>
                <w:color w:val="auto"/>
                <w:sz w:val="24"/>
              </w:rPr>
              <w:t>废气污染源主要为</w:t>
            </w:r>
            <w:r>
              <w:rPr>
                <w:rFonts w:hint="eastAsia"/>
                <w:color w:val="auto"/>
                <w:sz w:val="24"/>
                <w:lang w:eastAsia="zh-CN"/>
              </w:rPr>
              <w:t>烃类废气</w:t>
            </w:r>
            <w:r>
              <w:rPr>
                <w:rFonts w:hint="eastAsia"/>
                <w:color w:val="auto"/>
                <w:sz w:val="24"/>
              </w:rPr>
              <w:t>。试油期采出液通过密闭管线进入储液罐，储液罐采用卧式高架防腐贮罐，采用环密技术，防止烃类泄漏。储液罐安装装车鹤管，装车采用浸没式。</w:t>
            </w:r>
          </w:p>
          <w:p w14:paraId="233D4798">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lang w:eastAsia="zh-CN"/>
              </w:rPr>
              <w:t>试油工程时</w:t>
            </w:r>
            <w:r>
              <w:rPr>
                <w:rFonts w:hint="eastAsia"/>
                <w:color w:val="auto"/>
                <w:sz w:val="24"/>
              </w:rPr>
              <w:t>废水污染源主要为生活污水，</w:t>
            </w:r>
            <w:r>
              <w:rPr>
                <w:rFonts w:hint="eastAsia"/>
                <w:color w:val="auto"/>
                <w:sz w:val="24"/>
                <w:lang w:val="en-US" w:eastAsia="zh-CN"/>
              </w:rPr>
              <w:t>井场设置环保厕所，生活污水排入环保厕所，委托当地村民定期清掏。</w:t>
            </w:r>
          </w:p>
          <w:p w14:paraId="3CEE957A">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lang w:eastAsia="zh-CN"/>
              </w:rPr>
              <w:t>试油工程时废</w:t>
            </w:r>
            <w:r>
              <w:rPr>
                <w:rFonts w:hint="eastAsia"/>
                <w:color w:val="auto"/>
                <w:sz w:val="24"/>
              </w:rPr>
              <w:t>噪声污染源主要为</w:t>
            </w:r>
            <w:r>
              <w:rPr>
                <w:rFonts w:hint="eastAsia"/>
                <w:color w:val="auto"/>
                <w:sz w:val="24"/>
                <w:lang w:eastAsia="zh-CN"/>
              </w:rPr>
              <w:t>试油设备</w:t>
            </w:r>
            <w:r>
              <w:rPr>
                <w:rFonts w:hint="eastAsia"/>
                <w:color w:val="auto"/>
                <w:sz w:val="24"/>
              </w:rPr>
              <w:t>噪声，选用低噪声设备，进行基础减振</w:t>
            </w:r>
            <w:r>
              <w:rPr>
                <w:rFonts w:hint="eastAsia"/>
                <w:color w:val="auto"/>
                <w:sz w:val="24"/>
                <w:lang w:eastAsia="zh-CN"/>
              </w:rPr>
              <w:t>，</w:t>
            </w:r>
            <w:r>
              <w:rPr>
                <w:rFonts w:hint="eastAsia"/>
                <w:color w:val="auto"/>
                <w:sz w:val="24"/>
              </w:rPr>
              <w:t>合理布置、安排时间合理施工，维护设备正常运行。</w:t>
            </w:r>
          </w:p>
          <w:p w14:paraId="63B44DFC">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lang w:eastAsia="zh-CN"/>
              </w:rPr>
              <w:t>试油工程时废</w:t>
            </w:r>
            <w:r>
              <w:rPr>
                <w:rFonts w:hint="eastAsia"/>
                <w:color w:val="auto"/>
                <w:sz w:val="24"/>
              </w:rPr>
              <w:t>固体废物主要为生活垃圾。井场设置垃圾桶，生活垃圾集中收集后，委托当地环卫部门处置。</w:t>
            </w:r>
          </w:p>
          <w:p w14:paraId="6E62D6C5">
            <w:pPr>
              <w:keepNext w:val="0"/>
              <w:keepLines w:val="0"/>
              <w:suppressLineNumbers w:val="0"/>
              <w:spacing w:before="0" w:beforeAutospacing="0" w:after="0" w:afterAutospacing="0" w:line="360" w:lineRule="auto"/>
              <w:ind w:left="0" w:right="0" w:firstLine="482" w:firstLineChars="200"/>
              <w:rPr>
                <w:rFonts w:hint="default"/>
                <w:b/>
                <w:color w:val="auto"/>
                <w:sz w:val="24"/>
              </w:rPr>
            </w:pPr>
            <w:r>
              <w:rPr>
                <w:rFonts w:hint="default"/>
                <w:b/>
                <w:color w:val="auto"/>
                <w:sz w:val="24"/>
              </w:rPr>
              <w:t>四、封井作业</w:t>
            </w:r>
          </w:p>
          <w:p w14:paraId="5CDC17F7">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若完井后测算油气产量有经济利用价值，则作为储备井待后续开发，实施临时封井，站场恢复，移交勘探井所在井场所属的采油厂进行管理，后期若利用勘探井从事生产等活动，需另行履行</w:t>
            </w:r>
            <w:r>
              <w:rPr>
                <w:rFonts w:hint="eastAsia"/>
                <w:color w:val="auto"/>
                <w:sz w:val="24"/>
                <w:lang w:eastAsia="zh-CN"/>
              </w:rPr>
              <w:t>环评</w:t>
            </w:r>
            <w:r>
              <w:rPr>
                <w:rFonts w:hint="default"/>
                <w:color w:val="auto"/>
                <w:sz w:val="24"/>
              </w:rPr>
              <w:t>手续；根据勘探结果，若油气显示情况低于最低工业油气流下限，则不具备开采价值，该井进行永久封井，并进行</w:t>
            </w:r>
            <w:r>
              <w:rPr>
                <w:rFonts w:hint="eastAsia"/>
                <w:color w:val="auto"/>
                <w:sz w:val="24"/>
                <w:lang w:eastAsia="zh-CN"/>
              </w:rPr>
              <w:t>井场</w:t>
            </w:r>
            <w:r>
              <w:rPr>
                <w:rFonts w:hint="default"/>
                <w:color w:val="auto"/>
                <w:sz w:val="24"/>
              </w:rPr>
              <w:t>恢复。</w:t>
            </w:r>
          </w:p>
          <w:p w14:paraId="050D7A78">
            <w:pPr>
              <w:keepNext w:val="0"/>
              <w:keepLines w:val="0"/>
              <w:suppressLineNumbers w:val="0"/>
              <w:spacing w:before="0" w:beforeAutospacing="0" w:after="0" w:afterAutospacing="0"/>
              <w:ind w:left="0" w:right="0" w:firstLine="2409" w:firstLineChars="1000"/>
              <w:rPr>
                <w:rFonts w:hint="default"/>
                <w:b/>
                <w:color w:val="auto"/>
                <w:sz w:val="24"/>
              </w:rPr>
            </w:pPr>
            <w:r>
              <w:rPr>
                <w:rFonts w:hint="default"/>
                <w:b/>
                <w:color w:val="auto"/>
                <w:sz w:val="24"/>
              </w:rPr>
              <w:t>表2-</w:t>
            </w:r>
            <w:r>
              <w:rPr>
                <w:rFonts w:hint="eastAsia"/>
                <w:b/>
                <w:color w:val="auto"/>
                <w:sz w:val="24"/>
              </w:rPr>
              <w:t xml:space="preserve">9 </w:t>
            </w:r>
            <w:r>
              <w:rPr>
                <w:rFonts w:hint="default"/>
                <w:b/>
                <w:color w:val="auto"/>
                <w:sz w:val="24"/>
              </w:rPr>
              <w:t xml:space="preserve">最低工业油气流井标准 </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2241"/>
              <w:gridCol w:w="891"/>
              <w:gridCol w:w="1527"/>
              <w:gridCol w:w="1515"/>
              <w:gridCol w:w="1364"/>
              <w:gridCol w:w="832"/>
            </w:tblGrid>
            <w:tr w14:paraId="02E855E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339" w:type="pct"/>
                  <w:vMerge w:val="restart"/>
                  <w:noWrap w:val="0"/>
                  <w:vAlign w:val="center"/>
                </w:tcPr>
                <w:p w14:paraId="617AE46D">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油气地域</w:t>
                  </w:r>
                </w:p>
              </w:tc>
              <w:tc>
                <w:tcPr>
                  <w:tcW w:w="3661" w:type="pct"/>
                  <w:gridSpan w:val="5"/>
                  <w:noWrap w:val="0"/>
                  <w:vAlign w:val="center"/>
                </w:tcPr>
                <w:p w14:paraId="48DDF307">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油气层深度</w:t>
                  </w:r>
                </w:p>
              </w:tc>
            </w:tr>
            <w:tr w14:paraId="329896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339" w:type="pct"/>
                  <w:vMerge w:val="continue"/>
                  <w:noWrap w:val="0"/>
                  <w:vAlign w:val="center"/>
                </w:tcPr>
                <w:p w14:paraId="52C630D5">
                  <w:pPr>
                    <w:keepNext w:val="0"/>
                    <w:keepLines w:val="0"/>
                    <w:suppressLineNumbers w:val="0"/>
                    <w:spacing w:before="0" w:beforeAutospacing="0" w:after="0" w:afterAutospacing="0"/>
                    <w:ind w:left="0" w:right="0"/>
                    <w:jc w:val="center"/>
                    <w:rPr>
                      <w:rFonts w:hint="default"/>
                      <w:color w:val="auto"/>
                      <w:szCs w:val="21"/>
                    </w:rPr>
                  </w:pPr>
                </w:p>
              </w:tc>
              <w:tc>
                <w:tcPr>
                  <w:tcW w:w="532" w:type="pct"/>
                  <w:noWrap w:val="0"/>
                  <w:vAlign w:val="center"/>
                </w:tcPr>
                <w:p w14:paraId="0041DF31">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500-1000</w:t>
                  </w:r>
                </w:p>
              </w:tc>
              <w:tc>
                <w:tcPr>
                  <w:tcW w:w="912" w:type="pct"/>
                  <w:noWrap w:val="0"/>
                  <w:vAlign w:val="center"/>
                </w:tcPr>
                <w:p w14:paraId="58A13257">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highlight w:val="none"/>
                    </w:rPr>
                    <w:t>＞</w:t>
                  </w:r>
                  <w:r>
                    <w:rPr>
                      <w:rFonts w:hint="default"/>
                      <w:color w:val="auto"/>
                      <w:szCs w:val="21"/>
                    </w:rPr>
                    <w:t>1000-2000</w:t>
                  </w:r>
                </w:p>
              </w:tc>
              <w:tc>
                <w:tcPr>
                  <w:tcW w:w="905" w:type="pct"/>
                  <w:noWrap w:val="0"/>
                  <w:vAlign w:val="center"/>
                </w:tcPr>
                <w:p w14:paraId="0E3DC3AD">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highlight w:val="none"/>
                    </w:rPr>
                    <w:t>＞</w:t>
                  </w:r>
                  <w:r>
                    <w:rPr>
                      <w:rFonts w:hint="default"/>
                      <w:color w:val="auto"/>
                      <w:szCs w:val="21"/>
                    </w:rPr>
                    <w:t>2000-3000</w:t>
                  </w:r>
                </w:p>
              </w:tc>
              <w:tc>
                <w:tcPr>
                  <w:tcW w:w="815" w:type="pct"/>
                  <w:noWrap w:val="0"/>
                  <w:vAlign w:val="center"/>
                </w:tcPr>
                <w:p w14:paraId="1CDAF4DB">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highlight w:val="none"/>
                    </w:rPr>
                    <w:t>＞</w:t>
                  </w:r>
                  <w:r>
                    <w:rPr>
                      <w:rFonts w:hint="default"/>
                      <w:color w:val="auto"/>
                      <w:szCs w:val="21"/>
                    </w:rPr>
                    <w:t>3000-4000</w:t>
                  </w:r>
                </w:p>
              </w:tc>
              <w:tc>
                <w:tcPr>
                  <w:tcW w:w="498" w:type="pct"/>
                  <w:noWrap w:val="0"/>
                  <w:vAlign w:val="center"/>
                </w:tcPr>
                <w:p w14:paraId="56140771">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highlight w:val="none"/>
                    </w:rPr>
                    <w:t>＞</w:t>
                  </w:r>
                  <w:r>
                    <w:rPr>
                      <w:rFonts w:hint="default"/>
                      <w:color w:val="auto"/>
                      <w:szCs w:val="21"/>
                    </w:rPr>
                    <w:t>4000</w:t>
                  </w:r>
                </w:p>
              </w:tc>
            </w:tr>
            <w:tr w14:paraId="6FAC52C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339" w:type="pct"/>
                  <w:noWrap w:val="0"/>
                  <w:vAlign w:val="center"/>
                </w:tcPr>
                <w:p w14:paraId="424D2455">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陆地工业油流下限t/d</w:t>
                  </w:r>
                </w:p>
              </w:tc>
              <w:tc>
                <w:tcPr>
                  <w:tcW w:w="532" w:type="pct"/>
                  <w:noWrap w:val="0"/>
                  <w:vAlign w:val="center"/>
                </w:tcPr>
                <w:p w14:paraId="04F2CDB3">
                  <w:pPr>
                    <w:keepNext w:val="0"/>
                    <w:keepLines w:val="0"/>
                    <w:suppressLineNumbers w:val="0"/>
                    <w:spacing w:before="0" w:beforeAutospacing="0" w:after="0" w:afterAutospacing="0"/>
                    <w:ind w:left="0" w:right="0" w:firstLine="210" w:firstLineChars="100"/>
                    <w:rPr>
                      <w:rFonts w:hint="default"/>
                      <w:color w:val="auto"/>
                    </w:rPr>
                  </w:pPr>
                  <w:r>
                    <w:rPr>
                      <w:rFonts w:hint="default"/>
                      <w:color w:val="auto"/>
                    </w:rPr>
                    <w:t>0.5</w:t>
                  </w:r>
                </w:p>
              </w:tc>
              <w:tc>
                <w:tcPr>
                  <w:tcW w:w="912" w:type="pct"/>
                  <w:noWrap w:val="0"/>
                  <w:vAlign w:val="center"/>
                </w:tcPr>
                <w:p w14:paraId="7386C8DA">
                  <w:pPr>
                    <w:keepNext w:val="0"/>
                    <w:keepLines w:val="0"/>
                    <w:suppressLineNumbers w:val="0"/>
                    <w:spacing w:before="0" w:beforeAutospacing="0" w:after="0" w:afterAutospacing="0"/>
                    <w:ind w:left="0" w:right="0"/>
                    <w:jc w:val="center"/>
                    <w:rPr>
                      <w:rFonts w:hint="default"/>
                      <w:color w:val="auto"/>
                    </w:rPr>
                  </w:pPr>
                  <w:r>
                    <w:rPr>
                      <w:rFonts w:hint="default"/>
                      <w:color w:val="auto"/>
                    </w:rPr>
                    <w:t>1.0</w:t>
                  </w:r>
                </w:p>
              </w:tc>
              <w:tc>
                <w:tcPr>
                  <w:tcW w:w="905" w:type="pct"/>
                  <w:noWrap w:val="0"/>
                  <w:vAlign w:val="center"/>
                </w:tcPr>
                <w:p w14:paraId="6F585D96">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3.0</w:t>
                  </w:r>
                </w:p>
              </w:tc>
              <w:tc>
                <w:tcPr>
                  <w:tcW w:w="815" w:type="pct"/>
                  <w:noWrap w:val="0"/>
                  <w:vAlign w:val="center"/>
                </w:tcPr>
                <w:p w14:paraId="26879021">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5.0</w:t>
                  </w:r>
                </w:p>
              </w:tc>
              <w:tc>
                <w:tcPr>
                  <w:tcW w:w="498" w:type="pct"/>
                  <w:noWrap w:val="0"/>
                  <w:vAlign w:val="center"/>
                </w:tcPr>
                <w:p w14:paraId="1B25F669">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10</w:t>
                  </w:r>
                  <w:r>
                    <w:rPr>
                      <w:rFonts w:hint="eastAsia"/>
                      <w:color w:val="auto"/>
                      <w:szCs w:val="21"/>
                    </w:rPr>
                    <w:t>.0</w:t>
                  </w:r>
                </w:p>
              </w:tc>
            </w:tr>
          </w:tbl>
          <w:p w14:paraId="1A36310B">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rPr>
              <w:t>1、</w:t>
            </w:r>
            <w:r>
              <w:rPr>
                <w:rFonts w:hint="default"/>
                <w:color w:val="auto"/>
                <w:sz w:val="24"/>
              </w:rPr>
              <w:t>临时封井工艺：</w:t>
            </w:r>
          </w:p>
          <w:p w14:paraId="76542DB5">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1）</w:t>
            </w:r>
            <w:r>
              <w:rPr>
                <w:rFonts w:hint="eastAsia"/>
                <w:color w:val="auto"/>
                <w:sz w:val="24"/>
              </w:rPr>
              <w:t>处理井口，刮削井筒。</w:t>
            </w:r>
          </w:p>
          <w:p w14:paraId="523035F0">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default"/>
                <w:color w:val="auto"/>
                <w:sz w:val="24"/>
              </w:rPr>
              <w:t>2）</w:t>
            </w:r>
            <w:r>
              <w:rPr>
                <w:rFonts w:hint="eastAsia"/>
                <w:color w:val="auto"/>
                <w:sz w:val="24"/>
              </w:rPr>
              <w:t>井下采用封井器封井</w:t>
            </w:r>
            <w:r>
              <w:rPr>
                <w:rFonts w:hint="default"/>
                <w:color w:val="auto"/>
                <w:sz w:val="24"/>
              </w:rPr>
              <w:t>。</w:t>
            </w:r>
          </w:p>
          <w:p w14:paraId="7380F66F">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3）</w:t>
            </w:r>
            <w:r>
              <w:rPr>
                <w:rFonts w:hint="eastAsia"/>
                <w:color w:val="auto"/>
                <w:sz w:val="24"/>
              </w:rPr>
              <w:t>检查封井气密性，所封油井必须达到井口各部紧固、不渗不漏、套管、总阀门、螺栓齐全</w:t>
            </w:r>
            <w:r>
              <w:rPr>
                <w:rFonts w:hint="default"/>
                <w:color w:val="auto"/>
                <w:sz w:val="24"/>
              </w:rPr>
              <w:t>。</w:t>
            </w:r>
          </w:p>
          <w:p w14:paraId="6A117624">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rPr>
              <w:t>4）封井结束后，拆除井口，安装单流凡尔，单流凡尔外安装5</w:t>
            </w:r>
            <w:r>
              <w:rPr>
                <w:rFonts w:hint="eastAsia"/>
                <w:color w:val="auto"/>
                <w:sz w:val="24"/>
                <w:highlight w:val="none"/>
              </w:rPr>
              <w:t>-</w:t>
            </w:r>
            <w:r>
              <w:rPr>
                <w:rFonts w:hint="eastAsia"/>
                <w:color w:val="auto"/>
                <w:sz w:val="24"/>
              </w:rPr>
              <w:t>8mm钢板焊成的护罩，护罩内壁和单流凡尔之间要有一定的间隙，护罩形状</w:t>
            </w:r>
            <w:r>
              <w:rPr>
                <w:rFonts w:hint="eastAsia"/>
                <w:color w:val="auto"/>
                <w:sz w:val="24"/>
                <w:lang w:eastAsia="zh-CN"/>
              </w:rPr>
              <w:t>为方形</w:t>
            </w:r>
            <w:r>
              <w:rPr>
                <w:rFonts w:hint="eastAsia"/>
                <w:color w:val="auto"/>
                <w:sz w:val="24"/>
              </w:rPr>
              <w:t>或圆形，护罩外壁和顶面要点焊井号。</w:t>
            </w:r>
          </w:p>
          <w:p w14:paraId="75EE8C8B">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5）护罩外灌注钢筋水泥井口护墩，护墩钢筋骨架网直径58cm，用直径5mm的钢条</w:t>
            </w:r>
            <w:r>
              <w:rPr>
                <w:rFonts w:hint="default"/>
                <w:color w:val="auto"/>
                <w:sz w:val="24"/>
                <w:highlight w:val="none"/>
              </w:rPr>
              <w:t>编制</w:t>
            </w:r>
            <w:r>
              <w:rPr>
                <w:rFonts w:hint="default"/>
                <w:color w:val="auto"/>
                <w:sz w:val="24"/>
              </w:rPr>
              <w:t>，密度为5cm×5cm×5cm。</w:t>
            </w:r>
          </w:p>
          <w:p w14:paraId="6C1236EA">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default"/>
                <w:color w:val="auto"/>
                <w:sz w:val="24"/>
              </w:rPr>
              <w:t>6）护墩外表应为光滑水泥面的圆柱体，自地面以下80cm起到地面以上80cm止，直径60cm，顶面</w:t>
            </w:r>
            <w:r>
              <w:rPr>
                <w:rFonts w:hint="default"/>
                <w:color w:val="auto"/>
                <w:sz w:val="24"/>
                <w:highlight w:val="none"/>
              </w:rPr>
              <w:t>有清晰</w:t>
            </w:r>
            <w:r>
              <w:rPr>
                <w:rFonts w:hint="eastAsia"/>
                <w:color w:val="auto"/>
                <w:sz w:val="24"/>
                <w:highlight w:val="none"/>
                <w:lang w:eastAsia="zh-CN"/>
              </w:rPr>
              <w:t>地</w:t>
            </w:r>
            <w:r>
              <w:rPr>
                <w:rFonts w:hint="default"/>
                <w:color w:val="auto"/>
                <w:sz w:val="24"/>
              </w:rPr>
              <w:t>刻印刷漆的红色井号</w:t>
            </w:r>
            <w:r>
              <w:rPr>
                <w:rFonts w:hint="eastAsia"/>
                <w:color w:val="auto"/>
                <w:sz w:val="24"/>
                <w:lang w:eastAsia="zh-CN"/>
              </w:rPr>
              <w:t>标识</w:t>
            </w:r>
            <w:r>
              <w:rPr>
                <w:rFonts w:hint="default"/>
                <w:color w:val="auto"/>
                <w:sz w:val="24"/>
              </w:rPr>
              <w:t>，四周应标明</w:t>
            </w:r>
            <w:r>
              <w:rPr>
                <w:rFonts w:hint="eastAsia"/>
                <w:color w:val="auto"/>
                <w:sz w:val="24"/>
              </w:rPr>
              <w:t>“</w:t>
            </w:r>
            <w:r>
              <w:rPr>
                <w:rFonts w:hint="default"/>
                <w:color w:val="auto"/>
                <w:sz w:val="24"/>
              </w:rPr>
              <w:t>危险勿动！</w:t>
            </w:r>
            <w:r>
              <w:rPr>
                <w:rFonts w:hint="eastAsia"/>
                <w:color w:val="auto"/>
                <w:sz w:val="24"/>
              </w:rPr>
              <w:t>”</w:t>
            </w:r>
            <w:r>
              <w:rPr>
                <w:rFonts w:hint="default"/>
                <w:color w:val="auto"/>
                <w:sz w:val="24"/>
              </w:rPr>
              <w:t>的字样。移交勘探井所在井场归属</w:t>
            </w:r>
            <w:r>
              <w:rPr>
                <w:rFonts w:hint="eastAsia"/>
                <w:color w:val="auto"/>
                <w:sz w:val="24"/>
                <w:lang w:eastAsia="zh-CN"/>
              </w:rPr>
              <w:t>地</w:t>
            </w:r>
            <w:r>
              <w:rPr>
                <w:rFonts w:hint="default"/>
                <w:color w:val="auto"/>
                <w:sz w:val="24"/>
              </w:rPr>
              <w:t>采油厂管理，采油厂对勘探井定期巡视。若后续利用该勘探井从事生产活动，需另行履行</w:t>
            </w:r>
            <w:r>
              <w:rPr>
                <w:rFonts w:hint="eastAsia"/>
                <w:color w:val="auto"/>
                <w:sz w:val="24"/>
                <w:lang w:eastAsia="zh-CN"/>
              </w:rPr>
              <w:t>环评</w:t>
            </w:r>
            <w:r>
              <w:rPr>
                <w:rFonts w:hint="default"/>
                <w:color w:val="auto"/>
                <w:sz w:val="24"/>
              </w:rPr>
              <w:t>手续。</w:t>
            </w:r>
          </w:p>
          <w:p w14:paraId="17D899A2">
            <w:pPr>
              <w:keepNext w:val="0"/>
              <w:keepLines w:val="0"/>
              <w:suppressLineNumbers w:val="0"/>
              <w:spacing w:before="0" w:beforeAutospacing="0" w:after="0" w:afterAutospacing="0" w:line="360" w:lineRule="auto"/>
              <w:ind w:left="0" w:right="0"/>
              <w:jc w:val="center"/>
              <w:rPr>
                <w:rFonts w:hint="default"/>
                <w:color w:val="auto"/>
                <w:sz w:val="24"/>
              </w:rPr>
            </w:pPr>
            <w:r>
              <w:rPr>
                <w:rFonts w:hint="default"/>
                <w:color w:val="auto"/>
                <w:szCs w:val="20"/>
              </w:rPr>
              <w:drawing>
                <wp:inline distT="0" distB="0" distL="114300" distR="114300">
                  <wp:extent cx="3314065" cy="2232660"/>
                  <wp:effectExtent l="0" t="0" r="635" b="15240"/>
                  <wp:docPr id="120" name="图片 38"/>
                  <wp:cNvGraphicFramePr/>
                  <a:graphic xmlns:a="http://schemas.openxmlformats.org/drawingml/2006/main">
                    <a:graphicData uri="http://schemas.openxmlformats.org/drawingml/2006/picture">
                      <pic:pic xmlns:pic="http://schemas.openxmlformats.org/drawingml/2006/picture">
                        <pic:nvPicPr>
                          <pic:cNvPr id="120" name="图片 38"/>
                          <pic:cNvPicPr/>
                        </pic:nvPicPr>
                        <pic:blipFill>
                          <a:blip r:embed="rId20"/>
                          <a:srcRect t="8279"/>
                          <a:stretch>
                            <a:fillRect/>
                          </a:stretch>
                        </pic:blipFill>
                        <pic:spPr>
                          <a:xfrm>
                            <a:off x="0" y="0"/>
                            <a:ext cx="3314065" cy="2232660"/>
                          </a:xfrm>
                          <a:prstGeom prst="rect">
                            <a:avLst/>
                          </a:prstGeom>
                          <a:noFill/>
                          <a:ln>
                            <a:noFill/>
                          </a:ln>
                        </pic:spPr>
                      </pic:pic>
                    </a:graphicData>
                  </a:graphic>
                </wp:inline>
              </w:drawing>
            </w:r>
          </w:p>
          <w:p w14:paraId="26D69415">
            <w:pPr>
              <w:keepNext w:val="0"/>
              <w:keepLines w:val="0"/>
              <w:suppressLineNumbers w:val="0"/>
              <w:spacing w:before="0" w:beforeAutospacing="0" w:after="0" w:afterAutospacing="0"/>
              <w:ind w:left="0" w:right="0"/>
              <w:jc w:val="center"/>
              <w:rPr>
                <w:rFonts w:hint="default"/>
                <w:b/>
                <w:color w:val="auto"/>
                <w:sz w:val="24"/>
              </w:rPr>
            </w:pPr>
            <w:r>
              <w:rPr>
                <w:rFonts w:hint="default"/>
                <w:b/>
                <w:color w:val="auto"/>
                <w:sz w:val="24"/>
              </w:rPr>
              <w:t>图2-</w:t>
            </w:r>
            <w:r>
              <w:rPr>
                <w:rFonts w:hint="eastAsia"/>
                <w:b/>
                <w:color w:val="auto"/>
                <w:sz w:val="24"/>
              </w:rPr>
              <w:t>11</w:t>
            </w:r>
            <w:r>
              <w:rPr>
                <w:rFonts w:hint="default"/>
                <w:b/>
                <w:color w:val="auto"/>
                <w:sz w:val="24"/>
              </w:rPr>
              <w:t xml:space="preserve"> 临时封井示意图</w:t>
            </w:r>
          </w:p>
          <w:p w14:paraId="0608E5D1">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rPr>
              <w:t>2、</w:t>
            </w:r>
            <w:r>
              <w:rPr>
                <w:rFonts w:hint="default"/>
                <w:color w:val="auto"/>
                <w:sz w:val="24"/>
              </w:rPr>
              <w:t>永久封井工艺：</w:t>
            </w:r>
          </w:p>
          <w:p w14:paraId="61289FF7">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rPr>
              <w:t>完成录井、测井、井下资料收集后，若不具有开发价值的工业油流则进行封井作业。要求所有关键性层段之间应隔离开。主要包括以下主要工作：</w:t>
            </w:r>
            <w:r>
              <w:rPr>
                <w:rFonts w:hint="eastAsia" w:ascii="宋体" w:hAnsi="宋体"/>
                <w:color w:val="auto"/>
                <w:sz w:val="24"/>
              </w:rPr>
              <w:t>①</w:t>
            </w:r>
            <w:r>
              <w:rPr>
                <w:rFonts w:hint="eastAsia"/>
                <w:color w:val="auto"/>
                <w:sz w:val="24"/>
              </w:rPr>
              <w:t>隔离各个油气层和处理废水的层段，并在最下部淡水层的底部打一个水泥塞；</w:t>
            </w:r>
            <w:r>
              <w:rPr>
                <w:rFonts w:hint="eastAsia" w:ascii="宋体" w:hAnsi="宋体"/>
                <w:color w:val="auto"/>
                <w:sz w:val="24"/>
              </w:rPr>
              <w:t>②</w:t>
            </w:r>
            <w:r>
              <w:rPr>
                <w:rFonts w:hint="eastAsia"/>
                <w:color w:val="auto"/>
                <w:sz w:val="24"/>
              </w:rPr>
              <w:t>打地表水泥塞，阻止地面水渗入井内，并流入淡水层，同时限制</w:t>
            </w:r>
            <w:r>
              <w:rPr>
                <w:rFonts w:hint="eastAsia"/>
                <w:color w:val="auto"/>
                <w:sz w:val="24"/>
                <w:lang w:eastAsia="zh-CN"/>
              </w:rPr>
              <w:t>井</w:t>
            </w:r>
            <w:r>
              <w:rPr>
                <w:rFonts w:hint="eastAsia"/>
                <w:color w:val="auto"/>
                <w:sz w:val="24"/>
              </w:rPr>
              <w:t>内流体流出地表，从而保护土壤；</w:t>
            </w:r>
            <w:r>
              <w:rPr>
                <w:rFonts w:hint="eastAsia" w:ascii="宋体" w:hAnsi="宋体"/>
                <w:color w:val="auto"/>
                <w:sz w:val="24"/>
              </w:rPr>
              <w:t>③</w:t>
            </w:r>
            <w:r>
              <w:rPr>
                <w:rFonts w:hint="eastAsia"/>
                <w:color w:val="auto"/>
                <w:sz w:val="24"/>
              </w:rPr>
              <w:t>为防止层间窜流干扰邻近井的开发，在废弃井井内选择水泥塞或桥塞的位置，要确保隔离开已确认有生产能力的油气层和注水层，使井内所有注采井段都被隔离开，将油气限制在各自的层段内，阻止各层之间的井内</w:t>
            </w:r>
            <w:r>
              <w:rPr>
                <w:rFonts w:hint="eastAsia"/>
                <w:color w:val="auto"/>
                <w:sz w:val="24"/>
                <w:highlight w:val="none"/>
              </w:rPr>
              <w:t>窜流</w:t>
            </w:r>
            <w:r>
              <w:rPr>
                <w:rFonts w:hint="eastAsia"/>
                <w:color w:val="auto"/>
                <w:sz w:val="24"/>
              </w:rPr>
              <w:t>；</w:t>
            </w:r>
            <w:r>
              <w:rPr>
                <w:rFonts w:hint="eastAsia" w:ascii="宋体" w:hAnsi="宋体"/>
                <w:color w:val="auto"/>
                <w:sz w:val="24"/>
              </w:rPr>
              <w:t>④</w:t>
            </w:r>
            <w:r>
              <w:rPr>
                <w:rFonts w:hint="eastAsia"/>
                <w:color w:val="auto"/>
                <w:sz w:val="24"/>
              </w:rPr>
              <w:t>恢复地貌，去掉井口装置和割掉一定深度以上的表层套管，并使废弃井和土地使用的矛盾最小化，并在井口位置处安装可供识别的标志，加以保护，防止人为破坏。</w:t>
            </w:r>
          </w:p>
          <w:p w14:paraId="0B247E9B">
            <w:pPr>
              <w:keepNext w:val="0"/>
              <w:keepLines w:val="0"/>
              <w:suppressLineNumbers w:val="0"/>
              <w:spacing w:before="0" w:beforeAutospacing="0" w:after="0" w:afterAutospacing="0" w:line="360" w:lineRule="auto"/>
              <w:ind w:left="0" w:right="0" w:firstLine="2" w:firstLineChars="1"/>
              <w:jc w:val="center"/>
              <w:rPr>
                <w:rFonts w:hint="default"/>
                <w:color w:val="auto"/>
                <w:sz w:val="24"/>
              </w:rPr>
            </w:pPr>
            <w:r>
              <w:rPr>
                <w:rFonts w:hint="default"/>
                <w:color w:val="auto"/>
                <w:szCs w:val="20"/>
              </w:rPr>
              <w:drawing>
                <wp:inline distT="0" distB="0" distL="114300" distR="114300">
                  <wp:extent cx="3816985" cy="2204720"/>
                  <wp:effectExtent l="0" t="0" r="12065" b="5080"/>
                  <wp:docPr id="1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5"/>
                          <pic:cNvPicPr>
                            <a:picLocks noChangeAspect="1"/>
                          </pic:cNvPicPr>
                        </pic:nvPicPr>
                        <pic:blipFill>
                          <a:blip r:embed="rId21"/>
                          <a:srcRect l="8952" r="6175"/>
                          <a:stretch>
                            <a:fillRect/>
                          </a:stretch>
                        </pic:blipFill>
                        <pic:spPr>
                          <a:xfrm>
                            <a:off x="0" y="0"/>
                            <a:ext cx="3816985" cy="2204720"/>
                          </a:xfrm>
                          <a:prstGeom prst="rect">
                            <a:avLst/>
                          </a:prstGeom>
                          <a:noFill/>
                          <a:ln>
                            <a:noFill/>
                          </a:ln>
                        </pic:spPr>
                      </pic:pic>
                    </a:graphicData>
                  </a:graphic>
                </wp:inline>
              </w:drawing>
            </w:r>
          </w:p>
          <w:p w14:paraId="1C716E8A">
            <w:pPr>
              <w:keepNext w:val="0"/>
              <w:keepLines w:val="0"/>
              <w:suppressLineNumbers w:val="0"/>
              <w:spacing w:before="0" w:beforeAutospacing="0" w:after="0" w:afterAutospacing="0"/>
              <w:ind w:left="0" w:right="0"/>
              <w:jc w:val="center"/>
              <w:rPr>
                <w:rFonts w:hint="default"/>
                <w:b/>
                <w:color w:val="auto"/>
                <w:sz w:val="24"/>
              </w:rPr>
            </w:pPr>
            <w:r>
              <w:rPr>
                <w:rFonts w:hint="eastAsia"/>
                <w:b/>
                <w:color w:val="auto"/>
                <w:sz w:val="24"/>
              </w:rPr>
              <w:t>图2-11 永久封井剖面示意图</w:t>
            </w:r>
          </w:p>
          <w:p w14:paraId="65F8D84C">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rPr>
              <w:t>提出所有井下油管和井下工具，</w:t>
            </w:r>
            <w:r>
              <w:rPr>
                <w:rFonts w:hint="default"/>
                <w:color w:val="auto"/>
                <w:sz w:val="24"/>
              </w:rPr>
              <w:t>井口下挖2m，割掉井口套管，用电焊封死井口，并注入水泥</w:t>
            </w:r>
            <w:r>
              <w:rPr>
                <w:rFonts w:hint="eastAsia"/>
                <w:color w:val="auto"/>
                <w:sz w:val="24"/>
              </w:rPr>
              <w:t>分别对井口段、套管水泥返高段、</w:t>
            </w:r>
            <w:r>
              <w:rPr>
                <w:rFonts w:hint="default"/>
                <w:color w:val="auto"/>
                <w:sz w:val="24"/>
              </w:rPr>
              <w:t>封固井口，然后用表层土覆盖，井场恢复原状。</w:t>
            </w:r>
          </w:p>
          <w:p w14:paraId="47D54D6D">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封井后环保措施</w:t>
            </w:r>
          </w:p>
          <w:p w14:paraId="0F423E7E">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工程结束后，</w:t>
            </w:r>
            <w:r>
              <w:rPr>
                <w:rFonts w:hint="eastAsia"/>
                <w:color w:val="auto"/>
                <w:sz w:val="24"/>
                <w:lang w:eastAsia="zh-CN"/>
              </w:rPr>
              <w:t>按照已批准的复垦方案进行复垦，</w:t>
            </w:r>
            <w:r>
              <w:rPr>
                <w:rFonts w:hint="default"/>
                <w:color w:val="auto"/>
                <w:sz w:val="24"/>
              </w:rPr>
              <w:t>对钻井井场能重复利用的设施搬迁利用，不能利用的统一收集交回收单位处置；对构筑的设备基础拆除后作业场地进行平整，清除场内固体废物，对钻井场地等临时占地实施复垦、生态恢复。</w:t>
            </w:r>
          </w:p>
          <w:p w14:paraId="6F0282B7">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临时用地先清除地表的建筑，再用井场建设时的表层土作为种植土，进行植被恢复。恢复流程为：钻井完成→拆除建（构）筑物→清理场地→人工松土→将土覆盖→整理摊铺耕植土方→复耕。建设初期采用表土剥离、存放，回填，预防措施得当，复垦后，对土壤进行翻耕、平整及培肥改良。</w:t>
            </w:r>
          </w:p>
          <w:p w14:paraId="5E955C66">
            <w:pPr>
              <w:keepNext w:val="0"/>
              <w:keepLines w:val="0"/>
              <w:suppressLineNumbers w:val="0"/>
              <w:adjustRightInd w:val="0"/>
              <w:snapToGrid w:val="0"/>
              <w:spacing w:before="0" w:beforeAutospacing="0" w:after="0" w:afterAutospacing="0" w:line="360" w:lineRule="auto"/>
              <w:ind w:left="0" w:right="0" w:firstLine="482" w:firstLineChars="200"/>
              <w:rPr>
                <w:rFonts w:hint="default"/>
                <w:b/>
                <w:color w:val="auto"/>
                <w:sz w:val="24"/>
              </w:rPr>
            </w:pPr>
            <w:r>
              <w:rPr>
                <w:rFonts w:hint="default"/>
                <w:b/>
                <w:color w:val="auto"/>
                <w:sz w:val="24"/>
              </w:rPr>
              <w:t>建设周期</w:t>
            </w:r>
          </w:p>
          <w:p w14:paraId="25E053FB">
            <w:pPr>
              <w:keepNext w:val="0"/>
              <w:keepLines w:val="0"/>
              <w:suppressLineNumbers w:val="0"/>
              <w:adjustRightInd w:val="0"/>
              <w:snapToGrid w:val="0"/>
              <w:spacing w:before="0" w:beforeAutospacing="0" w:after="0" w:afterAutospacing="0" w:line="360" w:lineRule="auto"/>
              <w:ind w:left="0" w:right="0" w:firstLine="480" w:firstLineChars="200"/>
              <w:rPr>
                <w:rFonts w:hint="default"/>
                <w:b/>
                <w:color w:val="auto"/>
                <w:sz w:val="24"/>
              </w:rPr>
            </w:pPr>
            <w:r>
              <w:rPr>
                <w:rFonts w:hint="default"/>
                <w:color w:val="auto"/>
                <w:sz w:val="24"/>
              </w:rPr>
              <w:t>项目劳动定员</w:t>
            </w:r>
            <w:r>
              <w:rPr>
                <w:rFonts w:hint="eastAsia"/>
                <w:color w:val="auto"/>
                <w:sz w:val="24"/>
              </w:rPr>
              <w:t>4</w:t>
            </w:r>
            <w:r>
              <w:rPr>
                <w:rFonts w:hint="default"/>
                <w:color w:val="auto"/>
                <w:sz w:val="24"/>
              </w:rPr>
              <w:t>0人</w:t>
            </w:r>
            <w:r>
              <w:rPr>
                <w:rFonts w:hint="eastAsia"/>
                <w:color w:val="auto"/>
                <w:sz w:val="24"/>
              </w:rPr>
              <w:t>，</w:t>
            </w:r>
            <w:r>
              <w:rPr>
                <w:rFonts w:hint="default"/>
                <w:color w:val="auto"/>
                <w:sz w:val="24"/>
              </w:rPr>
              <w:t>勘探过程为连续24小时作业，三班制，每班8小时</w:t>
            </w:r>
            <w:r>
              <w:rPr>
                <w:rFonts w:hint="eastAsia"/>
                <w:color w:val="auto"/>
                <w:sz w:val="24"/>
              </w:rPr>
              <w:t>，施工期</w:t>
            </w:r>
            <w:r>
              <w:rPr>
                <w:rFonts w:hint="default"/>
                <w:color w:val="auto"/>
                <w:sz w:val="24"/>
              </w:rPr>
              <w:t>为</w:t>
            </w:r>
            <w:r>
              <w:rPr>
                <w:rFonts w:hint="eastAsia"/>
                <w:color w:val="auto"/>
                <w:sz w:val="24"/>
              </w:rPr>
              <w:t>60天</w:t>
            </w:r>
            <w:r>
              <w:rPr>
                <w:rFonts w:hint="default"/>
                <w:color w:val="auto"/>
                <w:sz w:val="24"/>
              </w:rPr>
              <w:t>。</w:t>
            </w:r>
          </w:p>
          <w:p w14:paraId="10451622">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rPr>
            </w:pPr>
            <w:r>
              <w:rPr>
                <w:rFonts w:hint="default"/>
                <w:color w:val="auto"/>
                <w:sz w:val="24"/>
              </w:rPr>
              <w:t>项目</w:t>
            </w:r>
            <w:r>
              <w:rPr>
                <w:rFonts w:hint="eastAsia"/>
                <w:color w:val="auto"/>
                <w:sz w:val="24"/>
              </w:rPr>
              <w:t>施工期</w:t>
            </w:r>
            <w:r>
              <w:rPr>
                <w:rFonts w:hint="default"/>
                <w:color w:val="auto"/>
                <w:sz w:val="24"/>
              </w:rPr>
              <w:t>为</w:t>
            </w:r>
            <w:r>
              <w:rPr>
                <w:rFonts w:hint="eastAsia"/>
                <w:color w:val="auto"/>
                <w:sz w:val="24"/>
              </w:rPr>
              <w:t>6</w:t>
            </w:r>
            <w:r>
              <w:rPr>
                <w:rFonts w:hint="default"/>
                <w:color w:val="auto"/>
                <w:sz w:val="24"/>
              </w:rPr>
              <w:t>0天，实施时间为：钻前准备</w:t>
            </w:r>
            <w:r>
              <w:rPr>
                <w:rFonts w:hint="eastAsia"/>
                <w:color w:val="auto"/>
                <w:sz w:val="24"/>
              </w:rPr>
              <w:t>5</w:t>
            </w:r>
            <w:r>
              <w:rPr>
                <w:rFonts w:hint="default"/>
                <w:color w:val="auto"/>
                <w:sz w:val="24"/>
              </w:rPr>
              <w:t>天，钻井期</w:t>
            </w:r>
            <w:r>
              <w:rPr>
                <w:rFonts w:hint="eastAsia"/>
                <w:color w:val="auto"/>
                <w:sz w:val="24"/>
              </w:rPr>
              <w:t>45</w:t>
            </w:r>
            <w:r>
              <w:rPr>
                <w:rFonts w:hint="default"/>
                <w:color w:val="auto"/>
                <w:sz w:val="24"/>
              </w:rPr>
              <w:t>天，试油期为7天，封井3天。</w:t>
            </w:r>
          </w:p>
        </w:tc>
      </w:tr>
      <w:tr w14:paraId="176B5E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457" w:type="dxa"/>
            <w:noWrap w:val="0"/>
            <w:vAlign w:val="center"/>
          </w:tcPr>
          <w:p w14:paraId="51F55185">
            <w:pPr>
              <w:keepNext w:val="0"/>
              <w:keepLines w:val="0"/>
              <w:suppressLineNumbers w:val="0"/>
              <w:adjustRightInd w:val="0"/>
              <w:snapToGrid w:val="0"/>
              <w:spacing w:before="0" w:beforeAutospacing="0" w:after="0" w:afterAutospacing="0"/>
              <w:ind w:left="0" w:right="0"/>
              <w:jc w:val="center"/>
              <w:rPr>
                <w:rFonts w:hint="default"/>
                <w:b/>
                <w:color w:val="auto"/>
                <w:kern w:val="0"/>
                <w:sz w:val="24"/>
              </w:rPr>
            </w:pPr>
            <w:r>
              <w:rPr>
                <w:rFonts w:hint="default"/>
                <w:b/>
                <w:color w:val="auto"/>
                <w:kern w:val="0"/>
                <w:sz w:val="24"/>
              </w:rPr>
              <w:t>其他</w:t>
            </w:r>
          </w:p>
        </w:tc>
        <w:tc>
          <w:tcPr>
            <w:tcW w:w="8437" w:type="dxa"/>
            <w:noWrap w:val="0"/>
            <w:vAlign w:val="center"/>
          </w:tcPr>
          <w:p w14:paraId="46128EB7">
            <w:pPr>
              <w:keepNext w:val="0"/>
              <w:keepLines w:val="0"/>
              <w:suppressLineNumbers w:val="0"/>
              <w:tabs>
                <w:tab w:val="left" w:pos="1150"/>
              </w:tabs>
              <w:adjustRightInd w:val="0"/>
              <w:snapToGrid w:val="0"/>
              <w:spacing w:before="0" w:beforeAutospacing="0" w:after="0" w:afterAutospacing="0" w:line="360" w:lineRule="auto"/>
              <w:ind w:left="0" w:right="0" w:firstLine="240" w:firstLineChars="100"/>
              <w:rPr>
                <w:rFonts w:hint="eastAsia"/>
                <w:color w:val="auto"/>
                <w:kern w:val="0"/>
                <w:sz w:val="24"/>
                <w:szCs w:val="21"/>
              </w:rPr>
            </w:pPr>
          </w:p>
          <w:p w14:paraId="10095C3D">
            <w:pPr>
              <w:keepNext w:val="0"/>
              <w:keepLines w:val="0"/>
              <w:suppressLineNumbers w:val="0"/>
              <w:tabs>
                <w:tab w:val="left" w:pos="1150"/>
              </w:tabs>
              <w:adjustRightInd w:val="0"/>
              <w:snapToGrid w:val="0"/>
              <w:spacing w:before="0" w:beforeAutospacing="0" w:after="0" w:afterAutospacing="0" w:line="360" w:lineRule="auto"/>
              <w:ind w:left="0" w:right="0" w:firstLine="240" w:firstLineChars="100"/>
              <w:rPr>
                <w:rFonts w:hint="eastAsia"/>
                <w:color w:val="auto"/>
                <w:kern w:val="0"/>
                <w:sz w:val="24"/>
                <w:szCs w:val="21"/>
              </w:rPr>
            </w:pPr>
          </w:p>
          <w:p w14:paraId="7C93D80F">
            <w:pPr>
              <w:keepNext w:val="0"/>
              <w:keepLines w:val="0"/>
              <w:suppressLineNumbers w:val="0"/>
              <w:tabs>
                <w:tab w:val="left" w:pos="1150"/>
              </w:tabs>
              <w:adjustRightInd w:val="0"/>
              <w:snapToGrid w:val="0"/>
              <w:spacing w:before="0" w:beforeAutospacing="0" w:after="0" w:afterAutospacing="0" w:line="360" w:lineRule="auto"/>
              <w:ind w:left="0" w:right="0"/>
              <w:rPr>
                <w:rFonts w:hint="eastAsia"/>
                <w:color w:val="auto"/>
                <w:kern w:val="0"/>
                <w:sz w:val="24"/>
                <w:szCs w:val="21"/>
                <w:lang w:eastAsia="zh-CN"/>
              </w:rPr>
            </w:pPr>
            <w:r>
              <w:rPr>
                <w:rFonts w:hint="eastAsia"/>
                <w:color w:val="auto"/>
                <w:kern w:val="0"/>
                <w:sz w:val="24"/>
                <w:szCs w:val="21"/>
                <w:lang w:eastAsia="zh-CN"/>
              </w:rPr>
              <w:t>无</w:t>
            </w:r>
          </w:p>
          <w:p w14:paraId="7A462D69">
            <w:pPr>
              <w:keepNext w:val="0"/>
              <w:keepLines w:val="0"/>
              <w:suppressLineNumbers w:val="0"/>
              <w:tabs>
                <w:tab w:val="left" w:pos="1150"/>
              </w:tabs>
              <w:adjustRightInd w:val="0"/>
              <w:snapToGrid w:val="0"/>
              <w:spacing w:before="0" w:beforeAutospacing="0" w:after="0" w:afterAutospacing="0" w:line="360" w:lineRule="auto"/>
              <w:ind w:left="0" w:right="0"/>
              <w:rPr>
                <w:rFonts w:hint="eastAsia"/>
                <w:color w:val="auto"/>
                <w:kern w:val="0"/>
                <w:sz w:val="24"/>
                <w:szCs w:val="21"/>
                <w:lang w:eastAsia="zh-CN"/>
              </w:rPr>
            </w:pPr>
          </w:p>
          <w:p w14:paraId="5BE31828">
            <w:pPr>
              <w:keepNext w:val="0"/>
              <w:keepLines w:val="0"/>
              <w:suppressLineNumbers w:val="0"/>
              <w:tabs>
                <w:tab w:val="left" w:pos="1150"/>
              </w:tabs>
              <w:adjustRightInd w:val="0"/>
              <w:snapToGrid w:val="0"/>
              <w:spacing w:before="0" w:beforeAutospacing="0" w:after="0" w:afterAutospacing="0" w:line="360" w:lineRule="auto"/>
              <w:ind w:left="0" w:right="0"/>
              <w:rPr>
                <w:rFonts w:hint="eastAsia"/>
                <w:color w:val="auto"/>
                <w:kern w:val="0"/>
                <w:sz w:val="24"/>
                <w:szCs w:val="21"/>
                <w:lang w:eastAsia="zh-CN"/>
              </w:rPr>
            </w:pPr>
          </w:p>
          <w:p w14:paraId="3310D872">
            <w:pPr>
              <w:keepNext w:val="0"/>
              <w:keepLines w:val="0"/>
              <w:suppressLineNumbers w:val="0"/>
              <w:tabs>
                <w:tab w:val="left" w:pos="1150"/>
              </w:tabs>
              <w:adjustRightInd w:val="0"/>
              <w:snapToGrid w:val="0"/>
              <w:spacing w:before="0" w:beforeAutospacing="0" w:after="0" w:afterAutospacing="0" w:line="360" w:lineRule="auto"/>
              <w:ind w:left="0" w:right="0"/>
              <w:rPr>
                <w:rFonts w:hint="eastAsia"/>
                <w:color w:val="auto"/>
                <w:kern w:val="0"/>
                <w:sz w:val="24"/>
                <w:szCs w:val="21"/>
                <w:lang w:eastAsia="zh-CN"/>
              </w:rPr>
            </w:pPr>
          </w:p>
          <w:p w14:paraId="1E186758">
            <w:pPr>
              <w:keepNext w:val="0"/>
              <w:keepLines w:val="0"/>
              <w:suppressLineNumbers w:val="0"/>
              <w:tabs>
                <w:tab w:val="left" w:pos="1150"/>
              </w:tabs>
              <w:adjustRightInd w:val="0"/>
              <w:snapToGrid w:val="0"/>
              <w:spacing w:before="0" w:beforeAutospacing="0" w:after="0" w:afterAutospacing="0" w:line="360" w:lineRule="auto"/>
              <w:ind w:left="0" w:right="0"/>
              <w:rPr>
                <w:rFonts w:hint="eastAsia"/>
                <w:color w:val="auto"/>
                <w:kern w:val="0"/>
                <w:sz w:val="24"/>
                <w:szCs w:val="21"/>
                <w:lang w:eastAsia="zh-CN"/>
              </w:rPr>
            </w:pPr>
          </w:p>
          <w:p w14:paraId="0AE94383">
            <w:pPr>
              <w:keepNext w:val="0"/>
              <w:keepLines w:val="0"/>
              <w:suppressLineNumbers w:val="0"/>
              <w:tabs>
                <w:tab w:val="left" w:pos="1150"/>
              </w:tabs>
              <w:adjustRightInd w:val="0"/>
              <w:snapToGrid w:val="0"/>
              <w:spacing w:before="0" w:beforeAutospacing="0" w:after="0" w:afterAutospacing="0" w:line="360" w:lineRule="auto"/>
              <w:ind w:left="0" w:right="0"/>
              <w:rPr>
                <w:rFonts w:hint="eastAsia"/>
                <w:color w:val="auto"/>
                <w:kern w:val="0"/>
                <w:sz w:val="24"/>
                <w:szCs w:val="21"/>
                <w:lang w:eastAsia="zh-CN"/>
              </w:rPr>
            </w:pPr>
          </w:p>
          <w:p w14:paraId="1EBE37BE">
            <w:pPr>
              <w:keepNext w:val="0"/>
              <w:keepLines w:val="0"/>
              <w:suppressLineNumbers w:val="0"/>
              <w:tabs>
                <w:tab w:val="left" w:pos="1150"/>
              </w:tabs>
              <w:adjustRightInd w:val="0"/>
              <w:snapToGrid w:val="0"/>
              <w:spacing w:before="0" w:beforeAutospacing="0" w:after="0" w:afterAutospacing="0" w:line="360" w:lineRule="auto"/>
              <w:ind w:left="0" w:right="0"/>
              <w:rPr>
                <w:rFonts w:hint="eastAsia"/>
                <w:color w:val="auto"/>
                <w:kern w:val="0"/>
                <w:sz w:val="24"/>
                <w:szCs w:val="21"/>
                <w:lang w:eastAsia="zh-CN"/>
              </w:rPr>
            </w:pPr>
          </w:p>
          <w:p w14:paraId="7030A7EB">
            <w:pPr>
              <w:keepNext w:val="0"/>
              <w:keepLines w:val="0"/>
              <w:suppressLineNumbers w:val="0"/>
              <w:tabs>
                <w:tab w:val="left" w:pos="1150"/>
              </w:tabs>
              <w:adjustRightInd w:val="0"/>
              <w:snapToGrid w:val="0"/>
              <w:spacing w:before="0" w:beforeAutospacing="0" w:after="0" w:afterAutospacing="0" w:line="360" w:lineRule="auto"/>
              <w:ind w:left="0" w:right="0"/>
              <w:rPr>
                <w:rFonts w:hint="eastAsia"/>
                <w:color w:val="auto"/>
                <w:kern w:val="0"/>
                <w:sz w:val="24"/>
                <w:szCs w:val="21"/>
                <w:lang w:eastAsia="zh-CN"/>
              </w:rPr>
            </w:pPr>
          </w:p>
          <w:p w14:paraId="181A3968">
            <w:pPr>
              <w:keepNext w:val="0"/>
              <w:keepLines w:val="0"/>
              <w:suppressLineNumbers w:val="0"/>
              <w:tabs>
                <w:tab w:val="left" w:pos="1150"/>
              </w:tabs>
              <w:adjustRightInd w:val="0"/>
              <w:snapToGrid w:val="0"/>
              <w:spacing w:before="0" w:beforeAutospacing="0" w:after="0" w:afterAutospacing="0" w:line="360" w:lineRule="auto"/>
              <w:ind w:left="0" w:right="0"/>
              <w:rPr>
                <w:rFonts w:hint="eastAsia"/>
                <w:color w:val="auto"/>
                <w:kern w:val="0"/>
                <w:sz w:val="24"/>
                <w:szCs w:val="21"/>
                <w:lang w:eastAsia="zh-CN"/>
              </w:rPr>
            </w:pPr>
          </w:p>
          <w:p w14:paraId="7BCCA626">
            <w:pPr>
              <w:keepNext w:val="0"/>
              <w:keepLines w:val="0"/>
              <w:suppressLineNumbers w:val="0"/>
              <w:tabs>
                <w:tab w:val="left" w:pos="1150"/>
              </w:tabs>
              <w:adjustRightInd w:val="0"/>
              <w:snapToGrid w:val="0"/>
              <w:spacing w:before="0" w:beforeAutospacing="0" w:after="0" w:afterAutospacing="0" w:line="360" w:lineRule="auto"/>
              <w:ind w:left="0" w:right="0"/>
              <w:rPr>
                <w:rFonts w:hint="eastAsia"/>
                <w:color w:val="auto"/>
                <w:kern w:val="0"/>
                <w:sz w:val="24"/>
                <w:szCs w:val="21"/>
                <w:lang w:eastAsia="zh-CN"/>
              </w:rPr>
            </w:pPr>
          </w:p>
          <w:p w14:paraId="51D057BA">
            <w:pPr>
              <w:keepNext w:val="0"/>
              <w:keepLines w:val="0"/>
              <w:suppressLineNumbers w:val="0"/>
              <w:tabs>
                <w:tab w:val="left" w:pos="1150"/>
              </w:tabs>
              <w:adjustRightInd w:val="0"/>
              <w:snapToGrid w:val="0"/>
              <w:spacing w:before="0" w:beforeAutospacing="0" w:after="0" w:afterAutospacing="0" w:line="360" w:lineRule="auto"/>
              <w:ind w:left="0" w:right="0"/>
              <w:jc w:val="both"/>
              <w:rPr>
                <w:rFonts w:hint="eastAsia"/>
                <w:color w:val="auto"/>
                <w:kern w:val="0"/>
                <w:sz w:val="24"/>
                <w:szCs w:val="21"/>
              </w:rPr>
            </w:pPr>
          </w:p>
        </w:tc>
      </w:tr>
    </w:tbl>
    <w:p w14:paraId="5517024C">
      <w:pPr>
        <w:pStyle w:val="25"/>
        <w:spacing w:before="0" w:beforeAutospacing="0" w:after="0" w:afterAutospacing="0"/>
        <w:jc w:val="center"/>
        <w:outlineLvl w:val="0"/>
        <w:rPr>
          <w:rFonts w:hint="eastAsia"/>
          <w:b/>
          <w:snapToGrid w:val="0"/>
          <w:color w:val="auto"/>
          <w:kern w:val="2"/>
          <w:sz w:val="30"/>
          <w:szCs w:val="30"/>
        </w:rPr>
      </w:pPr>
      <w:r>
        <w:rPr>
          <w:rFonts w:ascii="Times New Roman" w:hAnsi="Times New Roman" w:eastAsia="仿宋_GB2312"/>
          <w:b/>
          <w:bCs/>
          <w:color w:val="auto"/>
        </w:rPr>
        <w:br w:type="page"/>
      </w:r>
      <w:bookmarkStart w:id="6" w:name="_Toc103325977"/>
      <w:r>
        <w:rPr>
          <w:b/>
          <w:snapToGrid w:val="0"/>
          <w:color w:val="auto"/>
          <w:kern w:val="2"/>
          <w:sz w:val="30"/>
          <w:szCs w:val="30"/>
        </w:rPr>
        <w:t>三、生态环境现状、保护目标及评价标准</w:t>
      </w:r>
      <w:bookmarkEnd w:id="6"/>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450"/>
      </w:tblGrid>
      <w:tr w14:paraId="20054B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02" w:hRule="atLeast"/>
          <w:jc w:val="center"/>
        </w:trPr>
        <w:tc>
          <w:tcPr>
            <w:tcW w:w="457" w:type="dxa"/>
            <w:noWrap w:val="0"/>
            <w:vAlign w:val="center"/>
          </w:tcPr>
          <w:p w14:paraId="12CEE5C0">
            <w:pPr>
              <w:keepNext w:val="0"/>
              <w:keepLines w:val="0"/>
              <w:suppressLineNumbers w:val="0"/>
              <w:adjustRightInd w:val="0"/>
              <w:snapToGrid w:val="0"/>
              <w:spacing w:before="0" w:beforeAutospacing="0" w:after="0" w:afterAutospacing="0"/>
              <w:ind w:left="0" w:right="0"/>
              <w:jc w:val="center"/>
              <w:rPr>
                <w:rFonts w:hint="default"/>
                <w:b/>
                <w:color w:val="auto"/>
                <w:kern w:val="0"/>
                <w:sz w:val="24"/>
              </w:rPr>
            </w:pPr>
            <w:r>
              <w:rPr>
                <w:rFonts w:hint="default"/>
                <w:b/>
                <w:color w:val="auto"/>
                <w:kern w:val="0"/>
                <w:sz w:val="24"/>
              </w:rPr>
              <w:t>生态环境现状</w:t>
            </w:r>
          </w:p>
        </w:tc>
        <w:tc>
          <w:tcPr>
            <w:tcW w:w="8450" w:type="dxa"/>
            <w:noWrap w:val="0"/>
            <w:vAlign w:val="center"/>
          </w:tcPr>
          <w:p w14:paraId="5340DF02">
            <w:pPr>
              <w:keepNext w:val="0"/>
              <w:keepLines w:val="0"/>
              <w:suppressLineNumbers w:val="0"/>
              <w:adjustRightInd w:val="0"/>
              <w:spacing w:before="0" w:beforeAutospacing="0" w:after="0" w:afterAutospacing="0" w:line="360" w:lineRule="auto"/>
              <w:ind w:left="0" w:right="0" w:firstLine="354" w:firstLineChars="147"/>
              <w:rPr>
                <w:rFonts w:hint="eastAsia"/>
                <w:b/>
                <w:color w:val="auto"/>
                <w:sz w:val="24"/>
              </w:rPr>
            </w:pPr>
            <w:r>
              <w:rPr>
                <w:rFonts w:hint="eastAsia"/>
                <w:b/>
                <w:color w:val="auto"/>
                <w:sz w:val="24"/>
              </w:rPr>
              <w:t>1、功能区划</w:t>
            </w:r>
          </w:p>
          <w:p w14:paraId="306AA367">
            <w:pPr>
              <w:keepNext w:val="0"/>
              <w:keepLines w:val="0"/>
              <w:suppressLineNumbers w:val="0"/>
              <w:adjustRightInd w:val="0"/>
              <w:spacing w:before="0" w:beforeAutospacing="0" w:after="0" w:afterAutospacing="0" w:line="360" w:lineRule="auto"/>
              <w:ind w:left="0" w:right="0" w:firstLine="482" w:firstLineChars="200"/>
              <w:rPr>
                <w:rFonts w:hint="eastAsia"/>
                <w:b/>
                <w:color w:val="auto"/>
                <w:sz w:val="24"/>
              </w:rPr>
            </w:pPr>
            <w:r>
              <w:rPr>
                <w:rFonts w:hint="eastAsia"/>
                <w:b/>
                <w:color w:val="auto"/>
                <w:sz w:val="24"/>
              </w:rPr>
              <w:t>（1）内蒙古自治区主体功能区划</w:t>
            </w:r>
          </w:p>
          <w:p w14:paraId="53092C93">
            <w:pPr>
              <w:pStyle w:val="211"/>
              <w:keepNext w:val="0"/>
              <w:keepLines w:val="0"/>
              <w:suppressLineNumbers w:val="0"/>
              <w:spacing w:before="0" w:beforeAutospacing="0" w:after="0" w:afterAutospacing="0" w:line="360" w:lineRule="auto"/>
              <w:ind w:left="0" w:right="0" w:firstLine="480" w:firstLineChars="200"/>
              <w:jc w:val="both"/>
              <w:rPr>
                <w:rFonts w:hint="eastAsia" w:ascii="Times New Roman" w:hAnsi="Times New Roman"/>
                <w:color w:val="auto"/>
                <w:szCs w:val="20"/>
              </w:rPr>
            </w:pPr>
            <w:r>
              <w:rPr>
                <w:rFonts w:hint="eastAsia" w:ascii="Times New Roman" w:hAnsi="Times New Roman"/>
                <w:color w:val="auto"/>
                <w:szCs w:val="20"/>
              </w:rPr>
              <w:t>根据《国务院关于编制全国主体功能区规划的意见》（国发</w:t>
            </w:r>
            <w:r>
              <w:rPr>
                <w:rFonts w:hint="eastAsia" w:ascii="Times New Roman" w:hAnsi="Times New Roman"/>
                <w:color w:val="auto"/>
                <w:szCs w:val="20"/>
                <w:lang w:eastAsia="zh-CN"/>
              </w:rPr>
              <w:t>〔</w:t>
            </w:r>
            <w:r>
              <w:rPr>
                <w:rFonts w:hint="eastAsia" w:ascii="Times New Roman" w:hAnsi="Times New Roman"/>
                <w:color w:val="auto"/>
                <w:szCs w:val="20"/>
              </w:rPr>
              <w:t>2007</w:t>
            </w:r>
            <w:r>
              <w:rPr>
                <w:rFonts w:hint="eastAsia" w:ascii="Times New Roman" w:hAnsi="Times New Roman"/>
                <w:color w:val="auto"/>
                <w:szCs w:val="20"/>
                <w:lang w:eastAsia="zh-CN"/>
              </w:rPr>
              <w:t>〕</w:t>
            </w:r>
            <w:r>
              <w:rPr>
                <w:rFonts w:hint="eastAsia" w:ascii="Times New Roman" w:hAnsi="Times New Roman"/>
                <w:color w:val="auto"/>
                <w:szCs w:val="20"/>
              </w:rPr>
              <w:t>21号）和《全国主体功能区规划》（国发</w:t>
            </w:r>
            <w:r>
              <w:rPr>
                <w:rFonts w:hint="eastAsia" w:ascii="Times New Roman" w:hAnsi="Times New Roman"/>
                <w:color w:val="auto"/>
                <w:szCs w:val="20"/>
                <w:lang w:eastAsia="zh-CN"/>
              </w:rPr>
              <w:t>〔</w:t>
            </w:r>
            <w:r>
              <w:rPr>
                <w:rFonts w:hint="eastAsia" w:ascii="Times New Roman" w:hAnsi="Times New Roman"/>
                <w:color w:val="auto"/>
                <w:szCs w:val="20"/>
              </w:rPr>
              <w:t>2010</w:t>
            </w:r>
            <w:r>
              <w:rPr>
                <w:rFonts w:hint="eastAsia" w:ascii="Times New Roman" w:hAnsi="Times New Roman"/>
                <w:color w:val="auto"/>
                <w:szCs w:val="20"/>
                <w:lang w:eastAsia="zh-CN"/>
              </w:rPr>
              <w:t>〕</w:t>
            </w:r>
            <w:r>
              <w:rPr>
                <w:rFonts w:hint="eastAsia" w:ascii="Times New Roman" w:hAnsi="Times New Roman"/>
                <w:color w:val="auto"/>
                <w:szCs w:val="20"/>
              </w:rPr>
              <w:t>46号），内蒙古于2012年7月发布了《内蒙古自治区主体功能区规划》。</w:t>
            </w:r>
          </w:p>
          <w:p w14:paraId="7B1FB0DB">
            <w:pPr>
              <w:pStyle w:val="211"/>
              <w:keepNext w:val="0"/>
              <w:keepLines w:val="0"/>
              <w:suppressLineNumbers w:val="0"/>
              <w:spacing w:before="0" w:beforeAutospacing="0" w:after="0" w:afterAutospacing="0" w:line="360" w:lineRule="auto"/>
              <w:ind w:left="0" w:right="0" w:firstLine="480" w:firstLineChars="200"/>
              <w:jc w:val="both"/>
              <w:rPr>
                <w:rFonts w:hint="eastAsia" w:ascii="Times New Roman" w:hAnsi="Times New Roman"/>
                <w:color w:val="auto"/>
                <w:szCs w:val="20"/>
              </w:rPr>
            </w:pPr>
            <w:r>
              <w:rPr>
                <w:rFonts w:hint="eastAsia" w:ascii="Times New Roman" w:hAnsi="Times New Roman"/>
                <w:color w:val="auto"/>
                <w:szCs w:val="20"/>
              </w:rPr>
              <w:t>本规划将内蒙古国土空间划分为以下主体功能区：按开发方式，划分为重点开发区域、限制开发区域和禁止开发区域；按开发内容，划分为城市化地区、农产品主产区和重点生态功能区；按层级，划分为国家级和自治区级两个层面。</w:t>
            </w:r>
          </w:p>
          <w:p w14:paraId="424B53CD">
            <w:pPr>
              <w:pStyle w:val="211"/>
              <w:keepNext w:val="0"/>
              <w:keepLines w:val="0"/>
              <w:suppressLineNumbers w:val="0"/>
              <w:spacing w:before="0" w:beforeAutospacing="0" w:after="0" w:afterAutospacing="0" w:line="360" w:lineRule="auto"/>
              <w:ind w:left="0" w:right="0" w:firstLine="480" w:firstLineChars="200"/>
              <w:jc w:val="both"/>
              <w:rPr>
                <w:rFonts w:hint="eastAsia" w:ascii="Times New Roman" w:hAnsi="Times New Roman"/>
                <w:color w:val="auto"/>
                <w:szCs w:val="20"/>
              </w:rPr>
            </w:pPr>
            <w:r>
              <w:rPr>
                <w:rFonts w:hint="eastAsia" w:ascii="Times New Roman" w:hAnsi="Times New Roman"/>
                <w:color w:val="auto"/>
                <w:szCs w:val="20"/>
              </w:rPr>
              <w:t>重点开发区域、限制开发区域和禁止开发区域，是基于不同区域的资源环境承载能力、现有开发强度和未来发展潜力，以是否适宜或如何进行大规模高强度工业化城镇化开发为基准划分的。主体功能不等于唯一功能。明确一定区域的主体功能及其开发的主要内容和发展的主要任务，并不排斥该区域发挥</w:t>
            </w:r>
            <w:r>
              <w:rPr>
                <w:rFonts w:hint="eastAsia" w:ascii="Times New Roman" w:hAnsi="Times New Roman"/>
                <w:color w:val="auto"/>
                <w:szCs w:val="20"/>
                <w:highlight w:val="none"/>
              </w:rPr>
              <w:t>其它</w:t>
            </w:r>
            <w:r>
              <w:rPr>
                <w:rFonts w:hint="eastAsia" w:ascii="Times New Roman" w:hAnsi="Times New Roman"/>
                <w:color w:val="auto"/>
                <w:szCs w:val="20"/>
              </w:rPr>
              <w:t>功能。</w:t>
            </w:r>
          </w:p>
          <w:p w14:paraId="79F77307">
            <w:pPr>
              <w:pStyle w:val="7"/>
              <w:keepNext w:val="0"/>
              <w:keepLines w:val="0"/>
              <w:suppressLineNumbers w:val="0"/>
              <w:spacing w:before="0" w:beforeAutospacing="0" w:after="0" w:afterAutospacing="0" w:line="440" w:lineRule="exact"/>
              <w:ind w:left="0" w:right="0" w:firstLine="482"/>
              <w:jc w:val="center"/>
              <w:rPr>
                <w:rFonts w:hint="default"/>
                <w:b/>
                <w:color w:val="auto"/>
              </w:rPr>
            </w:pPr>
            <w:r>
              <w:rPr>
                <w:rFonts w:hint="default"/>
                <w:b/>
                <w:color w:val="auto"/>
                <w:sz w:val="24"/>
              </w:rPr>
              <w:t xml:space="preserve">表3-1 </w:t>
            </w:r>
            <w:r>
              <w:rPr>
                <w:rFonts w:hint="eastAsia"/>
                <w:b/>
                <w:color w:val="auto"/>
                <w:sz w:val="24"/>
              </w:rPr>
              <w:t>内蒙古</w:t>
            </w:r>
            <w:r>
              <w:rPr>
                <w:rFonts w:hint="default"/>
                <w:b/>
                <w:color w:val="auto"/>
                <w:sz w:val="24"/>
              </w:rPr>
              <w:t>主体功能区规划</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6" w:type="dxa"/>
                <w:bottom w:w="0" w:type="dxa"/>
                <w:right w:w="6" w:type="dxa"/>
              </w:tblCellMar>
            </w:tblPr>
            <w:tblGrid>
              <w:gridCol w:w="1129"/>
              <w:gridCol w:w="3536"/>
              <w:gridCol w:w="3569"/>
            </w:tblGrid>
            <w:tr w14:paraId="7580C5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428" w:hRule="atLeast"/>
              </w:trPr>
              <w:tc>
                <w:tcPr>
                  <w:tcW w:w="686" w:type="pct"/>
                  <w:noWrap w:val="0"/>
                  <w:vAlign w:val="center"/>
                </w:tcPr>
                <w:p w14:paraId="2E94D6C4">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eastAsia"/>
                      <w:bCs/>
                      <w:color w:val="auto"/>
                      <w:szCs w:val="21"/>
                    </w:rPr>
                    <w:t>主体功能区</w:t>
                  </w:r>
                </w:p>
              </w:tc>
              <w:tc>
                <w:tcPr>
                  <w:tcW w:w="2147" w:type="pct"/>
                  <w:noWrap w:val="0"/>
                  <w:vAlign w:val="center"/>
                </w:tcPr>
                <w:p w14:paraId="1132A964">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eastAsia"/>
                      <w:bCs/>
                      <w:color w:val="auto"/>
                      <w:szCs w:val="21"/>
                    </w:rPr>
                    <w:t>定义</w:t>
                  </w:r>
                </w:p>
              </w:tc>
              <w:tc>
                <w:tcPr>
                  <w:tcW w:w="2167" w:type="pct"/>
                  <w:noWrap w:val="0"/>
                  <w:vAlign w:val="center"/>
                </w:tcPr>
                <w:p w14:paraId="7FAF7528">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eastAsia"/>
                      <w:bCs/>
                      <w:color w:val="auto"/>
                      <w:szCs w:val="21"/>
                    </w:rPr>
                    <w:t>主体功能</w:t>
                  </w:r>
                </w:p>
              </w:tc>
            </w:tr>
            <w:tr w14:paraId="63CF280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1096" w:hRule="atLeast"/>
              </w:trPr>
              <w:tc>
                <w:tcPr>
                  <w:tcW w:w="686" w:type="pct"/>
                  <w:noWrap w:val="0"/>
                  <w:vAlign w:val="center"/>
                </w:tcPr>
                <w:p w14:paraId="6B3F636B">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eastAsia"/>
                      <w:bCs/>
                      <w:color w:val="auto"/>
                      <w:szCs w:val="21"/>
                    </w:rPr>
                    <w:t>重点开发区域</w:t>
                  </w:r>
                </w:p>
              </w:tc>
              <w:tc>
                <w:tcPr>
                  <w:tcW w:w="2147" w:type="pct"/>
                  <w:noWrap w:val="0"/>
                  <w:vAlign w:val="center"/>
                </w:tcPr>
                <w:p w14:paraId="608FDCC8">
                  <w:pPr>
                    <w:keepNext w:val="0"/>
                    <w:keepLines w:val="0"/>
                    <w:widowControl/>
                    <w:suppressLineNumbers w:val="0"/>
                    <w:snapToGrid w:val="0"/>
                    <w:spacing w:before="0" w:beforeAutospacing="0" w:after="0" w:afterAutospacing="0" w:line="0" w:lineRule="atLeast"/>
                    <w:ind w:left="0" w:right="0"/>
                    <w:jc w:val="left"/>
                    <w:rPr>
                      <w:rFonts w:hint="default"/>
                      <w:bCs/>
                      <w:color w:val="auto"/>
                      <w:szCs w:val="21"/>
                    </w:rPr>
                  </w:pPr>
                  <w:r>
                    <w:rPr>
                      <w:rFonts w:hint="eastAsia"/>
                      <w:bCs/>
                      <w:color w:val="auto"/>
                      <w:szCs w:val="21"/>
                    </w:rPr>
                    <w:t>指有一定经济基础、资源环境承载能力较强、发展潜力较大、集聚人口和经济的条件较好，应该重点进行工业化城镇化开发的城市化地区。</w:t>
                  </w:r>
                </w:p>
              </w:tc>
              <w:tc>
                <w:tcPr>
                  <w:tcW w:w="2167" w:type="pct"/>
                  <w:noWrap w:val="0"/>
                  <w:vAlign w:val="center"/>
                </w:tcPr>
                <w:p w14:paraId="263CFFC8">
                  <w:pPr>
                    <w:keepNext w:val="0"/>
                    <w:keepLines w:val="0"/>
                    <w:widowControl/>
                    <w:suppressLineNumbers w:val="0"/>
                    <w:snapToGrid w:val="0"/>
                    <w:spacing w:before="0" w:beforeAutospacing="0" w:after="0" w:afterAutospacing="0" w:line="0" w:lineRule="atLeast"/>
                    <w:ind w:left="0" w:right="0"/>
                    <w:jc w:val="left"/>
                    <w:rPr>
                      <w:rFonts w:hint="default"/>
                      <w:bCs/>
                      <w:color w:val="auto"/>
                      <w:szCs w:val="21"/>
                    </w:rPr>
                  </w:pPr>
                  <w:r>
                    <w:rPr>
                      <w:rFonts w:hint="eastAsia"/>
                      <w:bCs/>
                      <w:color w:val="auto"/>
                      <w:szCs w:val="21"/>
                    </w:rPr>
                    <w:t>提供工业品和服务产品，集聚人口和经济，但也必须保护好区域内的基本农田等农业空间，保护好森林、水面、湿地等生态空间，也要提供一定数量的农产品和生态产品。</w:t>
                  </w:r>
                </w:p>
              </w:tc>
            </w:tr>
            <w:tr w14:paraId="0F7CFA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4694" w:hRule="atLeast"/>
              </w:trPr>
              <w:tc>
                <w:tcPr>
                  <w:tcW w:w="686" w:type="pct"/>
                  <w:noWrap w:val="0"/>
                  <w:vAlign w:val="center"/>
                </w:tcPr>
                <w:p w14:paraId="4531F25D">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eastAsia"/>
                      <w:bCs/>
                      <w:color w:val="auto"/>
                      <w:szCs w:val="21"/>
                    </w:rPr>
                    <w:t xml:space="preserve">限制开发区                                                                               </w:t>
                  </w:r>
                </w:p>
              </w:tc>
              <w:tc>
                <w:tcPr>
                  <w:tcW w:w="2147" w:type="pct"/>
                  <w:noWrap w:val="0"/>
                  <w:vAlign w:val="center"/>
                </w:tcPr>
                <w:p w14:paraId="17942560">
                  <w:pPr>
                    <w:keepNext w:val="0"/>
                    <w:keepLines w:val="0"/>
                    <w:widowControl/>
                    <w:suppressLineNumbers w:val="0"/>
                    <w:snapToGrid w:val="0"/>
                    <w:spacing w:before="0" w:beforeAutospacing="0" w:after="0" w:afterAutospacing="0" w:line="0" w:lineRule="atLeast"/>
                    <w:ind w:left="0" w:right="0"/>
                    <w:jc w:val="left"/>
                    <w:rPr>
                      <w:rFonts w:hint="eastAsia"/>
                      <w:bCs/>
                      <w:color w:val="auto"/>
                      <w:szCs w:val="21"/>
                    </w:rPr>
                  </w:pPr>
                  <w:r>
                    <w:rPr>
                      <w:rFonts w:hint="eastAsia"/>
                      <w:bCs/>
                      <w:color w:val="auto"/>
                      <w:szCs w:val="21"/>
                    </w:rPr>
                    <w:t>分为两类</w:t>
                  </w:r>
                </w:p>
                <w:p w14:paraId="596534FC">
                  <w:pPr>
                    <w:keepNext w:val="0"/>
                    <w:keepLines w:val="0"/>
                    <w:widowControl/>
                    <w:suppressLineNumbers w:val="0"/>
                    <w:snapToGrid w:val="0"/>
                    <w:spacing w:before="0" w:beforeAutospacing="0" w:after="0" w:afterAutospacing="0" w:line="0" w:lineRule="atLeast"/>
                    <w:ind w:left="0" w:right="0"/>
                    <w:jc w:val="left"/>
                    <w:rPr>
                      <w:rFonts w:hint="eastAsia"/>
                      <w:bCs/>
                      <w:color w:val="auto"/>
                      <w:szCs w:val="21"/>
                    </w:rPr>
                  </w:pPr>
                  <w:r>
                    <w:rPr>
                      <w:rFonts w:hint="eastAsia"/>
                      <w:bCs/>
                      <w:color w:val="auto"/>
                      <w:szCs w:val="21"/>
                    </w:rPr>
                    <w:t>一类是农产品主产区，即耕地较多、农业发展条件较好，尽管也适宜工业化城镇化开发，但从保障农产品安全的需要出发</w:t>
                  </w:r>
                  <w:r>
                    <w:rPr>
                      <w:rFonts w:hint="eastAsia"/>
                      <w:bCs/>
                      <w:color w:val="auto"/>
                      <w:szCs w:val="21"/>
                      <w:highlight w:val="none"/>
                    </w:rPr>
                    <w:t>，</w:t>
                  </w:r>
                  <w:r>
                    <w:rPr>
                      <w:rFonts w:hint="eastAsia"/>
                      <w:bCs/>
                      <w:color w:val="auto"/>
                      <w:szCs w:val="21"/>
                    </w:rPr>
                    <w:t>须把增强农业综合生产能力作为发展的首要任务，而应该限制进行大规模高强度工业化城镇化开发的地区；</w:t>
                  </w:r>
                </w:p>
                <w:p w14:paraId="26414432">
                  <w:pPr>
                    <w:keepNext w:val="0"/>
                    <w:keepLines w:val="0"/>
                    <w:widowControl/>
                    <w:suppressLineNumbers w:val="0"/>
                    <w:snapToGrid w:val="0"/>
                    <w:spacing w:before="0" w:beforeAutospacing="0" w:after="0" w:afterAutospacing="0" w:line="0" w:lineRule="atLeast"/>
                    <w:ind w:left="0" w:right="0"/>
                    <w:jc w:val="left"/>
                    <w:rPr>
                      <w:rFonts w:hint="default"/>
                      <w:bCs/>
                      <w:color w:val="auto"/>
                      <w:szCs w:val="21"/>
                    </w:rPr>
                  </w:pPr>
                  <w:r>
                    <w:rPr>
                      <w:rFonts w:hint="eastAsia"/>
                      <w:bCs/>
                      <w:color w:val="auto"/>
                      <w:szCs w:val="21"/>
                    </w:rPr>
                    <w:t>一类是重点生态功能区，即生态系统脆弱、生态系统重要，资源环境承载能力较低，不具备大规模高强度工业化城镇化开发的条件</w:t>
                  </w:r>
                  <w:r>
                    <w:rPr>
                      <w:rFonts w:hint="eastAsia"/>
                      <w:bCs/>
                      <w:color w:val="auto"/>
                      <w:szCs w:val="21"/>
                      <w:highlight w:val="none"/>
                    </w:rPr>
                    <w:t>，</w:t>
                  </w:r>
                  <w:r>
                    <w:rPr>
                      <w:rFonts w:hint="eastAsia"/>
                      <w:bCs/>
                      <w:color w:val="auto"/>
                      <w:szCs w:val="21"/>
                    </w:rPr>
                    <w:t>须把增强生态产品生产能力作为首要任务，应该限制进行大规模高强度工业化城镇化开发的地区。</w:t>
                  </w:r>
                </w:p>
              </w:tc>
              <w:tc>
                <w:tcPr>
                  <w:tcW w:w="2167" w:type="pct"/>
                  <w:noWrap w:val="0"/>
                  <w:vAlign w:val="center"/>
                </w:tcPr>
                <w:p w14:paraId="619A3374">
                  <w:pPr>
                    <w:keepNext w:val="0"/>
                    <w:keepLines w:val="0"/>
                    <w:widowControl/>
                    <w:suppressLineNumbers w:val="0"/>
                    <w:snapToGrid w:val="0"/>
                    <w:spacing w:before="0" w:beforeAutospacing="0" w:after="0" w:afterAutospacing="0" w:line="0" w:lineRule="atLeast"/>
                    <w:ind w:left="0" w:right="0"/>
                    <w:jc w:val="left"/>
                    <w:rPr>
                      <w:rFonts w:hint="default"/>
                      <w:bCs/>
                      <w:color w:val="auto"/>
                      <w:szCs w:val="21"/>
                    </w:rPr>
                  </w:pPr>
                  <w:r>
                    <w:rPr>
                      <w:rFonts w:hint="eastAsia"/>
                      <w:bCs/>
                      <w:color w:val="auto"/>
                      <w:szCs w:val="21"/>
                    </w:rPr>
                    <w:t>提供农产品和生态产品，保障农产品供给安全和生态系统稳定，但也允许适度开发能源和矿产资源，允许发展那些不影响主体功能定位、当地资源环境可承载的产业，允许进行必要的城镇建设。</w:t>
                  </w:r>
                </w:p>
              </w:tc>
            </w:tr>
            <w:tr w14:paraId="01865F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1306" w:hRule="atLeast"/>
              </w:trPr>
              <w:tc>
                <w:tcPr>
                  <w:tcW w:w="686" w:type="pct"/>
                  <w:noWrap w:val="0"/>
                  <w:vAlign w:val="center"/>
                </w:tcPr>
                <w:p w14:paraId="15B2368F">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eastAsia"/>
                      <w:bCs/>
                      <w:color w:val="auto"/>
                      <w:szCs w:val="21"/>
                    </w:rPr>
                    <w:t>禁止开发区域</w:t>
                  </w:r>
                </w:p>
              </w:tc>
              <w:tc>
                <w:tcPr>
                  <w:tcW w:w="2147" w:type="pct"/>
                  <w:noWrap w:val="0"/>
                  <w:vAlign w:val="center"/>
                </w:tcPr>
                <w:p w14:paraId="3BF87ACD">
                  <w:pPr>
                    <w:keepNext w:val="0"/>
                    <w:keepLines w:val="0"/>
                    <w:widowControl/>
                    <w:suppressLineNumbers w:val="0"/>
                    <w:snapToGrid w:val="0"/>
                    <w:spacing w:before="0" w:beforeAutospacing="0" w:after="0" w:afterAutospacing="0" w:line="0" w:lineRule="atLeast"/>
                    <w:ind w:left="0" w:right="0"/>
                    <w:jc w:val="left"/>
                    <w:rPr>
                      <w:rFonts w:hint="default"/>
                      <w:bCs/>
                      <w:color w:val="auto"/>
                      <w:szCs w:val="21"/>
                    </w:rPr>
                  </w:pPr>
                  <w:r>
                    <w:rPr>
                      <w:rFonts w:hint="eastAsia"/>
                      <w:bCs/>
                      <w:color w:val="auto"/>
                      <w:szCs w:val="21"/>
                    </w:rPr>
                    <w:t>指依法设立的各级各类自然文化资源保护区域，以及其他禁止进行工业化城镇化开发、需要实施强制性保护的重点生态功能区，点状分布于重点开发和限制开发区域。</w:t>
                  </w:r>
                </w:p>
              </w:tc>
              <w:tc>
                <w:tcPr>
                  <w:tcW w:w="2167" w:type="pct"/>
                  <w:noWrap w:val="0"/>
                  <w:vAlign w:val="center"/>
                </w:tcPr>
                <w:p w14:paraId="7EA595F5">
                  <w:pPr>
                    <w:keepNext w:val="0"/>
                    <w:keepLines w:val="0"/>
                    <w:widowControl/>
                    <w:suppressLineNumbers w:val="0"/>
                    <w:snapToGrid w:val="0"/>
                    <w:spacing w:before="0" w:beforeAutospacing="0" w:after="0" w:afterAutospacing="0" w:line="0" w:lineRule="atLeast"/>
                    <w:ind w:left="0" w:right="0"/>
                    <w:jc w:val="left"/>
                    <w:rPr>
                      <w:rFonts w:hint="default"/>
                      <w:bCs/>
                      <w:color w:val="auto"/>
                      <w:szCs w:val="21"/>
                    </w:rPr>
                  </w:pPr>
                  <w:r>
                    <w:rPr>
                      <w:rFonts w:hint="eastAsia"/>
                      <w:bCs/>
                      <w:color w:val="auto"/>
                      <w:szCs w:val="21"/>
                    </w:rPr>
                    <w:t>保护自然文化资源的重要区域，珍稀动植物基因资源保护地。</w:t>
                  </w:r>
                </w:p>
              </w:tc>
            </w:tr>
          </w:tbl>
          <w:p w14:paraId="4A4852C9">
            <w:pPr>
              <w:pStyle w:val="11"/>
              <w:keepNext w:val="0"/>
              <w:keepLines w:val="0"/>
              <w:suppressLineNumbers w:val="0"/>
              <w:kinsoku w:val="0"/>
              <w:overflowPunct w:val="0"/>
              <w:spacing w:beforeAutospacing="0" w:afterAutospacing="0" w:line="0" w:lineRule="atLeast"/>
              <w:ind w:left="105" w:firstLine="18"/>
              <w:jc w:val="center"/>
              <w:rPr>
                <w:rFonts w:hint="default"/>
                <w:color w:val="auto"/>
                <w:position w:val="-260"/>
                <w:sz w:val="20"/>
              </w:rPr>
            </w:pPr>
            <w:r>
              <w:rPr>
                <w:rFonts w:hint="default"/>
                <w:color w:val="auto"/>
              </w:rPr>
              <mc:AlternateContent>
                <mc:Choice Requires="wps">
                  <w:drawing>
                    <wp:anchor distT="0" distB="0" distL="114300" distR="114300" simplePos="0" relativeHeight="251664384" behindDoc="0" locked="0" layoutInCell="1" allowOverlap="1">
                      <wp:simplePos x="0" y="0"/>
                      <wp:positionH relativeFrom="column">
                        <wp:posOffset>1936115</wp:posOffset>
                      </wp:positionH>
                      <wp:positionV relativeFrom="paragraph">
                        <wp:posOffset>2830195</wp:posOffset>
                      </wp:positionV>
                      <wp:extent cx="107950" cy="107950"/>
                      <wp:effectExtent l="4445" t="4445" r="20955" b="20955"/>
                      <wp:wrapNone/>
                      <wp:docPr id="98" name="自选图形 570"/>
                      <wp:cNvGraphicFramePr/>
                      <a:graphic xmlns:a="http://schemas.openxmlformats.org/drawingml/2006/main">
                        <a:graphicData uri="http://schemas.microsoft.com/office/word/2010/wordprocessingShape">
                          <wps:wsp>
                            <wps:cNvSpPr/>
                            <wps:spPr>
                              <a:xfrm>
                                <a:off x="0" y="0"/>
                                <a:ext cx="107950" cy="107950"/>
                              </a:xfrm>
                              <a:prstGeom prst="flowChartConnector">
                                <a:avLst/>
                              </a:prstGeom>
                              <a:solidFill>
                                <a:srgbClr val="000000"/>
                              </a:solidFill>
                              <a:ln w="9525" cap="flat" cmpd="sng">
                                <a:solidFill>
                                  <a:srgbClr val="FF0000"/>
                                </a:solidFill>
                                <a:prstDash val="solid"/>
                                <a:headEnd type="none" w="med" len="med"/>
                                <a:tailEnd type="none" w="med" len="med"/>
                              </a:ln>
                            </wps:spPr>
                            <wps:bodyPr wrap="square" upright="1"/>
                          </wps:wsp>
                        </a:graphicData>
                      </a:graphic>
                    </wp:anchor>
                  </w:drawing>
                </mc:Choice>
                <mc:Fallback>
                  <w:pict>
                    <v:shape id="自选图形 570" o:spid="_x0000_s1026" o:spt="120" type="#_x0000_t120" style="position:absolute;left:0pt;margin-left:152.45pt;margin-top:222.85pt;height:8.5pt;width:8.5pt;z-index:251664384;mso-width-relative:page;mso-height-relative:page;" fillcolor="#000000" filled="t" stroked="t" coordsize="21600,21600" o:gfxdata="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pMHn/2wAAAAsBAAAPAAAA&#10;AAAAAAEAIAAAACIAAABkcnMvZG93bnJldi54bWxQSwECFAAUAAAACACHTuJAK+oOnxICAAA4BAAA&#10;DgAAAAAAAAABACAAAAAqAQAAZHJzL2Uyb0RvYy54bWxQSwUGAAAAAAYABgBZAQAArgUAAAAA&#10;">
                      <v:fill on="t" focussize="0,0"/>
                      <v:stroke color="#FF0000" joinstyle="round"/>
                      <v:imagedata o:title=""/>
                      <o:lock v:ext="edit" aspectratio="f"/>
                    </v:shape>
                  </w:pict>
                </mc:Fallback>
              </mc:AlternateContent>
            </w:r>
            <w:r>
              <w:rPr>
                <w:rFonts w:hint="default"/>
                <w:color w:val="auto"/>
              </w:rPr>
              <mc:AlternateContent>
                <mc:Choice Requires="wps">
                  <w:drawing>
                    <wp:anchor distT="0" distB="0" distL="114300" distR="114300" simplePos="0" relativeHeight="251661312" behindDoc="0" locked="0" layoutInCell="1" allowOverlap="1">
                      <wp:simplePos x="0" y="0"/>
                      <wp:positionH relativeFrom="column">
                        <wp:posOffset>3544570</wp:posOffset>
                      </wp:positionH>
                      <wp:positionV relativeFrom="paragraph">
                        <wp:posOffset>3204845</wp:posOffset>
                      </wp:positionV>
                      <wp:extent cx="1193800" cy="273050"/>
                      <wp:effectExtent l="1536065" t="311150" r="32385" b="25400"/>
                      <wp:wrapNone/>
                      <wp:docPr id="95" name="自选图形 325"/>
                      <wp:cNvGraphicFramePr/>
                      <a:graphic xmlns:a="http://schemas.openxmlformats.org/drawingml/2006/main">
                        <a:graphicData uri="http://schemas.microsoft.com/office/word/2010/wordprocessingShape">
                          <wps:wsp>
                            <wps:cNvSpPr/>
                            <wps:spPr>
                              <a:xfrm>
                                <a:off x="0" y="0"/>
                                <a:ext cx="1193800" cy="273050"/>
                              </a:xfrm>
                              <a:prstGeom prst="wedgeRoundRectCallout">
                                <a:avLst>
                                  <a:gd name="adj1" fmla="val -178667"/>
                                  <a:gd name="adj2" fmla="val -163949"/>
                                  <a:gd name="adj3" fmla="val 16667"/>
                                </a:avLst>
                              </a:prstGeom>
                              <a:gradFill rotWithShape="0">
                                <a:gsLst>
                                  <a:gs pos="0">
                                    <a:srgbClr val="4F81BD"/>
                                  </a:gs>
                                  <a:gs pos="100000">
                                    <a:srgbClr val="4F81BD">
                                      <a:gamma/>
                                      <a:tint val="20000"/>
                                      <a:invGamma/>
                                    </a:srgbClr>
                                  </a:gs>
                                </a:gsLst>
                                <a:lin ang="2700000" scaled="1"/>
                                <a:tileRect/>
                              </a:gradFill>
                              <a:ln>
                                <a:noFill/>
                              </a:ln>
                              <a:effectLst>
                                <a:prstShdw prst="shdw17" dist="17961" dir="2699999">
                                  <a:srgbClr val="4F81BD">
                                    <a:gamma/>
                                    <a:shade val="60000"/>
                                    <a:invGamma/>
                                  </a:srgbClr>
                                </a:prstShdw>
                              </a:effectLst>
                            </wps:spPr>
                            <wps:txbx>
                              <w:txbxContent>
                                <w:p w14:paraId="7E25F5E5">
                                  <w:pPr>
                                    <w:jc w:val="center"/>
                                    <w:rPr>
                                      <w:b/>
                                      <w:color w:val="FF0000"/>
                                    </w:rPr>
                                  </w:pPr>
                                  <w:r>
                                    <w:rPr>
                                      <w:b/>
                                      <w:color w:val="FF0000"/>
                                    </w:rPr>
                                    <w:t>项目所在位置</w:t>
                                  </w:r>
                                </w:p>
                              </w:txbxContent>
                            </wps:txbx>
                            <wps:bodyPr vert="horz" wrap="square" anchor="t" anchorCtr="0" upright="1"/>
                          </wps:wsp>
                        </a:graphicData>
                      </a:graphic>
                    </wp:anchor>
                  </w:drawing>
                </mc:Choice>
                <mc:Fallback>
                  <w:pict>
                    <v:shape id="自选图形 325" o:spid="_x0000_s1026" o:spt="62" type="#_x0000_t62" style="position:absolute;left:0pt;margin-left:279.1pt;margin-top:252.35pt;height:21.5pt;width:94pt;z-index:251661312;mso-width-relative:page;mso-height-relative:page;" fillcolor="#4F81BD" filled="t" stroked="f" coordsize="21600,21600" o:gfxdata="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&#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JlYcCzYAAAACwEAAA8AAAAAAAAAAQAgAAAAIgAAAGRy&#10;cy9kb3ducmV2LnhtbFBLAQIUABQAAAAIAIdO4kCP5IFysAIAAK0FAAAOAAAAAAAAAAEAIAAAACcB&#10;AABkcnMvZTJvRG9jLnhtbFBLBQYAAAAABgAGAFkBAABJBgAAAAA=&#10;" adj="-27792,-24613,14400">
                      <v:fill type="gradient" on="t" color2="#DCE6F2" angle="45" focus="100%" focussize="0,0"/>
                      <v:stroke on="f"/>
                      <v:imagedata embosscolor="shadow add(51)" o:title=""/>
                      <o:lock v:ext="edit" aspectratio="f"/>
                      <v:shadow on="t" type="emboss" color="#2F4D71" color2="shadow add(102)" offset="1pt,1pt" origin="0f,0f" matrix="65536f,0f,0f,65536f,0,0"/>
                      <v:textbox>
                        <w:txbxContent>
                          <w:p w14:paraId="7E25F5E5">
                            <w:pPr>
                              <w:jc w:val="center"/>
                              <w:rPr>
                                <w:b/>
                                <w:color w:val="FF0000"/>
                              </w:rPr>
                            </w:pPr>
                            <w:r>
                              <w:rPr>
                                <w:b/>
                                <w:color w:val="FF0000"/>
                              </w:rPr>
                              <w:t>项目所在位置</w:t>
                            </w:r>
                          </w:p>
                        </w:txbxContent>
                      </v:textbox>
                    </v:shape>
                  </w:pict>
                </mc:Fallback>
              </mc:AlternateContent>
            </w:r>
            <w:r>
              <w:rPr>
                <w:rFonts w:hint="default"/>
                <w:color w:val="auto"/>
              </w:rPr>
              <w:drawing>
                <wp:inline distT="0" distB="0" distL="114300" distR="114300">
                  <wp:extent cx="4590415" cy="3551555"/>
                  <wp:effectExtent l="0" t="0" r="635" b="10795"/>
                  <wp:docPr id="1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
                          <pic:cNvPicPr>
                            <a:picLocks noChangeAspect="1"/>
                          </pic:cNvPicPr>
                        </pic:nvPicPr>
                        <pic:blipFill>
                          <a:blip r:embed="rId22"/>
                          <a:stretch>
                            <a:fillRect/>
                          </a:stretch>
                        </pic:blipFill>
                        <pic:spPr>
                          <a:xfrm>
                            <a:off x="0" y="0"/>
                            <a:ext cx="4590415" cy="3551555"/>
                          </a:xfrm>
                          <a:prstGeom prst="rect">
                            <a:avLst/>
                          </a:prstGeom>
                          <a:noFill/>
                          <a:ln>
                            <a:noFill/>
                          </a:ln>
                        </pic:spPr>
                      </pic:pic>
                    </a:graphicData>
                  </a:graphic>
                </wp:inline>
              </w:drawing>
            </w:r>
          </w:p>
          <w:p w14:paraId="5611E7B2">
            <w:pPr>
              <w:pStyle w:val="7"/>
              <w:keepNext w:val="0"/>
              <w:keepLines w:val="0"/>
              <w:suppressLineNumbers w:val="0"/>
              <w:spacing w:before="0" w:beforeAutospacing="0" w:after="0" w:afterAutospacing="0" w:line="360" w:lineRule="auto"/>
              <w:ind w:left="0" w:right="0" w:firstLine="472" w:firstLineChars="196"/>
              <w:jc w:val="center"/>
              <w:rPr>
                <w:rFonts w:hint="eastAsia" w:hAnsi="宋体"/>
                <w:b/>
                <w:color w:val="auto"/>
                <w:sz w:val="24"/>
              </w:rPr>
            </w:pPr>
            <w:r>
              <w:rPr>
                <w:rFonts w:hint="eastAsia" w:hAnsi="宋体"/>
                <w:b/>
                <w:color w:val="auto"/>
                <w:sz w:val="24"/>
              </w:rPr>
              <w:t>图3-1 内蒙古主体功能区规划图</w:t>
            </w:r>
          </w:p>
          <w:p w14:paraId="7ED631AC">
            <w:pPr>
              <w:pStyle w:val="211"/>
              <w:keepNext w:val="0"/>
              <w:keepLines w:val="0"/>
              <w:suppressLineNumbers w:val="0"/>
              <w:spacing w:before="0" w:beforeAutospacing="0" w:after="0" w:afterAutospacing="0" w:line="360" w:lineRule="auto"/>
              <w:ind w:left="0" w:right="0" w:firstLine="480" w:firstLineChars="200"/>
              <w:rPr>
                <w:rFonts w:hint="default" w:ascii="Times New Roman" w:hAnsi="Times New Roman"/>
                <w:color w:val="auto"/>
                <w:szCs w:val="20"/>
              </w:rPr>
            </w:pPr>
            <w:r>
              <w:rPr>
                <w:rFonts w:hint="eastAsia" w:ascii="Times New Roman" w:hAnsi="Times New Roman"/>
                <w:color w:val="auto"/>
                <w:szCs w:val="20"/>
                <w:lang w:eastAsia="zh-CN"/>
              </w:rPr>
              <w:t>本工程</w:t>
            </w:r>
            <w:r>
              <w:rPr>
                <w:rFonts w:hint="default" w:ascii="Times New Roman" w:hAnsi="Times New Roman"/>
                <w:color w:val="auto"/>
                <w:szCs w:val="20"/>
              </w:rPr>
              <w:t>位于内蒙古自治区巴彦淖尔市</w:t>
            </w:r>
            <w:r>
              <w:rPr>
                <w:rFonts w:hint="eastAsia" w:ascii="Times New Roman" w:hAnsi="Times New Roman"/>
                <w:color w:val="auto"/>
                <w:szCs w:val="20"/>
                <w:lang w:eastAsia="zh-CN"/>
              </w:rPr>
              <w:t>磴口县</w:t>
            </w:r>
            <w:r>
              <w:rPr>
                <w:rFonts w:hint="default" w:ascii="Times New Roman" w:hAnsi="Times New Roman"/>
                <w:color w:val="auto"/>
                <w:szCs w:val="20"/>
              </w:rPr>
              <w:t>，由</w:t>
            </w:r>
            <w:r>
              <w:rPr>
                <w:rFonts w:hint="eastAsia" w:ascii="Times New Roman" w:hAnsi="Times New Roman"/>
                <w:color w:val="auto"/>
                <w:szCs w:val="20"/>
              </w:rPr>
              <w:t>上</w:t>
            </w:r>
            <w:r>
              <w:rPr>
                <w:rFonts w:hint="default" w:ascii="Times New Roman" w:hAnsi="Times New Roman"/>
                <w:color w:val="auto"/>
                <w:szCs w:val="20"/>
              </w:rPr>
              <w:t>图可知，项目所属区域属于自治区级重点开发区域，不属于内蒙古自治区限制开发区域（农产品主产区）、限制开发区域（重点生态功能区）及禁止开发区域</w:t>
            </w:r>
            <w:r>
              <w:rPr>
                <w:rFonts w:hint="eastAsia" w:ascii="Times New Roman" w:hAnsi="Times New Roman"/>
                <w:color w:val="auto"/>
                <w:szCs w:val="20"/>
              </w:rPr>
              <w:t>。</w:t>
            </w:r>
            <w:r>
              <w:rPr>
                <w:rFonts w:hint="eastAsia" w:ascii="Times New Roman" w:hAnsi="Times New Roman"/>
                <w:color w:val="auto"/>
                <w:szCs w:val="20"/>
                <w:lang w:eastAsia="zh-CN"/>
              </w:rPr>
              <w:t>本工程</w:t>
            </w:r>
            <w:r>
              <w:rPr>
                <w:rFonts w:hint="eastAsia" w:ascii="Times New Roman" w:hAnsi="Times New Roman"/>
                <w:color w:val="auto"/>
                <w:szCs w:val="20"/>
              </w:rPr>
              <w:t>属于能源和矿产勘探项目，在勘探前对表层土进行剥离并收集暂存，勘探结束后按照</w:t>
            </w:r>
            <w:r>
              <w:rPr>
                <w:rFonts w:hint="eastAsia" w:ascii="Times New Roman" w:hAnsi="Times New Roman"/>
                <w:color w:val="auto"/>
                <w:szCs w:val="20"/>
                <w:lang w:eastAsia="zh-CN"/>
              </w:rPr>
              <w:t>已批准</w:t>
            </w:r>
            <w:r>
              <w:rPr>
                <w:rFonts w:hint="eastAsia" w:ascii="Times New Roman" w:hAnsi="Times New Roman"/>
                <w:color w:val="auto"/>
                <w:szCs w:val="20"/>
              </w:rPr>
              <w:t>复垦方案要求</w:t>
            </w:r>
            <w:r>
              <w:rPr>
                <w:rFonts w:hint="eastAsia" w:ascii="Times New Roman" w:hAnsi="Times New Roman"/>
                <w:color w:val="auto"/>
                <w:szCs w:val="20"/>
                <w:lang w:eastAsia="zh-CN"/>
              </w:rPr>
              <w:t>和环评要求</w:t>
            </w:r>
            <w:r>
              <w:rPr>
                <w:rFonts w:hint="eastAsia" w:ascii="Times New Roman" w:hAnsi="Times New Roman"/>
                <w:color w:val="auto"/>
                <w:szCs w:val="20"/>
              </w:rPr>
              <w:t>进行复垦，确保项目完成后恢复到原有状态，不会对当地农业生产、生态环境造成破坏和影响。因此</w:t>
            </w:r>
            <w:r>
              <w:rPr>
                <w:rFonts w:hint="eastAsia" w:ascii="Times New Roman" w:hAnsi="Times New Roman"/>
                <w:color w:val="auto"/>
                <w:szCs w:val="20"/>
                <w:lang w:eastAsia="zh-CN"/>
              </w:rPr>
              <w:t>本工程选址</w:t>
            </w:r>
            <w:r>
              <w:rPr>
                <w:rFonts w:hint="eastAsia" w:ascii="Times New Roman" w:hAnsi="Times New Roman"/>
                <w:color w:val="auto"/>
                <w:szCs w:val="20"/>
              </w:rPr>
              <w:t>符合《内蒙古自治区主体功能区划》</w:t>
            </w:r>
            <w:r>
              <w:rPr>
                <w:rFonts w:hint="default" w:ascii="Times New Roman" w:hAnsi="Times New Roman"/>
                <w:color w:val="auto"/>
                <w:szCs w:val="20"/>
              </w:rPr>
              <w:t>。</w:t>
            </w:r>
          </w:p>
          <w:p w14:paraId="1AF6F57B">
            <w:pPr>
              <w:pStyle w:val="211"/>
              <w:keepNext w:val="0"/>
              <w:keepLines w:val="0"/>
              <w:suppressLineNumbers w:val="0"/>
              <w:spacing w:before="0" w:beforeAutospacing="0" w:after="0" w:afterAutospacing="0" w:line="360" w:lineRule="auto"/>
              <w:ind w:left="0" w:right="0" w:firstLine="482" w:firstLineChars="200"/>
              <w:rPr>
                <w:rFonts w:hint="default" w:ascii="Times New Roman" w:hAnsi="Times New Roman"/>
                <w:b/>
                <w:color w:val="auto"/>
                <w:szCs w:val="20"/>
              </w:rPr>
            </w:pPr>
            <w:r>
              <w:rPr>
                <w:rFonts w:hint="default" w:ascii="Times New Roman" w:hAnsi="Times New Roman"/>
                <w:b/>
                <w:color w:val="auto"/>
                <w:szCs w:val="20"/>
              </w:rPr>
              <w:t>（</w:t>
            </w:r>
            <w:r>
              <w:rPr>
                <w:rFonts w:hint="eastAsia" w:ascii="Times New Roman" w:hAnsi="Times New Roman"/>
                <w:b/>
                <w:color w:val="auto"/>
                <w:szCs w:val="20"/>
              </w:rPr>
              <w:t>2</w:t>
            </w:r>
            <w:r>
              <w:rPr>
                <w:rFonts w:hint="default" w:ascii="Times New Roman" w:hAnsi="Times New Roman"/>
                <w:b/>
                <w:color w:val="auto"/>
                <w:szCs w:val="20"/>
              </w:rPr>
              <w:t>）</w:t>
            </w:r>
            <w:r>
              <w:rPr>
                <w:rFonts w:hint="eastAsia" w:ascii="Times New Roman" w:hAnsi="Times New Roman"/>
                <w:b/>
                <w:color w:val="auto"/>
                <w:szCs w:val="20"/>
              </w:rPr>
              <w:t>内蒙古自治区生态功能区划</w:t>
            </w:r>
          </w:p>
          <w:p w14:paraId="5E7B173F">
            <w:pPr>
              <w:pStyle w:val="211"/>
              <w:keepNext w:val="0"/>
              <w:keepLines w:val="0"/>
              <w:suppressLineNumbers w:val="0"/>
              <w:spacing w:before="0" w:beforeAutospacing="0" w:after="0" w:afterAutospacing="0" w:line="360" w:lineRule="auto"/>
              <w:ind w:left="0" w:right="0" w:firstLine="480" w:firstLineChars="200"/>
              <w:rPr>
                <w:rFonts w:hint="default" w:ascii="Times New Roman" w:hAnsi="Times New Roman"/>
                <w:color w:val="auto"/>
                <w:szCs w:val="24"/>
              </w:rPr>
            </w:pPr>
            <w:r>
              <w:rPr>
                <w:rFonts w:hint="default" w:ascii="Times New Roman" w:hAnsi="Times New Roman"/>
                <w:color w:val="auto"/>
                <w:szCs w:val="24"/>
              </w:rPr>
              <w:t>项目位于内蒙古巴彦淖尔市</w:t>
            </w:r>
            <w:r>
              <w:rPr>
                <w:rFonts w:hint="eastAsia" w:ascii="Times New Roman" w:hAnsi="Times New Roman"/>
                <w:color w:val="auto"/>
                <w:szCs w:val="24"/>
                <w:lang w:eastAsia="zh-CN"/>
              </w:rPr>
              <w:t>磴口县</w:t>
            </w:r>
            <w:r>
              <w:rPr>
                <w:rFonts w:hint="default" w:ascii="Times New Roman" w:hAnsi="Times New Roman"/>
                <w:color w:val="auto"/>
                <w:szCs w:val="24"/>
              </w:rPr>
              <w:t>，根据</w:t>
            </w:r>
            <w:r>
              <w:rPr>
                <w:rFonts w:hint="eastAsia" w:ascii="Times New Roman" w:hAnsi="Times New Roman"/>
                <w:color w:val="auto"/>
                <w:szCs w:val="24"/>
              </w:rPr>
              <w:t>内蒙古自治区生态功能区划，所在区域属于乌兰布和沙漠防风固沙生态屏障与生物多样性保护功能区，</w:t>
            </w:r>
            <w:r>
              <w:rPr>
                <w:rFonts w:hint="default" w:ascii="Times New Roman" w:hAnsi="Times New Roman"/>
                <w:color w:val="auto"/>
                <w:szCs w:val="24"/>
              </w:rPr>
              <w:t>区域</w:t>
            </w:r>
            <w:r>
              <w:rPr>
                <w:rFonts w:hint="eastAsia" w:ascii="Times New Roman" w:hAnsi="Times New Roman"/>
                <w:color w:val="auto"/>
                <w:szCs w:val="24"/>
                <w:lang w:eastAsia="zh-CN"/>
              </w:rPr>
              <w:t>内生态环境问题为：场退化严重，沙漠活化。生态敏感性特征为生物多样性极敏感</w:t>
            </w:r>
            <w:r>
              <w:rPr>
                <w:rFonts w:hint="eastAsia" w:ascii="Times New Roman" w:hAnsi="Times New Roman"/>
                <w:color w:val="auto"/>
                <w:szCs w:val="24"/>
              </w:rPr>
              <w:t>，生态服务功能特征为生物多样性保护。生态保护目标与措施为实施退牧还草，保护现有植被，加强畜牧业基础设施建设</w:t>
            </w:r>
            <w:r>
              <w:rPr>
                <w:rFonts w:hint="default" w:ascii="Times New Roman" w:hAnsi="Times New Roman"/>
                <w:color w:val="auto"/>
                <w:szCs w:val="24"/>
              </w:rPr>
              <w:t>。</w:t>
            </w:r>
          </w:p>
          <w:p w14:paraId="3B06D6F9">
            <w:pPr>
              <w:pStyle w:val="211"/>
              <w:keepNext w:val="0"/>
              <w:keepLines w:val="0"/>
              <w:suppressLineNumbers w:val="0"/>
              <w:spacing w:before="0" w:beforeAutospacing="0" w:after="0" w:afterAutospacing="0" w:line="360" w:lineRule="auto"/>
              <w:ind w:left="0" w:right="0" w:firstLine="480" w:firstLineChars="200"/>
              <w:rPr>
                <w:rFonts w:hint="default" w:ascii="Times New Roman" w:hAnsi="Times New Roman"/>
                <w:color w:val="auto"/>
                <w:szCs w:val="24"/>
              </w:rPr>
            </w:pPr>
            <w:r>
              <w:rPr>
                <w:rFonts w:hint="eastAsia" w:ascii="Times New Roman" w:hAnsi="Times New Roman"/>
                <w:color w:val="auto"/>
                <w:szCs w:val="24"/>
                <w:lang w:eastAsia="zh-CN"/>
              </w:rPr>
              <w:t>本工程</w:t>
            </w:r>
            <w:r>
              <w:rPr>
                <w:rFonts w:hint="default" w:ascii="Times New Roman" w:hAnsi="Times New Roman"/>
                <w:color w:val="auto"/>
                <w:szCs w:val="24"/>
              </w:rPr>
              <w:t>无废水外排，不会对地表水环境产生影响。</w:t>
            </w:r>
            <w:r>
              <w:rPr>
                <w:rFonts w:hint="eastAsia" w:ascii="Times New Roman" w:hAnsi="Times New Roman"/>
                <w:color w:val="auto"/>
                <w:szCs w:val="24"/>
              </w:rPr>
              <w:t>施工期严格控制作业区面积，对作业人员进行生态培训，不随意丢弃垃圾，不在道路、井场以外的地方行驶和作业，保持临时征地区域以外的植被不被破坏，施工结束按照复垦方案进行场地植被恢复，在严格落实防治措施的前提下，项目施工不会对区域生态造成破坏，因此对生态环境影响较小</w:t>
            </w:r>
            <w:r>
              <w:rPr>
                <w:rFonts w:hint="default" w:ascii="Times New Roman" w:hAnsi="Times New Roman"/>
                <w:color w:val="auto"/>
                <w:szCs w:val="24"/>
              </w:rPr>
              <w:t>。综合分析，</w:t>
            </w:r>
            <w:r>
              <w:rPr>
                <w:rFonts w:hint="eastAsia" w:ascii="Times New Roman" w:hAnsi="Times New Roman"/>
                <w:color w:val="auto"/>
                <w:szCs w:val="24"/>
                <w:lang w:eastAsia="zh-CN"/>
              </w:rPr>
              <w:t>本工程</w:t>
            </w:r>
            <w:r>
              <w:rPr>
                <w:rFonts w:hint="default" w:ascii="Times New Roman" w:hAnsi="Times New Roman"/>
                <w:color w:val="auto"/>
                <w:szCs w:val="24"/>
              </w:rPr>
              <w:t>建设符合</w:t>
            </w:r>
            <w:r>
              <w:rPr>
                <w:rFonts w:hint="eastAsia" w:ascii="Times New Roman" w:hAnsi="Times New Roman"/>
                <w:color w:val="auto"/>
                <w:szCs w:val="24"/>
              </w:rPr>
              <w:t>内蒙古自治区生态功能区划</w:t>
            </w:r>
            <w:r>
              <w:rPr>
                <w:rFonts w:hint="default" w:ascii="Times New Roman" w:hAnsi="Times New Roman"/>
                <w:color w:val="auto"/>
                <w:szCs w:val="24"/>
              </w:rPr>
              <w:t>相应的要求。</w:t>
            </w:r>
          </w:p>
          <w:p w14:paraId="3702234C">
            <w:pPr>
              <w:pStyle w:val="211"/>
              <w:keepNext w:val="0"/>
              <w:keepLines w:val="0"/>
              <w:suppressLineNumbers w:val="0"/>
              <w:spacing w:before="0" w:beforeAutospacing="0" w:after="0" w:afterAutospacing="0" w:line="360" w:lineRule="auto"/>
              <w:ind w:left="0" w:right="0" w:firstLine="480" w:firstLineChars="200"/>
              <w:rPr>
                <w:rFonts w:hint="default" w:ascii="Times New Roman" w:hAnsi="Times New Roman"/>
                <w:color w:val="auto"/>
                <w:szCs w:val="20"/>
              </w:rPr>
            </w:pPr>
            <w:r>
              <w:rPr>
                <w:rFonts w:hint="default" w:ascii="宋体" w:hAnsi="宋体" w:eastAsia="宋体" w:cs="宋体"/>
                <w:color w:val="auto"/>
                <w:sz w:val="24"/>
                <w:szCs w:val="24"/>
              </w:rPr>
              <w:drawing>
                <wp:anchor distT="0" distB="0" distL="114300" distR="114300" simplePos="0" relativeHeight="251669504" behindDoc="0" locked="0" layoutInCell="1" allowOverlap="1">
                  <wp:simplePos x="0" y="0"/>
                  <wp:positionH relativeFrom="column">
                    <wp:posOffset>122555</wp:posOffset>
                  </wp:positionH>
                  <wp:positionV relativeFrom="paragraph">
                    <wp:posOffset>333375</wp:posOffset>
                  </wp:positionV>
                  <wp:extent cx="2553970" cy="1809115"/>
                  <wp:effectExtent l="0" t="0" r="17780" b="635"/>
                  <wp:wrapTopAndBottom/>
                  <wp:docPr id="104" name="图片 207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075" descr="IMG_256"/>
                          <pic:cNvPicPr>
                            <a:picLocks noChangeAspect="1"/>
                          </pic:cNvPicPr>
                        </pic:nvPicPr>
                        <pic:blipFill>
                          <a:blip r:embed="rId23"/>
                          <a:stretch>
                            <a:fillRect/>
                          </a:stretch>
                        </pic:blipFill>
                        <pic:spPr>
                          <a:xfrm>
                            <a:off x="0" y="0"/>
                            <a:ext cx="2553970" cy="1809115"/>
                          </a:xfrm>
                          <a:prstGeom prst="rect">
                            <a:avLst/>
                          </a:prstGeom>
                          <a:noFill/>
                          <a:ln>
                            <a:noFill/>
                          </a:ln>
                        </pic:spPr>
                      </pic:pic>
                    </a:graphicData>
                  </a:graphic>
                </wp:anchor>
              </w:drawing>
            </w:r>
            <w:r>
              <w:rPr>
                <w:rFonts w:hint="default"/>
                <w:color w:val="auto"/>
                <w:szCs w:val="20"/>
              </w:rPr>
              <w:drawing>
                <wp:anchor distT="0" distB="0" distL="114300" distR="114300" simplePos="0" relativeHeight="251660288" behindDoc="1" locked="0" layoutInCell="1" allowOverlap="1">
                  <wp:simplePos x="0" y="0"/>
                  <wp:positionH relativeFrom="page">
                    <wp:posOffset>184150</wp:posOffset>
                  </wp:positionH>
                  <wp:positionV relativeFrom="page">
                    <wp:posOffset>1684655</wp:posOffset>
                  </wp:positionV>
                  <wp:extent cx="5115560" cy="3348990"/>
                  <wp:effectExtent l="0" t="0" r="8890" b="3810"/>
                  <wp:wrapNone/>
                  <wp:docPr id="1" name="图片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074"/>
                          <pic:cNvPicPr>
                            <a:picLocks noChangeAspect="1"/>
                          </pic:cNvPicPr>
                        </pic:nvPicPr>
                        <pic:blipFill>
                          <a:blip r:embed="rId24"/>
                          <a:srcRect l="812" t="5814" r="1250" b="1013"/>
                          <a:stretch>
                            <a:fillRect/>
                          </a:stretch>
                        </pic:blipFill>
                        <pic:spPr>
                          <a:xfrm>
                            <a:off x="0" y="0"/>
                            <a:ext cx="5115560" cy="3348990"/>
                          </a:xfrm>
                          <a:prstGeom prst="rect">
                            <a:avLst/>
                          </a:prstGeom>
                          <a:noFill/>
                          <a:ln>
                            <a:noFill/>
                          </a:ln>
                        </pic:spPr>
                      </pic:pic>
                    </a:graphicData>
                  </a:graphic>
                </wp:anchor>
              </w:drawing>
            </w:r>
            <w:r>
              <w:rPr>
                <w:rFonts w:hint="eastAsia" w:ascii="Times New Roman" w:hAnsi="Times New Roman"/>
                <w:color w:val="auto"/>
                <w:szCs w:val="24"/>
                <w:lang w:eastAsia="zh-CN"/>
              </w:rPr>
              <w:t>本工程</w:t>
            </w:r>
            <w:r>
              <w:rPr>
                <w:rFonts w:hint="default" w:ascii="Times New Roman" w:hAnsi="Times New Roman"/>
                <w:color w:val="auto"/>
                <w:szCs w:val="24"/>
              </w:rPr>
              <w:t>在</w:t>
            </w:r>
            <w:r>
              <w:rPr>
                <w:rFonts w:hint="eastAsia" w:ascii="Times New Roman" w:hAnsi="Times New Roman"/>
                <w:color w:val="auto"/>
                <w:szCs w:val="24"/>
              </w:rPr>
              <w:t>内蒙古自治区生态功能区划</w:t>
            </w:r>
            <w:r>
              <w:rPr>
                <w:rFonts w:hint="default" w:ascii="Times New Roman" w:hAnsi="Times New Roman"/>
                <w:color w:val="auto"/>
                <w:szCs w:val="24"/>
              </w:rPr>
              <w:t>中的位置见下图。</w:t>
            </w:r>
          </w:p>
          <w:p w14:paraId="145C0ACC">
            <w:pPr>
              <w:pStyle w:val="211"/>
              <w:keepNext w:val="0"/>
              <w:keepLines w:val="0"/>
              <w:suppressLineNumbers w:val="0"/>
              <w:spacing w:before="0" w:beforeAutospacing="0" w:after="0" w:afterAutospacing="0" w:line="360" w:lineRule="auto"/>
              <w:ind w:left="0" w:right="0"/>
              <w:jc w:val="center"/>
              <w:rPr>
                <w:rFonts w:hint="eastAsia" w:ascii="Times New Roman" w:hAnsi="Times New Roman"/>
                <w:color w:val="auto"/>
                <w:szCs w:val="20"/>
              </w:rPr>
            </w:pPr>
            <w:r>
              <w:rPr>
                <w:rFonts w:hint="default"/>
                <w:color w:val="auto"/>
                <w:sz w:val="24"/>
                <w:szCs w:val="20"/>
              </w:rPr>
              <mc:AlternateContent>
                <mc:Choice Requires="wps">
                  <w:drawing>
                    <wp:anchor distT="0" distB="0" distL="114300" distR="114300" simplePos="0" relativeHeight="251671552" behindDoc="0" locked="0" layoutInCell="1" allowOverlap="1">
                      <wp:simplePos x="0" y="0"/>
                      <wp:positionH relativeFrom="column">
                        <wp:posOffset>1624330</wp:posOffset>
                      </wp:positionH>
                      <wp:positionV relativeFrom="paragraph">
                        <wp:posOffset>1799590</wp:posOffset>
                      </wp:positionV>
                      <wp:extent cx="95250" cy="666750"/>
                      <wp:effectExtent l="52705" t="0" r="23495" b="19050"/>
                      <wp:wrapNone/>
                      <wp:docPr id="106" name="直线 2077"/>
                      <wp:cNvGraphicFramePr/>
                      <a:graphic xmlns:a="http://schemas.openxmlformats.org/drawingml/2006/main">
                        <a:graphicData uri="http://schemas.microsoft.com/office/word/2010/wordprocessingShape">
                          <wps:wsp>
                            <wps:cNvCnPr/>
                            <wps:spPr>
                              <a:xfrm flipH="1" flipV="1">
                                <a:off x="0" y="0"/>
                                <a:ext cx="95250" cy="666750"/>
                              </a:xfrm>
                              <a:prstGeom prst="line">
                                <a:avLst/>
                              </a:prstGeom>
                              <a:ln w="31750" cap="flat" cmpd="sng">
                                <a:solidFill>
                                  <a:srgbClr val="FF0000"/>
                                </a:solidFill>
                                <a:prstDash val="solid"/>
                                <a:headEnd type="none" w="med" len="med"/>
                                <a:tailEnd type="arrow" w="med" len="med"/>
                              </a:ln>
                            </wps:spPr>
                            <wps:bodyPr upright="1"/>
                          </wps:wsp>
                        </a:graphicData>
                      </a:graphic>
                    </wp:anchor>
                  </w:drawing>
                </mc:Choice>
                <mc:Fallback>
                  <w:pict>
                    <v:line id="直线 2077" o:spid="_x0000_s1026" o:spt="20" style="position:absolute;left:0pt;flip:x y;margin-left:127.9pt;margin-top:141.7pt;height:52.5pt;width:7.5pt;z-index:251671552;mso-width-relative:page;mso-height-relative:page;" filled="f" stroked="t" coordsize="21600,21600" o:gfxdata="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pfNaNsAAAALAQAADwAAAAAAAAABACAAAAAiAAAAZHJz&#10;L2Rvd25yZXYueG1sUEsBAhQAFAAAAAgAh07iQEQvIiIBAgAA+QMAAA4AAAAAAAAAAQAgAAAAKgEA&#10;AGRycy9lMm9Eb2MueG1sUEsFBgAAAAAGAAYAWQEAAJ0FAAAAAA==&#10;">
                      <v:fill on="f" focussize="0,0"/>
                      <v:stroke weight="2.5pt" color="#FF0000" joinstyle="round" endarrow="open"/>
                      <v:imagedata o:title=""/>
                      <o:lock v:ext="edit" aspectratio="f"/>
                    </v:line>
                  </w:pict>
                </mc:Fallback>
              </mc:AlternateContent>
            </w:r>
            <w:r>
              <w:rPr>
                <w:rFonts w:hint="eastAsia"/>
                <w:b/>
                <w:color w:val="auto"/>
                <w:szCs w:val="20"/>
              </w:rPr>
              <mc:AlternateContent>
                <mc:Choice Requires="wps">
                  <w:drawing>
                    <wp:anchor distT="0" distB="0" distL="114300" distR="114300" simplePos="0" relativeHeight="251662336" behindDoc="0" locked="0" layoutInCell="1" allowOverlap="1">
                      <wp:simplePos x="0" y="0"/>
                      <wp:positionH relativeFrom="column">
                        <wp:posOffset>2649220</wp:posOffset>
                      </wp:positionH>
                      <wp:positionV relativeFrom="paragraph">
                        <wp:posOffset>1190625</wp:posOffset>
                      </wp:positionV>
                      <wp:extent cx="1193800" cy="273050"/>
                      <wp:effectExtent l="1030605" t="410845" r="23495" b="20955"/>
                      <wp:wrapNone/>
                      <wp:docPr id="96" name="自选图形 328"/>
                      <wp:cNvGraphicFramePr/>
                      <a:graphic xmlns:a="http://schemas.openxmlformats.org/drawingml/2006/main">
                        <a:graphicData uri="http://schemas.microsoft.com/office/word/2010/wordprocessingShape">
                          <wps:wsp>
                            <wps:cNvSpPr/>
                            <wps:spPr>
                              <a:xfrm>
                                <a:off x="0" y="0"/>
                                <a:ext cx="1193800" cy="273050"/>
                              </a:xfrm>
                              <a:prstGeom prst="wedgeRoundRectCallout">
                                <a:avLst>
                                  <a:gd name="adj1" fmla="val -136324"/>
                                  <a:gd name="adj2" fmla="val -200458"/>
                                  <a:gd name="adj3" fmla="val 16667"/>
                                </a:avLst>
                              </a:prstGeom>
                              <a:gradFill rotWithShape="0">
                                <a:gsLst>
                                  <a:gs pos="0">
                                    <a:srgbClr val="4F81BD"/>
                                  </a:gs>
                                  <a:gs pos="100000">
                                    <a:srgbClr val="4F81BD">
                                      <a:gamma/>
                                      <a:tint val="20000"/>
                                      <a:invGamma/>
                                    </a:srgbClr>
                                  </a:gs>
                                </a:gsLst>
                                <a:lin ang="2700000" scaled="1"/>
                                <a:tileRect/>
                              </a:gradFill>
                              <a:ln>
                                <a:noFill/>
                              </a:ln>
                              <a:effectLst>
                                <a:prstShdw prst="shdw17" dist="17961" dir="2699999">
                                  <a:srgbClr val="4F81BD">
                                    <a:gamma/>
                                    <a:shade val="60000"/>
                                    <a:invGamma/>
                                  </a:srgbClr>
                                </a:prstShdw>
                              </a:effectLst>
                            </wps:spPr>
                            <wps:txbx>
                              <w:txbxContent>
                                <w:p w14:paraId="7B97771B">
                                  <w:pPr>
                                    <w:jc w:val="center"/>
                                    <w:rPr>
                                      <w:b/>
                                      <w:color w:val="FF0000"/>
                                    </w:rPr>
                                  </w:pPr>
                                  <w:r>
                                    <w:rPr>
                                      <w:b/>
                                      <w:color w:val="FF0000"/>
                                    </w:rPr>
                                    <w:t>项目所在位置</w:t>
                                  </w:r>
                                </w:p>
                              </w:txbxContent>
                            </wps:txbx>
                            <wps:bodyPr vert="horz" wrap="square" anchor="t" anchorCtr="0" upright="1"/>
                          </wps:wsp>
                        </a:graphicData>
                      </a:graphic>
                    </wp:anchor>
                  </w:drawing>
                </mc:Choice>
                <mc:Fallback>
                  <w:pict>
                    <v:shape id="自选图形 328" o:spid="_x0000_s1026" o:spt="62" type="#_x0000_t62" style="position:absolute;left:0pt;margin-left:208.6pt;margin-top:93.75pt;height:21.5pt;width:94pt;z-index:251662336;mso-width-relative:page;mso-height-relative:page;" fillcolor="#4F81BD" filled="t" stroked="f" coordsize="21600,21600" o:gfxdata="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Ls2jIvXAAAACwEAAA8AAAAAAAAAAQAgAAAA&#10;IgAAAGRycy9kb3ducmV2LnhtbFBLAQIUABQAAAAIAIdO4kAhOIxctwIAAK0FAAAOAAAAAAAAAAEA&#10;IAAAACYBAABkcnMvZTJvRG9jLnhtbFBLBQYAAAAABgAGAFkBAABPBgAAAAA=&#10;" adj="-18646,-32499,14400">
                      <v:fill type="gradient" on="t" color2="#DCE6F2" angle="45" focus="100%" focussize="0,0"/>
                      <v:stroke on="f"/>
                      <v:imagedata embosscolor="shadow add(51)" o:title=""/>
                      <o:lock v:ext="edit" aspectratio="f"/>
                      <v:shadow on="t" type="emboss" color="#2F4D71" color2="shadow add(102)" offset="1pt,1pt" origin="0f,0f" matrix="65536f,0f,0f,65536f,0,0"/>
                      <v:textbox>
                        <w:txbxContent>
                          <w:p w14:paraId="7B97771B">
                            <w:pPr>
                              <w:jc w:val="center"/>
                              <w:rPr>
                                <w:b/>
                                <w:color w:val="FF0000"/>
                              </w:rPr>
                            </w:pPr>
                            <w:r>
                              <w:rPr>
                                <w:b/>
                                <w:color w:val="FF0000"/>
                              </w:rPr>
                              <w:t>项目所在位置</w:t>
                            </w:r>
                          </w:p>
                        </w:txbxContent>
                      </v:textbox>
                    </v:shape>
                  </w:pict>
                </mc:Fallback>
              </mc:AlternateContent>
            </w:r>
            <w:r>
              <w:rPr>
                <w:rFonts w:hint="eastAsia"/>
                <w:b/>
                <w:color w:val="auto"/>
                <w:szCs w:val="20"/>
              </w:rPr>
              <mc:AlternateContent>
                <mc:Choice Requires="wps">
                  <w:drawing>
                    <wp:anchor distT="0" distB="0" distL="114300" distR="114300" simplePos="0" relativeHeight="251663360" behindDoc="0" locked="0" layoutInCell="1" allowOverlap="1">
                      <wp:simplePos x="0" y="0"/>
                      <wp:positionH relativeFrom="column">
                        <wp:posOffset>1524635</wp:posOffset>
                      </wp:positionH>
                      <wp:positionV relativeFrom="paragraph">
                        <wp:posOffset>675640</wp:posOffset>
                      </wp:positionV>
                      <wp:extent cx="151765" cy="146685"/>
                      <wp:effectExtent l="0" t="0" r="635" b="5715"/>
                      <wp:wrapNone/>
                      <wp:docPr id="97" name="自选图形 329"/>
                      <wp:cNvGraphicFramePr/>
                      <a:graphic xmlns:a="http://schemas.openxmlformats.org/drawingml/2006/main">
                        <a:graphicData uri="http://schemas.microsoft.com/office/word/2010/wordprocessingShape">
                          <wps:wsp>
                            <wps:cNvSpPr/>
                            <wps:spPr>
                              <a:xfrm>
                                <a:off x="0" y="0"/>
                                <a:ext cx="151765" cy="146685"/>
                              </a:xfrm>
                              <a:prstGeom prst="triangle">
                                <a:avLst>
                                  <a:gd name="adj" fmla="val 50000"/>
                                </a:avLst>
                              </a:prstGeom>
                              <a:solidFill>
                                <a:srgbClr val="FF0000"/>
                              </a:solidFill>
                              <a:ln>
                                <a:noFill/>
                              </a:ln>
                            </wps:spPr>
                            <wps:bodyPr vert="horz" wrap="square" anchor="t" anchorCtr="0" upright="1"/>
                          </wps:wsp>
                        </a:graphicData>
                      </a:graphic>
                    </wp:anchor>
                  </w:drawing>
                </mc:Choice>
                <mc:Fallback>
                  <w:pict>
                    <v:shape id="自选图形 329" o:spid="_x0000_s1026" o:spt="5" type="#_x0000_t5" style="position:absolute;left:0pt;margin-left:120.05pt;margin-top:53.2pt;height:11.55pt;width:11.95pt;z-index:251663360;mso-width-relative:page;mso-height-relative:page;" fillcolor="#FF0000" filled="t" stroked="f" coordsize="21600,21600" o:gfxdata="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Kegd72gAAAAsBAAAPAAAAAAAAAAEAIAAAACIAAABkcnMvZG93bnJldi54bWxQ&#10;SwECFAAUAAAACACHTuJAVX0P1PUBAADKAwAADgAAAAAAAAABACAAAAApAQAAZHJzL2Uyb0RvYy54&#10;bWxQSwUGAAAAAAYABgBZAQAAkAUAAAAA&#10;" adj="10800">
                      <v:fill on="t" focussize="0,0"/>
                      <v:stroke on="f"/>
                      <v:imagedata o:title=""/>
                      <o:lock v:ext="edit" aspectratio="f"/>
                    </v:shape>
                  </w:pict>
                </mc:Fallback>
              </mc:AlternateContent>
            </w:r>
          </w:p>
          <w:p w14:paraId="76E2308D">
            <w:pPr>
              <w:pStyle w:val="7"/>
              <w:keepNext w:val="0"/>
              <w:keepLines w:val="0"/>
              <w:suppressLineNumbers w:val="0"/>
              <w:spacing w:before="0" w:beforeAutospacing="0" w:after="0" w:afterAutospacing="0" w:line="360" w:lineRule="auto"/>
              <w:ind w:left="0" w:right="0" w:firstLine="472" w:firstLineChars="196"/>
              <w:jc w:val="center"/>
              <w:rPr>
                <w:rFonts w:hint="eastAsia" w:hAnsi="宋体"/>
                <w:b/>
                <w:color w:val="auto"/>
                <w:sz w:val="24"/>
              </w:rPr>
            </w:pPr>
          </w:p>
          <w:p w14:paraId="0126A510">
            <w:pPr>
              <w:pStyle w:val="7"/>
              <w:keepNext w:val="0"/>
              <w:keepLines w:val="0"/>
              <w:suppressLineNumbers w:val="0"/>
              <w:spacing w:before="0" w:beforeAutospacing="0" w:after="0" w:afterAutospacing="0" w:line="360" w:lineRule="auto"/>
              <w:ind w:left="0" w:right="0" w:firstLine="470" w:firstLineChars="196"/>
              <w:jc w:val="center"/>
              <w:rPr>
                <w:rFonts w:hint="eastAsia" w:hAnsi="宋体"/>
                <w:b/>
                <w:color w:val="auto"/>
                <w:sz w:val="24"/>
              </w:rPr>
            </w:pPr>
            <w:r>
              <w:rPr>
                <w:rFonts w:hint="default"/>
                <w:color w:val="auto"/>
                <w:sz w:val="24"/>
              </w:rPr>
              <mc:AlternateContent>
                <mc:Choice Requires="wps">
                  <w:drawing>
                    <wp:anchor distT="0" distB="0" distL="114300" distR="114300" simplePos="0" relativeHeight="251670528" behindDoc="0" locked="0" layoutInCell="1" allowOverlap="1">
                      <wp:simplePos x="0" y="0"/>
                      <wp:positionH relativeFrom="column">
                        <wp:posOffset>1682750</wp:posOffset>
                      </wp:positionH>
                      <wp:positionV relativeFrom="paragraph">
                        <wp:posOffset>94615</wp:posOffset>
                      </wp:positionV>
                      <wp:extent cx="322580" cy="222250"/>
                      <wp:effectExtent l="15875" t="15875" r="23495" b="28575"/>
                      <wp:wrapNone/>
                      <wp:docPr id="105" name="矩形 2076"/>
                      <wp:cNvGraphicFramePr/>
                      <a:graphic xmlns:a="http://schemas.openxmlformats.org/drawingml/2006/main">
                        <a:graphicData uri="http://schemas.microsoft.com/office/word/2010/wordprocessingShape">
                          <wps:wsp>
                            <wps:cNvSpPr/>
                            <wps:spPr>
                              <a:xfrm>
                                <a:off x="0" y="0"/>
                                <a:ext cx="322580" cy="222250"/>
                              </a:xfrm>
                              <a:prstGeom prst="rect">
                                <a:avLst/>
                              </a:prstGeom>
                              <a:noFill/>
                              <a:ln w="31750" cap="flat" cmpd="sng">
                                <a:solidFill>
                                  <a:srgbClr val="FF0000"/>
                                </a:solidFill>
                                <a:prstDash val="solid"/>
                                <a:miter/>
                                <a:headEnd type="none" w="med" len="med"/>
                                <a:tailEnd type="none" w="med" len="med"/>
                              </a:ln>
                            </wps:spPr>
                            <wps:bodyPr vert="horz" wrap="square" anchor="t" anchorCtr="0" upright="1"/>
                          </wps:wsp>
                        </a:graphicData>
                      </a:graphic>
                    </wp:anchor>
                  </w:drawing>
                </mc:Choice>
                <mc:Fallback>
                  <w:pict>
                    <v:rect id="矩形 2076" o:spid="_x0000_s1026" o:spt="1" style="position:absolute;left:0pt;margin-left:132.5pt;margin-top:7.45pt;height:17.5pt;width:25.4pt;z-index:251670528;mso-width-relative:page;mso-height-relative:page;" filled="f" stroked="t" coordsize="21600,21600" o:gfxdata="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ZBO6doAAAAJAQAA&#10;DwAAAAAAAAABACAAAAAiAAAAZHJzL2Rvd25yZXYueG1sUEsBAhQAFAAAAAgAh07iQG6pqsUXAgAA&#10;LQQAAA4AAAAAAAAAAQAgAAAAKQEAAGRycy9lMm9Eb2MueG1sUEsFBgAAAAAGAAYAWQEAALIFAAAA&#10;AA==&#10;">
                      <v:fill on="f" focussize="0,0"/>
                      <v:stroke weight="2.5pt" color="#FF0000" joinstyle="miter"/>
                      <v:imagedata o:title=""/>
                      <o:lock v:ext="edit" aspectratio="f"/>
                    </v:rect>
                  </w:pict>
                </mc:Fallback>
              </mc:AlternateContent>
            </w:r>
          </w:p>
          <w:p w14:paraId="25B3A7F7">
            <w:pPr>
              <w:pStyle w:val="7"/>
              <w:keepNext w:val="0"/>
              <w:keepLines w:val="0"/>
              <w:suppressLineNumbers w:val="0"/>
              <w:spacing w:before="0" w:beforeAutospacing="0" w:after="0" w:afterAutospacing="0" w:line="360" w:lineRule="auto"/>
              <w:ind w:left="0" w:right="0" w:firstLine="472" w:firstLineChars="196"/>
              <w:jc w:val="center"/>
              <w:rPr>
                <w:rFonts w:hint="eastAsia" w:hAnsi="宋体"/>
                <w:b/>
                <w:color w:val="auto"/>
                <w:sz w:val="24"/>
              </w:rPr>
            </w:pPr>
          </w:p>
          <w:p w14:paraId="5B0EE24D">
            <w:pPr>
              <w:pStyle w:val="7"/>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firstLine="0" w:firstLineChars="0"/>
              <w:jc w:val="center"/>
              <w:textAlignment w:val="auto"/>
              <w:rPr>
                <w:rFonts w:hint="eastAsia" w:hAnsi="宋体"/>
                <w:b/>
                <w:color w:val="auto"/>
                <w:sz w:val="24"/>
              </w:rPr>
            </w:pPr>
          </w:p>
          <w:p w14:paraId="70D6EDC4">
            <w:pPr>
              <w:pStyle w:val="7"/>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firstLine="0" w:firstLineChars="0"/>
              <w:jc w:val="center"/>
              <w:textAlignment w:val="auto"/>
              <w:rPr>
                <w:rFonts w:hint="eastAsia" w:hAnsi="宋体"/>
                <w:b/>
                <w:color w:val="auto"/>
                <w:sz w:val="24"/>
              </w:rPr>
            </w:pPr>
            <w:r>
              <w:rPr>
                <w:rFonts w:hint="eastAsia" w:hAnsi="宋体"/>
                <w:b/>
                <w:color w:val="auto"/>
                <w:sz w:val="24"/>
              </w:rPr>
              <w:t xml:space="preserve">图3-2 </w:t>
            </w:r>
            <w:r>
              <w:rPr>
                <w:rFonts w:hint="eastAsia" w:hAnsi="宋体"/>
                <w:b/>
                <w:color w:val="auto"/>
                <w:sz w:val="24"/>
                <w:lang w:eastAsia="zh-CN"/>
              </w:rPr>
              <w:t>内蒙古自治区</w:t>
            </w:r>
            <w:r>
              <w:rPr>
                <w:rFonts w:hint="eastAsia" w:hAnsi="宋体"/>
                <w:b/>
                <w:color w:val="auto"/>
                <w:sz w:val="24"/>
              </w:rPr>
              <w:t>生态功能区划图</w:t>
            </w:r>
          </w:p>
          <w:p w14:paraId="7C45FD80">
            <w:pPr>
              <w:pStyle w:val="211"/>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2" w:firstLineChars="200"/>
              <w:textAlignment w:val="auto"/>
              <w:rPr>
                <w:rFonts w:hint="eastAsia" w:ascii="Times New Roman" w:hAnsi="Times New Roman"/>
                <w:b/>
                <w:color w:val="auto"/>
                <w:szCs w:val="20"/>
              </w:rPr>
            </w:pPr>
            <w:r>
              <w:rPr>
                <w:rFonts w:hint="eastAsia" w:ascii="Times New Roman" w:hAnsi="Times New Roman"/>
                <w:b/>
                <w:color w:val="auto"/>
                <w:szCs w:val="20"/>
              </w:rPr>
              <w:t>（3）环境功能区划</w:t>
            </w:r>
          </w:p>
          <w:p w14:paraId="6300264E">
            <w:pPr>
              <w:pStyle w:val="211"/>
              <w:keepNext w:val="0"/>
              <w:keepLines w:val="0"/>
              <w:suppressLineNumbers w:val="0"/>
              <w:spacing w:before="0" w:beforeAutospacing="0" w:after="0" w:afterAutospacing="0" w:line="360" w:lineRule="auto"/>
              <w:ind w:left="0" w:right="0" w:firstLine="480" w:firstLineChars="200"/>
              <w:rPr>
                <w:rFonts w:hint="eastAsia" w:ascii="Times New Roman" w:hAnsi="Times New Roman"/>
                <w:color w:val="auto"/>
                <w:szCs w:val="20"/>
              </w:rPr>
            </w:pPr>
            <w:r>
              <w:rPr>
                <w:rFonts w:hint="eastAsia" w:ascii="Times New Roman" w:hAnsi="Times New Roman"/>
                <w:color w:val="auto"/>
                <w:szCs w:val="20"/>
              </w:rPr>
              <w:t>项目区域大气环境为二类区，执行《环境空气质量标准》（</w:t>
            </w:r>
            <w:r>
              <w:rPr>
                <w:rFonts w:hint="default" w:ascii="Times New Roman" w:hAnsi="Times New Roman"/>
                <w:color w:val="auto"/>
                <w:szCs w:val="20"/>
              </w:rPr>
              <w:t>GB3095-2012</w:t>
            </w:r>
            <w:r>
              <w:rPr>
                <w:rFonts w:hint="eastAsia" w:ascii="Times New Roman" w:hAnsi="Times New Roman"/>
                <w:color w:val="auto"/>
                <w:szCs w:val="20"/>
              </w:rPr>
              <w:t>）及修改单中的二级标准；声环境执行《声环境质量标准》2类标准。</w:t>
            </w:r>
          </w:p>
          <w:p w14:paraId="6852A815">
            <w:pPr>
              <w:keepNext w:val="0"/>
              <w:keepLines w:val="0"/>
              <w:suppressLineNumbers w:val="0"/>
              <w:adjustRightInd w:val="0"/>
              <w:spacing w:before="0" w:beforeAutospacing="0" w:after="0" w:afterAutospacing="0" w:line="360" w:lineRule="auto"/>
              <w:ind w:left="0" w:right="0" w:firstLine="482" w:firstLineChars="200"/>
              <w:rPr>
                <w:rFonts w:hint="default"/>
                <w:b/>
                <w:color w:val="auto"/>
                <w:sz w:val="24"/>
              </w:rPr>
            </w:pPr>
            <w:r>
              <w:rPr>
                <w:rFonts w:hint="eastAsia"/>
                <w:b/>
                <w:color w:val="auto"/>
                <w:sz w:val="24"/>
              </w:rPr>
              <w:t>2</w:t>
            </w:r>
            <w:r>
              <w:rPr>
                <w:rFonts w:hint="default"/>
                <w:b/>
                <w:color w:val="auto"/>
                <w:sz w:val="24"/>
              </w:rPr>
              <w:t>、环境空气质量现状</w:t>
            </w:r>
          </w:p>
          <w:p w14:paraId="3F46E439">
            <w:pPr>
              <w:keepNext w:val="0"/>
              <w:keepLines w:val="0"/>
              <w:suppressLineNumbers w:val="0"/>
              <w:adjustRightInd w:val="0"/>
              <w:spacing w:before="0" w:beforeAutospacing="0" w:after="0" w:afterAutospacing="0" w:line="360" w:lineRule="auto"/>
              <w:ind w:left="0" w:right="0" w:firstLine="482" w:firstLineChars="200"/>
              <w:rPr>
                <w:rFonts w:hint="default"/>
                <w:b/>
                <w:color w:val="auto"/>
                <w:sz w:val="24"/>
              </w:rPr>
            </w:pPr>
            <w:r>
              <w:rPr>
                <w:rFonts w:hint="default"/>
                <w:b/>
                <w:color w:val="auto"/>
                <w:sz w:val="24"/>
              </w:rPr>
              <w:t>（1）常规因子</w:t>
            </w:r>
          </w:p>
          <w:p w14:paraId="4A2AE7EC">
            <w:pPr>
              <w:pStyle w:val="211"/>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color w:val="auto"/>
                <w:szCs w:val="20"/>
              </w:rPr>
            </w:pPr>
            <w:r>
              <w:rPr>
                <w:rFonts w:hint="eastAsia" w:ascii="Times New Roman" w:hAnsi="Times New Roman"/>
                <w:color w:val="auto"/>
                <w:szCs w:val="20"/>
                <w:lang w:eastAsia="zh-CN"/>
              </w:rPr>
              <w:t>本工程</w:t>
            </w:r>
            <w:r>
              <w:rPr>
                <w:rFonts w:hint="eastAsia" w:ascii="Times New Roman" w:hAnsi="Times New Roman"/>
                <w:color w:val="auto"/>
                <w:szCs w:val="20"/>
              </w:rPr>
              <w:t>位于内蒙古自治区巴彦淖尔市磴口县境内，根据《环境影响评价技术导则</w:t>
            </w:r>
            <w:r>
              <w:rPr>
                <w:rFonts w:hint="eastAsia" w:ascii="Times New Roman" w:hAnsi="Times New Roman"/>
                <w:color w:val="auto"/>
                <w:szCs w:val="20"/>
                <w:lang w:val="en-US" w:eastAsia="zh-CN"/>
              </w:rPr>
              <w:t xml:space="preserve"> </w:t>
            </w:r>
            <w:r>
              <w:rPr>
                <w:rFonts w:hint="eastAsia" w:ascii="Times New Roman" w:hAnsi="Times New Roman"/>
                <w:color w:val="auto"/>
                <w:szCs w:val="20"/>
              </w:rPr>
              <w:t>大气环境》（HJ2.2-2018）的规定，项目所在区域环境空气质量达标判定，优先采用国家或地方生态环境主管部门公开发布的评价基准年环境质量公告或环境质量报告中的数据或结论。</w:t>
            </w:r>
            <w:r>
              <w:rPr>
                <w:rFonts w:hint="default" w:ascii="Times New Roman" w:hAnsi="Times New Roman"/>
                <w:color w:val="auto"/>
                <w:szCs w:val="20"/>
              </w:rPr>
              <w:t>本次采用</w:t>
            </w:r>
            <w:r>
              <w:rPr>
                <w:rFonts w:hint="eastAsia" w:ascii="Times New Roman" w:hAnsi="Times New Roman"/>
                <w:color w:val="auto"/>
                <w:szCs w:val="20"/>
              </w:rPr>
              <w:t>《巴彦淖尔市202</w:t>
            </w:r>
            <w:r>
              <w:rPr>
                <w:rFonts w:hint="eastAsia" w:ascii="Times New Roman" w:hAnsi="Times New Roman"/>
                <w:color w:val="auto"/>
                <w:szCs w:val="20"/>
                <w:lang w:val="en-US" w:eastAsia="zh-CN"/>
              </w:rPr>
              <w:t>3</w:t>
            </w:r>
            <w:r>
              <w:rPr>
                <w:rFonts w:hint="eastAsia" w:ascii="Times New Roman" w:hAnsi="Times New Roman"/>
                <w:color w:val="auto"/>
                <w:szCs w:val="20"/>
              </w:rPr>
              <w:t>年环境质量状况公报》</w:t>
            </w:r>
            <w:r>
              <w:rPr>
                <w:rFonts w:hint="default" w:ascii="Times New Roman" w:hAnsi="Times New Roman"/>
                <w:color w:val="auto"/>
                <w:szCs w:val="20"/>
              </w:rPr>
              <w:t>中</w:t>
            </w:r>
            <w:r>
              <w:rPr>
                <w:rFonts w:hint="eastAsia" w:ascii="Times New Roman" w:hAnsi="Times New Roman"/>
                <w:color w:val="auto"/>
                <w:szCs w:val="20"/>
                <w:lang w:eastAsia="zh-CN"/>
              </w:rPr>
              <w:t>环境空气质量监测数据作为评价区域达标情况的依据，具体结果情况见下表</w:t>
            </w:r>
            <w:r>
              <w:rPr>
                <w:rFonts w:hint="default" w:ascii="Times New Roman" w:hAnsi="Times New Roman"/>
                <w:color w:val="auto"/>
                <w:szCs w:val="20"/>
              </w:rPr>
              <w:t>。</w:t>
            </w:r>
          </w:p>
          <w:p w14:paraId="58D09EC2">
            <w:pPr>
              <w:keepNext w:val="0"/>
              <w:keepLines w:val="0"/>
              <w:suppressLineNumbers w:val="0"/>
              <w:snapToGrid w:val="0"/>
              <w:spacing w:before="0" w:beforeAutospacing="0" w:after="0" w:afterAutospacing="0"/>
              <w:ind w:left="0" w:right="0"/>
              <w:jc w:val="center"/>
              <w:rPr>
                <w:rFonts w:hint="eastAsia"/>
                <w:b/>
                <w:bCs/>
                <w:color w:val="auto"/>
                <w:sz w:val="24"/>
              </w:rPr>
            </w:pPr>
            <w:r>
              <w:rPr>
                <w:rFonts w:hint="default"/>
                <w:b/>
                <w:bCs/>
                <w:color w:val="auto"/>
                <w:sz w:val="24"/>
              </w:rPr>
              <w:t>表3-</w:t>
            </w:r>
            <w:r>
              <w:rPr>
                <w:rFonts w:hint="eastAsia"/>
                <w:b/>
                <w:bCs/>
                <w:color w:val="auto"/>
                <w:sz w:val="24"/>
              </w:rPr>
              <w:t>2</w:t>
            </w:r>
            <w:r>
              <w:rPr>
                <w:rFonts w:hint="default"/>
                <w:b/>
                <w:bCs/>
                <w:color w:val="auto"/>
                <w:sz w:val="24"/>
              </w:rPr>
              <w:t xml:space="preserve"> </w:t>
            </w:r>
            <w:r>
              <w:rPr>
                <w:rFonts w:hint="eastAsia"/>
                <w:b/>
                <w:bCs/>
                <w:color w:val="auto"/>
                <w:sz w:val="24"/>
                <w:lang w:eastAsia="zh-CN"/>
              </w:rPr>
              <w:t>巴彦淖尔市</w:t>
            </w:r>
            <w:r>
              <w:rPr>
                <w:rFonts w:hint="default"/>
                <w:b/>
                <w:bCs/>
                <w:color w:val="auto"/>
                <w:sz w:val="24"/>
              </w:rPr>
              <w:t>20</w:t>
            </w:r>
            <w:r>
              <w:rPr>
                <w:rFonts w:hint="eastAsia"/>
                <w:b/>
                <w:bCs/>
                <w:color w:val="auto"/>
                <w:sz w:val="24"/>
              </w:rPr>
              <w:t>2</w:t>
            </w:r>
            <w:r>
              <w:rPr>
                <w:rFonts w:hint="eastAsia"/>
                <w:b/>
                <w:bCs/>
                <w:color w:val="auto"/>
                <w:sz w:val="24"/>
                <w:lang w:val="en-US" w:eastAsia="zh-CN"/>
              </w:rPr>
              <w:t>3</w:t>
            </w:r>
            <w:r>
              <w:rPr>
                <w:rFonts w:hint="default"/>
                <w:b/>
                <w:bCs/>
                <w:color w:val="auto"/>
                <w:sz w:val="24"/>
              </w:rPr>
              <w:t>年环境空气监测结果</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55"/>
              <w:gridCol w:w="2726"/>
              <w:gridCol w:w="1202"/>
              <w:gridCol w:w="1202"/>
              <w:gridCol w:w="1063"/>
              <w:gridCol w:w="783"/>
            </w:tblGrid>
            <w:tr w14:paraId="37775B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62" w:type="pct"/>
                  <w:noWrap w:val="0"/>
                  <w:vAlign w:val="center"/>
                </w:tcPr>
                <w:p w14:paraId="178BE730">
                  <w:pPr>
                    <w:keepNext w:val="0"/>
                    <w:keepLines w:val="0"/>
                    <w:suppressLineNumbers w:val="0"/>
                    <w:adjustRightInd w:val="0"/>
                    <w:snapToGrid w:val="0"/>
                    <w:spacing w:before="0" w:beforeAutospacing="0" w:after="0" w:afterAutospacing="0" w:line="0" w:lineRule="atLeast"/>
                    <w:ind w:left="0" w:right="0"/>
                    <w:jc w:val="center"/>
                    <w:rPr>
                      <w:rFonts w:hint="default"/>
                      <w:color w:val="auto"/>
                    </w:rPr>
                  </w:pPr>
                  <w:r>
                    <w:rPr>
                      <w:rFonts w:hint="default"/>
                      <w:color w:val="auto"/>
                    </w:rPr>
                    <w:t>污染物</w:t>
                  </w:r>
                </w:p>
              </w:tc>
              <w:tc>
                <w:tcPr>
                  <w:tcW w:w="1655" w:type="pct"/>
                  <w:noWrap w:val="0"/>
                  <w:vAlign w:val="center"/>
                </w:tcPr>
                <w:p w14:paraId="273D3FA0">
                  <w:pPr>
                    <w:keepNext w:val="0"/>
                    <w:keepLines w:val="0"/>
                    <w:suppressLineNumbers w:val="0"/>
                    <w:adjustRightInd w:val="0"/>
                    <w:snapToGrid w:val="0"/>
                    <w:spacing w:before="0" w:beforeAutospacing="0" w:after="0" w:afterAutospacing="0" w:line="0" w:lineRule="atLeast"/>
                    <w:ind w:left="0" w:right="0"/>
                    <w:jc w:val="center"/>
                    <w:rPr>
                      <w:rFonts w:hint="default"/>
                      <w:color w:val="auto"/>
                    </w:rPr>
                  </w:pPr>
                  <w:r>
                    <w:rPr>
                      <w:rFonts w:hint="default"/>
                      <w:color w:val="auto"/>
                      <w:highlight w:val="none"/>
                    </w:rPr>
                    <w:t>年</w:t>
                  </w:r>
                  <w:r>
                    <w:rPr>
                      <w:rFonts w:hint="default"/>
                      <w:color w:val="auto"/>
                    </w:rPr>
                    <w:t>评价指标</w:t>
                  </w:r>
                </w:p>
              </w:tc>
              <w:tc>
                <w:tcPr>
                  <w:tcW w:w="730" w:type="pct"/>
                  <w:noWrap w:val="0"/>
                  <w:vAlign w:val="center"/>
                </w:tcPr>
                <w:p w14:paraId="523D4622">
                  <w:pPr>
                    <w:keepNext w:val="0"/>
                    <w:keepLines w:val="0"/>
                    <w:suppressLineNumbers w:val="0"/>
                    <w:spacing w:before="0" w:beforeAutospacing="0" w:after="0" w:afterAutospacing="0" w:line="0" w:lineRule="atLeast"/>
                    <w:ind w:left="0" w:right="0"/>
                    <w:jc w:val="center"/>
                    <w:rPr>
                      <w:rFonts w:hint="default"/>
                      <w:color w:val="auto"/>
                    </w:rPr>
                  </w:pPr>
                  <w:r>
                    <w:rPr>
                      <w:rFonts w:hint="default"/>
                      <w:color w:val="auto"/>
                    </w:rPr>
                    <w:t>现状浓度</w:t>
                  </w:r>
                  <w:r>
                    <w:rPr>
                      <w:rFonts w:hint="default"/>
                      <w:color w:val="auto"/>
                      <w:szCs w:val="21"/>
                    </w:rPr>
                    <w:t>（μg/m</w:t>
                  </w:r>
                  <w:r>
                    <w:rPr>
                      <w:rFonts w:hint="default"/>
                      <w:color w:val="auto"/>
                      <w:szCs w:val="21"/>
                      <w:vertAlign w:val="superscript"/>
                    </w:rPr>
                    <w:t>3</w:t>
                  </w:r>
                  <w:r>
                    <w:rPr>
                      <w:rFonts w:hint="default"/>
                      <w:color w:val="auto"/>
                      <w:szCs w:val="21"/>
                    </w:rPr>
                    <w:t>）</w:t>
                  </w:r>
                </w:p>
              </w:tc>
              <w:tc>
                <w:tcPr>
                  <w:tcW w:w="730" w:type="pct"/>
                  <w:noWrap w:val="0"/>
                  <w:vAlign w:val="center"/>
                </w:tcPr>
                <w:p w14:paraId="3EDC2E2B">
                  <w:pPr>
                    <w:keepNext w:val="0"/>
                    <w:keepLines w:val="0"/>
                    <w:suppressLineNumbers w:val="0"/>
                    <w:spacing w:before="0" w:beforeAutospacing="0" w:after="0" w:afterAutospacing="0" w:line="0" w:lineRule="atLeast"/>
                    <w:ind w:left="0" w:right="0"/>
                    <w:jc w:val="center"/>
                    <w:rPr>
                      <w:rFonts w:hint="default"/>
                      <w:color w:val="auto"/>
                    </w:rPr>
                  </w:pPr>
                  <w:r>
                    <w:rPr>
                      <w:rFonts w:hint="default"/>
                      <w:color w:val="auto"/>
                    </w:rPr>
                    <w:t>标准浓度（μg/m</w:t>
                  </w:r>
                  <w:r>
                    <w:rPr>
                      <w:rFonts w:hint="default"/>
                      <w:color w:val="auto"/>
                      <w:vertAlign w:val="superscript"/>
                    </w:rPr>
                    <w:t>3</w:t>
                  </w:r>
                  <w:r>
                    <w:rPr>
                      <w:rFonts w:hint="default"/>
                      <w:color w:val="auto"/>
                    </w:rPr>
                    <w:t>）</w:t>
                  </w:r>
                </w:p>
              </w:tc>
              <w:tc>
                <w:tcPr>
                  <w:tcW w:w="645" w:type="pct"/>
                  <w:noWrap w:val="0"/>
                  <w:vAlign w:val="center"/>
                </w:tcPr>
                <w:p w14:paraId="3B542F93">
                  <w:pPr>
                    <w:keepNext w:val="0"/>
                    <w:keepLines w:val="0"/>
                    <w:suppressLineNumbers w:val="0"/>
                    <w:spacing w:before="0" w:beforeAutospacing="0" w:after="0" w:afterAutospacing="0" w:line="0" w:lineRule="atLeast"/>
                    <w:ind w:left="0" w:right="0"/>
                    <w:jc w:val="center"/>
                    <w:rPr>
                      <w:rFonts w:hint="default"/>
                      <w:color w:val="auto"/>
                    </w:rPr>
                  </w:pPr>
                  <w:r>
                    <w:rPr>
                      <w:rFonts w:hint="default"/>
                      <w:color w:val="auto"/>
                    </w:rPr>
                    <w:t>占标率（%）</w:t>
                  </w:r>
                </w:p>
              </w:tc>
              <w:tc>
                <w:tcPr>
                  <w:tcW w:w="475" w:type="pct"/>
                  <w:noWrap w:val="0"/>
                  <w:vAlign w:val="center"/>
                </w:tcPr>
                <w:p w14:paraId="63DE609A">
                  <w:pPr>
                    <w:keepNext w:val="0"/>
                    <w:keepLines w:val="0"/>
                    <w:suppressLineNumbers w:val="0"/>
                    <w:adjustRightInd w:val="0"/>
                    <w:spacing w:before="0" w:beforeAutospacing="0" w:after="0" w:afterAutospacing="0" w:line="0" w:lineRule="atLeast"/>
                    <w:ind w:left="0" w:right="0"/>
                    <w:jc w:val="center"/>
                    <w:rPr>
                      <w:rFonts w:hint="default"/>
                      <w:color w:val="auto"/>
                    </w:rPr>
                  </w:pPr>
                  <w:r>
                    <w:rPr>
                      <w:rFonts w:hint="default"/>
                      <w:color w:val="auto"/>
                    </w:rPr>
                    <w:t>达标情况</w:t>
                  </w:r>
                </w:p>
              </w:tc>
            </w:tr>
            <w:tr w14:paraId="27A450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62" w:type="pct"/>
                  <w:noWrap w:val="0"/>
                  <w:vAlign w:val="center"/>
                </w:tcPr>
                <w:p w14:paraId="2DCE87D3">
                  <w:pPr>
                    <w:keepNext w:val="0"/>
                    <w:keepLines w:val="0"/>
                    <w:suppressLineNumbers w:val="0"/>
                    <w:adjustRightInd w:val="0"/>
                    <w:snapToGrid w:val="0"/>
                    <w:spacing w:before="0" w:beforeAutospacing="0" w:after="0" w:afterAutospacing="0" w:line="0" w:lineRule="atLeast"/>
                    <w:ind w:left="0" w:right="0"/>
                    <w:jc w:val="center"/>
                    <w:rPr>
                      <w:rFonts w:hint="default"/>
                      <w:color w:val="auto"/>
                    </w:rPr>
                  </w:pPr>
                  <w:r>
                    <w:rPr>
                      <w:rFonts w:hint="default"/>
                      <w:color w:val="auto"/>
                    </w:rPr>
                    <w:t>PM</w:t>
                  </w:r>
                  <w:r>
                    <w:rPr>
                      <w:rFonts w:hint="default"/>
                      <w:color w:val="auto"/>
                      <w:vertAlign w:val="subscript"/>
                    </w:rPr>
                    <w:t>2.5</w:t>
                  </w:r>
                </w:p>
              </w:tc>
              <w:tc>
                <w:tcPr>
                  <w:tcW w:w="1655" w:type="pct"/>
                  <w:vMerge w:val="restart"/>
                  <w:noWrap w:val="0"/>
                  <w:vAlign w:val="center"/>
                </w:tcPr>
                <w:p w14:paraId="7F9EBF1F">
                  <w:pPr>
                    <w:keepNext w:val="0"/>
                    <w:keepLines w:val="0"/>
                    <w:suppressLineNumbers w:val="0"/>
                    <w:adjustRightInd w:val="0"/>
                    <w:snapToGrid w:val="0"/>
                    <w:spacing w:before="0" w:beforeAutospacing="0" w:after="0" w:afterAutospacing="0" w:line="0" w:lineRule="atLeast"/>
                    <w:ind w:left="0" w:right="0"/>
                    <w:jc w:val="center"/>
                    <w:rPr>
                      <w:rFonts w:hint="default"/>
                      <w:color w:val="auto"/>
                    </w:rPr>
                  </w:pPr>
                  <w:r>
                    <w:rPr>
                      <w:rFonts w:hint="default"/>
                      <w:color w:val="auto"/>
                    </w:rPr>
                    <w:t>（年平均质量浓度）</w:t>
                  </w:r>
                </w:p>
              </w:tc>
              <w:tc>
                <w:tcPr>
                  <w:tcW w:w="730" w:type="pct"/>
                  <w:noWrap w:val="0"/>
                  <w:vAlign w:val="center"/>
                </w:tcPr>
                <w:p w14:paraId="3E2D2CFC">
                  <w:pPr>
                    <w:keepNext w:val="0"/>
                    <w:keepLines w:val="0"/>
                    <w:suppressLineNumbers w:val="0"/>
                    <w:adjustRightInd w:val="0"/>
                    <w:spacing w:before="0" w:beforeAutospacing="0" w:after="0" w:afterAutospacing="0" w:line="0" w:lineRule="atLeast"/>
                    <w:ind w:left="0" w:right="0"/>
                    <w:jc w:val="center"/>
                    <w:rPr>
                      <w:rFonts w:hint="default" w:eastAsia="宋体"/>
                      <w:color w:val="auto"/>
                      <w:lang w:val="en-US" w:eastAsia="zh-CN"/>
                    </w:rPr>
                  </w:pPr>
                  <w:r>
                    <w:rPr>
                      <w:rFonts w:hint="eastAsia"/>
                      <w:color w:val="auto"/>
                      <w:lang w:val="en-US" w:eastAsia="zh-CN"/>
                    </w:rPr>
                    <w:t>26</w:t>
                  </w:r>
                </w:p>
              </w:tc>
              <w:tc>
                <w:tcPr>
                  <w:tcW w:w="730" w:type="pct"/>
                  <w:noWrap w:val="0"/>
                  <w:vAlign w:val="center"/>
                </w:tcPr>
                <w:p w14:paraId="395749AC">
                  <w:pPr>
                    <w:keepNext w:val="0"/>
                    <w:keepLines w:val="0"/>
                    <w:suppressLineNumbers w:val="0"/>
                    <w:adjustRightInd w:val="0"/>
                    <w:spacing w:before="0" w:beforeAutospacing="0" w:after="0" w:afterAutospacing="0" w:line="0" w:lineRule="atLeast"/>
                    <w:ind w:left="0" w:right="0"/>
                    <w:jc w:val="center"/>
                    <w:rPr>
                      <w:rFonts w:hint="default"/>
                      <w:color w:val="auto"/>
                    </w:rPr>
                  </w:pPr>
                  <w:r>
                    <w:rPr>
                      <w:rFonts w:hint="default"/>
                      <w:color w:val="auto"/>
                    </w:rPr>
                    <w:t>35</w:t>
                  </w:r>
                </w:p>
              </w:tc>
              <w:tc>
                <w:tcPr>
                  <w:tcW w:w="645" w:type="pct"/>
                  <w:noWrap w:val="0"/>
                  <w:vAlign w:val="center"/>
                </w:tcPr>
                <w:p w14:paraId="26C68022">
                  <w:pPr>
                    <w:keepNext w:val="0"/>
                    <w:keepLines w:val="0"/>
                    <w:suppressLineNumbers w:val="0"/>
                    <w:adjustRightInd w:val="0"/>
                    <w:spacing w:before="0" w:beforeAutospacing="0" w:after="0" w:afterAutospacing="0" w:line="0" w:lineRule="atLeast"/>
                    <w:ind w:left="0" w:right="0"/>
                    <w:jc w:val="center"/>
                    <w:rPr>
                      <w:rFonts w:hint="default" w:eastAsia="宋体"/>
                      <w:color w:val="auto"/>
                      <w:lang w:val="en-US" w:eastAsia="zh-CN"/>
                    </w:rPr>
                  </w:pPr>
                  <w:r>
                    <w:rPr>
                      <w:rFonts w:hint="eastAsia"/>
                      <w:color w:val="auto"/>
                      <w:lang w:val="en-US" w:eastAsia="zh-CN"/>
                    </w:rPr>
                    <w:t>74.29</w:t>
                  </w:r>
                </w:p>
              </w:tc>
              <w:tc>
                <w:tcPr>
                  <w:tcW w:w="475" w:type="pct"/>
                  <w:noWrap w:val="0"/>
                  <w:vAlign w:val="center"/>
                </w:tcPr>
                <w:p w14:paraId="5C3E5A26">
                  <w:pPr>
                    <w:keepNext w:val="0"/>
                    <w:keepLines w:val="0"/>
                    <w:suppressLineNumbers w:val="0"/>
                    <w:adjustRightInd w:val="0"/>
                    <w:spacing w:before="0" w:beforeAutospacing="0" w:after="0" w:afterAutospacing="0" w:line="0" w:lineRule="atLeast"/>
                    <w:ind w:left="0" w:right="0"/>
                    <w:jc w:val="center"/>
                    <w:rPr>
                      <w:rFonts w:hint="default"/>
                      <w:color w:val="auto"/>
                    </w:rPr>
                  </w:pPr>
                  <w:r>
                    <w:rPr>
                      <w:rFonts w:hint="default"/>
                      <w:color w:val="auto"/>
                    </w:rPr>
                    <w:t>达标</w:t>
                  </w:r>
                </w:p>
              </w:tc>
            </w:tr>
            <w:tr w14:paraId="12AF4A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62" w:type="pct"/>
                  <w:noWrap w:val="0"/>
                  <w:vAlign w:val="center"/>
                </w:tcPr>
                <w:p w14:paraId="0C0BBF37">
                  <w:pPr>
                    <w:keepNext w:val="0"/>
                    <w:keepLines w:val="0"/>
                    <w:suppressLineNumbers w:val="0"/>
                    <w:adjustRightInd w:val="0"/>
                    <w:snapToGrid w:val="0"/>
                    <w:spacing w:before="0" w:beforeAutospacing="0" w:after="0" w:afterAutospacing="0" w:line="0" w:lineRule="atLeast"/>
                    <w:ind w:left="0" w:right="0"/>
                    <w:jc w:val="center"/>
                    <w:rPr>
                      <w:rFonts w:hint="default"/>
                      <w:color w:val="auto"/>
                    </w:rPr>
                  </w:pPr>
                  <w:r>
                    <w:rPr>
                      <w:rFonts w:hint="default"/>
                      <w:color w:val="auto"/>
                    </w:rPr>
                    <w:t>PM</w:t>
                  </w:r>
                  <w:r>
                    <w:rPr>
                      <w:rFonts w:hint="default"/>
                      <w:color w:val="auto"/>
                      <w:vertAlign w:val="subscript"/>
                    </w:rPr>
                    <w:t>10</w:t>
                  </w:r>
                </w:p>
              </w:tc>
              <w:tc>
                <w:tcPr>
                  <w:tcW w:w="1655" w:type="pct"/>
                  <w:vMerge w:val="continue"/>
                  <w:noWrap w:val="0"/>
                  <w:vAlign w:val="center"/>
                </w:tcPr>
                <w:p w14:paraId="3D2838F8">
                  <w:pPr>
                    <w:keepNext w:val="0"/>
                    <w:keepLines w:val="0"/>
                    <w:widowControl/>
                    <w:suppressLineNumbers w:val="0"/>
                    <w:spacing w:before="0" w:beforeAutospacing="0" w:after="0" w:afterAutospacing="0"/>
                    <w:ind w:left="0" w:right="0"/>
                    <w:jc w:val="left"/>
                    <w:rPr>
                      <w:rFonts w:hint="default"/>
                      <w:color w:val="auto"/>
                    </w:rPr>
                  </w:pPr>
                </w:p>
              </w:tc>
              <w:tc>
                <w:tcPr>
                  <w:tcW w:w="730" w:type="pct"/>
                  <w:noWrap w:val="0"/>
                  <w:vAlign w:val="center"/>
                </w:tcPr>
                <w:p w14:paraId="7315FABE">
                  <w:pPr>
                    <w:keepNext w:val="0"/>
                    <w:keepLines w:val="0"/>
                    <w:suppressLineNumbers w:val="0"/>
                    <w:adjustRightInd w:val="0"/>
                    <w:spacing w:before="0" w:beforeAutospacing="0" w:after="0" w:afterAutospacing="0" w:line="0" w:lineRule="atLeast"/>
                    <w:ind w:left="0" w:right="0"/>
                    <w:jc w:val="center"/>
                    <w:rPr>
                      <w:rFonts w:hint="default" w:eastAsia="宋体"/>
                      <w:color w:val="auto"/>
                      <w:lang w:val="en-US" w:eastAsia="zh-CN"/>
                    </w:rPr>
                  </w:pPr>
                  <w:r>
                    <w:rPr>
                      <w:rFonts w:hint="eastAsia"/>
                      <w:color w:val="auto"/>
                      <w:lang w:val="en-US" w:eastAsia="zh-CN"/>
                    </w:rPr>
                    <w:t>70</w:t>
                  </w:r>
                </w:p>
              </w:tc>
              <w:tc>
                <w:tcPr>
                  <w:tcW w:w="730" w:type="pct"/>
                  <w:noWrap w:val="0"/>
                  <w:vAlign w:val="center"/>
                </w:tcPr>
                <w:p w14:paraId="6A02047F">
                  <w:pPr>
                    <w:keepNext w:val="0"/>
                    <w:keepLines w:val="0"/>
                    <w:suppressLineNumbers w:val="0"/>
                    <w:adjustRightInd w:val="0"/>
                    <w:spacing w:before="0" w:beforeAutospacing="0" w:after="0" w:afterAutospacing="0" w:line="0" w:lineRule="atLeast"/>
                    <w:ind w:left="0" w:right="0"/>
                    <w:jc w:val="center"/>
                    <w:rPr>
                      <w:rFonts w:hint="default"/>
                      <w:color w:val="auto"/>
                    </w:rPr>
                  </w:pPr>
                  <w:r>
                    <w:rPr>
                      <w:rFonts w:hint="default"/>
                      <w:color w:val="auto"/>
                    </w:rPr>
                    <w:t>70</w:t>
                  </w:r>
                </w:p>
              </w:tc>
              <w:tc>
                <w:tcPr>
                  <w:tcW w:w="645" w:type="pct"/>
                  <w:noWrap w:val="0"/>
                  <w:vAlign w:val="center"/>
                </w:tcPr>
                <w:p w14:paraId="465AE824">
                  <w:pPr>
                    <w:keepNext w:val="0"/>
                    <w:keepLines w:val="0"/>
                    <w:suppressLineNumbers w:val="0"/>
                    <w:adjustRightInd w:val="0"/>
                    <w:spacing w:before="0" w:beforeAutospacing="0" w:after="0" w:afterAutospacing="0" w:line="0" w:lineRule="atLeast"/>
                    <w:ind w:left="0" w:right="0"/>
                    <w:jc w:val="center"/>
                    <w:rPr>
                      <w:rFonts w:hint="default" w:eastAsia="宋体"/>
                      <w:color w:val="auto"/>
                      <w:lang w:val="en-US" w:eastAsia="zh-CN"/>
                    </w:rPr>
                  </w:pPr>
                  <w:r>
                    <w:rPr>
                      <w:rFonts w:hint="eastAsia"/>
                      <w:color w:val="auto"/>
                      <w:lang w:val="en-US" w:eastAsia="zh-CN"/>
                    </w:rPr>
                    <w:t>100</w:t>
                  </w:r>
                </w:p>
              </w:tc>
              <w:tc>
                <w:tcPr>
                  <w:tcW w:w="475" w:type="pct"/>
                  <w:noWrap w:val="0"/>
                  <w:vAlign w:val="center"/>
                </w:tcPr>
                <w:p w14:paraId="43A7FA4A">
                  <w:pPr>
                    <w:keepNext w:val="0"/>
                    <w:keepLines w:val="0"/>
                    <w:suppressLineNumbers w:val="0"/>
                    <w:adjustRightInd w:val="0"/>
                    <w:spacing w:before="0" w:beforeAutospacing="0" w:after="0" w:afterAutospacing="0" w:line="0" w:lineRule="atLeast"/>
                    <w:ind w:left="0" w:right="0"/>
                    <w:jc w:val="center"/>
                    <w:rPr>
                      <w:rFonts w:hint="default"/>
                      <w:color w:val="auto"/>
                    </w:rPr>
                  </w:pPr>
                  <w:r>
                    <w:rPr>
                      <w:rFonts w:hint="default"/>
                      <w:color w:val="auto"/>
                    </w:rPr>
                    <w:t>达标</w:t>
                  </w:r>
                </w:p>
              </w:tc>
            </w:tr>
            <w:tr w14:paraId="6F1583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62" w:type="pct"/>
                  <w:noWrap w:val="0"/>
                  <w:vAlign w:val="center"/>
                </w:tcPr>
                <w:p w14:paraId="3AC42E33">
                  <w:pPr>
                    <w:keepNext w:val="0"/>
                    <w:keepLines w:val="0"/>
                    <w:suppressLineNumbers w:val="0"/>
                    <w:adjustRightInd w:val="0"/>
                    <w:snapToGrid w:val="0"/>
                    <w:spacing w:before="0" w:beforeAutospacing="0" w:after="0" w:afterAutospacing="0" w:line="0" w:lineRule="atLeast"/>
                    <w:ind w:left="0" w:right="0"/>
                    <w:jc w:val="center"/>
                    <w:rPr>
                      <w:rFonts w:hint="default"/>
                      <w:color w:val="auto"/>
                    </w:rPr>
                  </w:pPr>
                  <w:r>
                    <w:rPr>
                      <w:rFonts w:hint="default"/>
                      <w:color w:val="auto"/>
                    </w:rPr>
                    <w:t>SO</w:t>
                  </w:r>
                  <w:r>
                    <w:rPr>
                      <w:rFonts w:hint="default"/>
                      <w:color w:val="auto"/>
                      <w:vertAlign w:val="subscript"/>
                    </w:rPr>
                    <w:t>2</w:t>
                  </w:r>
                </w:p>
              </w:tc>
              <w:tc>
                <w:tcPr>
                  <w:tcW w:w="1655" w:type="pct"/>
                  <w:vMerge w:val="continue"/>
                  <w:noWrap w:val="0"/>
                  <w:vAlign w:val="center"/>
                </w:tcPr>
                <w:p w14:paraId="3DB69264">
                  <w:pPr>
                    <w:keepNext w:val="0"/>
                    <w:keepLines w:val="0"/>
                    <w:widowControl/>
                    <w:suppressLineNumbers w:val="0"/>
                    <w:spacing w:before="0" w:beforeAutospacing="0" w:after="0" w:afterAutospacing="0"/>
                    <w:ind w:left="0" w:right="0"/>
                    <w:jc w:val="left"/>
                    <w:rPr>
                      <w:rFonts w:hint="default"/>
                      <w:color w:val="auto"/>
                    </w:rPr>
                  </w:pPr>
                </w:p>
              </w:tc>
              <w:tc>
                <w:tcPr>
                  <w:tcW w:w="730" w:type="pct"/>
                  <w:noWrap w:val="0"/>
                  <w:vAlign w:val="center"/>
                </w:tcPr>
                <w:p w14:paraId="417C7A5F">
                  <w:pPr>
                    <w:keepNext w:val="0"/>
                    <w:keepLines w:val="0"/>
                    <w:suppressLineNumbers w:val="0"/>
                    <w:adjustRightInd w:val="0"/>
                    <w:spacing w:before="0" w:beforeAutospacing="0" w:after="0" w:afterAutospacing="0" w:line="0" w:lineRule="atLeast"/>
                    <w:ind w:left="0" w:right="0"/>
                    <w:jc w:val="center"/>
                    <w:rPr>
                      <w:rFonts w:hint="eastAsia" w:eastAsia="宋体"/>
                      <w:color w:val="auto"/>
                      <w:lang w:eastAsia="zh-CN"/>
                    </w:rPr>
                  </w:pPr>
                  <w:r>
                    <w:rPr>
                      <w:rFonts w:hint="eastAsia"/>
                      <w:color w:val="auto"/>
                      <w:lang w:val="en-US" w:eastAsia="zh-CN"/>
                    </w:rPr>
                    <w:t>7</w:t>
                  </w:r>
                </w:p>
              </w:tc>
              <w:tc>
                <w:tcPr>
                  <w:tcW w:w="730" w:type="pct"/>
                  <w:noWrap w:val="0"/>
                  <w:vAlign w:val="center"/>
                </w:tcPr>
                <w:p w14:paraId="5A26849E">
                  <w:pPr>
                    <w:keepNext w:val="0"/>
                    <w:keepLines w:val="0"/>
                    <w:suppressLineNumbers w:val="0"/>
                    <w:adjustRightInd w:val="0"/>
                    <w:spacing w:before="0" w:beforeAutospacing="0" w:after="0" w:afterAutospacing="0" w:line="0" w:lineRule="atLeast"/>
                    <w:ind w:left="0" w:right="0"/>
                    <w:jc w:val="center"/>
                    <w:rPr>
                      <w:rFonts w:hint="default"/>
                      <w:color w:val="auto"/>
                    </w:rPr>
                  </w:pPr>
                  <w:r>
                    <w:rPr>
                      <w:rFonts w:hint="default"/>
                      <w:color w:val="auto"/>
                    </w:rPr>
                    <w:t>60</w:t>
                  </w:r>
                </w:p>
              </w:tc>
              <w:tc>
                <w:tcPr>
                  <w:tcW w:w="645" w:type="pct"/>
                  <w:noWrap w:val="0"/>
                  <w:vAlign w:val="center"/>
                </w:tcPr>
                <w:p w14:paraId="3FECC403">
                  <w:pPr>
                    <w:keepNext w:val="0"/>
                    <w:keepLines w:val="0"/>
                    <w:suppressLineNumbers w:val="0"/>
                    <w:adjustRightInd w:val="0"/>
                    <w:spacing w:before="0" w:beforeAutospacing="0" w:after="0" w:afterAutospacing="0" w:line="0" w:lineRule="atLeast"/>
                    <w:ind w:left="0" w:right="0"/>
                    <w:jc w:val="center"/>
                    <w:rPr>
                      <w:rFonts w:hint="default" w:eastAsia="宋体"/>
                      <w:color w:val="auto"/>
                      <w:lang w:val="en-US" w:eastAsia="zh-CN"/>
                    </w:rPr>
                  </w:pPr>
                  <w:r>
                    <w:rPr>
                      <w:rFonts w:hint="eastAsia"/>
                      <w:color w:val="auto"/>
                      <w:lang w:val="en-US" w:eastAsia="zh-CN"/>
                    </w:rPr>
                    <w:t>11.67</w:t>
                  </w:r>
                </w:p>
              </w:tc>
              <w:tc>
                <w:tcPr>
                  <w:tcW w:w="475" w:type="pct"/>
                  <w:noWrap w:val="0"/>
                  <w:vAlign w:val="center"/>
                </w:tcPr>
                <w:p w14:paraId="3DDF596F">
                  <w:pPr>
                    <w:keepNext w:val="0"/>
                    <w:keepLines w:val="0"/>
                    <w:suppressLineNumbers w:val="0"/>
                    <w:adjustRightInd w:val="0"/>
                    <w:spacing w:before="0" w:beforeAutospacing="0" w:after="0" w:afterAutospacing="0" w:line="0" w:lineRule="atLeast"/>
                    <w:ind w:left="0" w:right="0"/>
                    <w:jc w:val="center"/>
                    <w:rPr>
                      <w:rFonts w:hint="default"/>
                      <w:color w:val="auto"/>
                    </w:rPr>
                  </w:pPr>
                  <w:r>
                    <w:rPr>
                      <w:rFonts w:hint="default"/>
                      <w:color w:val="auto"/>
                    </w:rPr>
                    <w:t>达标</w:t>
                  </w:r>
                </w:p>
              </w:tc>
            </w:tr>
            <w:tr w14:paraId="48C94F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62" w:type="pct"/>
                  <w:noWrap w:val="0"/>
                  <w:vAlign w:val="center"/>
                </w:tcPr>
                <w:p w14:paraId="4B0860DE">
                  <w:pPr>
                    <w:keepNext w:val="0"/>
                    <w:keepLines w:val="0"/>
                    <w:suppressLineNumbers w:val="0"/>
                    <w:adjustRightInd w:val="0"/>
                    <w:snapToGrid w:val="0"/>
                    <w:spacing w:before="0" w:beforeAutospacing="0" w:after="0" w:afterAutospacing="0" w:line="0" w:lineRule="atLeast"/>
                    <w:ind w:left="0" w:right="0"/>
                    <w:jc w:val="center"/>
                    <w:rPr>
                      <w:rFonts w:hint="default"/>
                      <w:color w:val="auto"/>
                    </w:rPr>
                  </w:pPr>
                  <w:r>
                    <w:rPr>
                      <w:rFonts w:hint="default"/>
                      <w:color w:val="auto"/>
                    </w:rPr>
                    <w:t>NO</w:t>
                  </w:r>
                  <w:r>
                    <w:rPr>
                      <w:rFonts w:hint="default"/>
                      <w:color w:val="auto"/>
                      <w:vertAlign w:val="subscript"/>
                    </w:rPr>
                    <w:t>2</w:t>
                  </w:r>
                </w:p>
              </w:tc>
              <w:tc>
                <w:tcPr>
                  <w:tcW w:w="1655" w:type="pct"/>
                  <w:vMerge w:val="continue"/>
                  <w:noWrap w:val="0"/>
                  <w:vAlign w:val="center"/>
                </w:tcPr>
                <w:p w14:paraId="2D22A1E9">
                  <w:pPr>
                    <w:keepNext w:val="0"/>
                    <w:keepLines w:val="0"/>
                    <w:widowControl/>
                    <w:suppressLineNumbers w:val="0"/>
                    <w:spacing w:before="0" w:beforeAutospacing="0" w:after="0" w:afterAutospacing="0"/>
                    <w:ind w:left="0" w:right="0"/>
                    <w:jc w:val="left"/>
                    <w:rPr>
                      <w:rFonts w:hint="default"/>
                      <w:color w:val="auto"/>
                    </w:rPr>
                  </w:pPr>
                </w:p>
              </w:tc>
              <w:tc>
                <w:tcPr>
                  <w:tcW w:w="730" w:type="pct"/>
                  <w:noWrap w:val="0"/>
                  <w:vAlign w:val="center"/>
                </w:tcPr>
                <w:p w14:paraId="0FFB9787">
                  <w:pPr>
                    <w:keepNext w:val="0"/>
                    <w:keepLines w:val="0"/>
                    <w:suppressLineNumbers w:val="0"/>
                    <w:adjustRightInd w:val="0"/>
                    <w:spacing w:before="0" w:beforeAutospacing="0" w:after="0" w:afterAutospacing="0" w:line="0" w:lineRule="atLeast"/>
                    <w:ind w:left="0" w:right="0"/>
                    <w:jc w:val="center"/>
                    <w:rPr>
                      <w:rFonts w:hint="default" w:eastAsia="宋体"/>
                      <w:color w:val="auto"/>
                      <w:lang w:val="en-US" w:eastAsia="zh-CN"/>
                    </w:rPr>
                  </w:pPr>
                  <w:r>
                    <w:rPr>
                      <w:rFonts w:hint="eastAsia"/>
                      <w:color w:val="auto"/>
                      <w:lang w:val="en-US" w:eastAsia="zh-CN"/>
                    </w:rPr>
                    <w:t>18</w:t>
                  </w:r>
                </w:p>
              </w:tc>
              <w:tc>
                <w:tcPr>
                  <w:tcW w:w="730" w:type="pct"/>
                  <w:noWrap w:val="0"/>
                  <w:vAlign w:val="center"/>
                </w:tcPr>
                <w:p w14:paraId="7EDFE8E5">
                  <w:pPr>
                    <w:keepNext w:val="0"/>
                    <w:keepLines w:val="0"/>
                    <w:suppressLineNumbers w:val="0"/>
                    <w:adjustRightInd w:val="0"/>
                    <w:spacing w:before="0" w:beforeAutospacing="0" w:after="0" w:afterAutospacing="0" w:line="0" w:lineRule="atLeast"/>
                    <w:ind w:left="0" w:right="0"/>
                    <w:jc w:val="center"/>
                    <w:rPr>
                      <w:rFonts w:hint="default"/>
                      <w:color w:val="auto"/>
                    </w:rPr>
                  </w:pPr>
                  <w:r>
                    <w:rPr>
                      <w:rFonts w:hint="default"/>
                      <w:color w:val="auto"/>
                    </w:rPr>
                    <w:t>40</w:t>
                  </w:r>
                </w:p>
              </w:tc>
              <w:tc>
                <w:tcPr>
                  <w:tcW w:w="645" w:type="pct"/>
                  <w:noWrap w:val="0"/>
                  <w:vAlign w:val="center"/>
                </w:tcPr>
                <w:p w14:paraId="42A1B70D">
                  <w:pPr>
                    <w:keepNext w:val="0"/>
                    <w:keepLines w:val="0"/>
                    <w:suppressLineNumbers w:val="0"/>
                    <w:adjustRightInd w:val="0"/>
                    <w:spacing w:before="0" w:beforeAutospacing="0" w:after="0" w:afterAutospacing="0" w:line="0" w:lineRule="atLeast"/>
                    <w:ind w:left="0" w:right="0"/>
                    <w:jc w:val="center"/>
                    <w:rPr>
                      <w:rFonts w:hint="default" w:eastAsia="宋体"/>
                      <w:color w:val="auto"/>
                      <w:lang w:val="en-US" w:eastAsia="zh-CN"/>
                    </w:rPr>
                  </w:pPr>
                  <w:r>
                    <w:rPr>
                      <w:rFonts w:hint="eastAsia"/>
                      <w:color w:val="auto"/>
                      <w:lang w:val="en-US" w:eastAsia="zh-CN"/>
                    </w:rPr>
                    <w:t>45</w:t>
                  </w:r>
                </w:p>
              </w:tc>
              <w:tc>
                <w:tcPr>
                  <w:tcW w:w="475" w:type="pct"/>
                  <w:noWrap w:val="0"/>
                  <w:vAlign w:val="center"/>
                </w:tcPr>
                <w:p w14:paraId="2BEFDEA2">
                  <w:pPr>
                    <w:keepNext w:val="0"/>
                    <w:keepLines w:val="0"/>
                    <w:suppressLineNumbers w:val="0"/>
                    <w:adjustRightInd w:val="0"/>
                    <w:spacing w:before="0" w:beforeAutospacing="0" w:after="0" w:afterAutospacing="0" w:line="0" w:lineRule="atLeast"/>
                    <w:ind w:left="0" w:right="0"/>
                    <w:jc w:val="center"/>
                    <w:rPr>
                      <w:rFonts w:hint="default"/>
                      <w:color w:val="auto"/>
                    </w:rPr>
                  </w:pPr>
                  <w:r>
                    <w:rPr>
                      <w:rFonts w:hint="default"/>
                      <w:color w:val="auto"/>
                    </w:rPr>
                    <w:t>达标</w:t>
                  </w:r>
                </w:p>
              </w:tc>
            </w:tr>
            <w:tr w14:paraId="2E625C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62" w:type="pct"/>
                  <w:noWrap w:val="0"/>
                  <w:vAlign w:val="center"/>
                </w:tcPr>
                <w:p w14:paraId="5BDE0C90">
                  <w:pPr>
                    <w:keepNext w:val="0"/>
                    <w:keepLines w:val="0"/>
                    <w:suppressLineNumbers w:val="0"/>
                    <w:adjustRightInd w:val="0"/>
                    <w:snapToGrid w:val="0"/>
                    <w:spacing w:before="0" w:beforeAutospacing="0" w:after="0" w:afterAutospacing="0" w:line="0" w:lineRule="atLeast"/>
                    <w:ind w:left="0" w:right="0"/>
                    <w:jc w:val="center"/>
                    <w:rPr>
                      <w:rFonts w:hint="default"/>
                      <w:color w:val="auto"/>
                    </w:rPr>
                  </w:pPr>
                  <w:r>
                    <w:rPr>
                      <w:rFonts w:hint="default"/>
                      <w:color w:val="auto"/>
                    </w:rPr>
                    <w:t>CO</w:t>
                  </w:r>
                  <w:r>
                    <w:rPr>
                      <w:rFonts w:hint="default"/>
                      <w:color w:val="auto"/>
                      <w:highlight w:val="none"/>
                    </w:rPr>
                    <w:t>（</w:t>
                  </w:r>
                  <w:r>
                    <w:rPr>
                      <w:rFonts w:hint="default"/>
                      <w:color w:val="auto"/>
                    </w:rPr>
                    <w:t>mg/m</w:t>
                  </w:r>
                  <w:r>
                    <w:rPr>
                      <w:rFonts w:hint="default"/>
                      <w:color w:val="auto"/>
                      <w:vertAlign w:val="superscript"/>
                    </w:rPr>
                    <w:t>3</w:t>
                  </w:r>
                  <w:r>
                    <w:rPr>
                      <w:rFonts w:hint="default"/>
                      <w:color w:val="auto"/>
                      <w:highlight w:val="none"/>
                    </w:rPr>
                    <w:t>）</w:t>
                  </w:r>
                </w:p>
              </w:tc>
              <w:tc>
                <w:tcPr>
                  <w:tcW w:w="1655" w:type="pct"/>
                  <w:noWrap w:val="0"/>
                  <w:vAlign w:val="center"/>
                </w:tcPr>
                <w:p w14:paraId="761E2D43">
                  <w:pPr>
                    <w:keepNext w:val="0"/>
                    <w:keepLines w:val="0"/>
                    <w:suppressLineNumbers w:val="0"/>
                    <w:adjustRightInd w:val="0"/>
                    <w:snapToGrid w:val="0"/>
                    <w:spacing w:before="0" w:beforeAutospacing="0" w:after="0" w:afterAutospacing="0" w:line="0" w:lineRule="atLeast"/>
                    <w:ind w:left="0" w:right="0"/>
                    <w:jc w:val="center"/>
                    <w:rPr>
                      <w:rFonts w:hint="default"/>
                      <w:color w:val="auto"/>
                    </w:rPr>
                  </w:pPr>
                  <w:r>
                    <w:rPr>
                      <w:rFonts w:hint="default"/>
                      <w:color w:val="auto"/>
                    </w:rPr>
                    <w:t>第95百分位数24h平均浓度</w:t>
                  </w:r>
                </w:p>
              </w:tc>
              <w:tc>
                <w:tcPr>
                  <w:tcW w:w="730" w:type="pct"/>
                  <w:noWrap w:val="0"/>
                  <w:vAlign w:val="center"/>
                </w:tcPr>
                <w:p w14:paraId="0618B20C">
                  <w:pPr>
                    <w:keepNext w:val="0"/>
                    <w:keepLines w:val="0"/>
                    <w:suppressLineNumbers w:val="0"/>
                    <w:adjustRightInd w:val="0"/>
                    <w:spacing w:before="0" w:beforeAutospacing="0" w:after="0" w:afterAutospacing="0" w:line="0" w:lineRule="atLeast"/>
                    <w:ind w:left="0" w:right="0"/>
                    <w:jc w:val="center"/>
                    <w:rPr>
                      <w:rFonts w:hint="default" w:eastAsia="宋体"/>
                      <w:color w:val="auto"/>
                      <w:lang w:val="en-US" w:eastAsia="zh-CN"/>
                    </w:rPr>
                  </w:pPr>
                  <w:r>
                    <w:rPr>
                      <w:rFonts w:hint="eastAsia"/>
                      <w:color w:val="auto"/>
                      <w:lang w:val="en-US" w:eastAsia="zh-CN"/>
                    </w:rPr>
                    <w:t>0.8</w:t>
                  </w:r>
                </w:p>
              </w:tc>
              <w:tc>
                <w:tcPr>
                  <w:tcW w:w="730" w:type="pct"/>
                  <w:noWrap w:val="0"/>
                  <w:vAlign w:val="center"/>
                </w:tcPr>
                <w:p w14:paraId="0A486152">
                  <w:pPr>
                    <w:keepNext w:val="0"/>
                    <w:keepLines w:val="0"/>
                    <w:suppressLineNumbers w:val="0"/>
                    <w:adjustRightInd w:val="0"/>
                    <w:spacing w:before="0" w:beforeAutospacing="0" w:after="0" w:afterAutospacing="0" w:line="0" w:lineRule="atLeast"/>
                    <w:ind w:left="0" w:right="0"/>
                    <w:jc w:val="center"/>
                    <w:rPr>
                      <w:rFonts w:hint="default"/>
                      <w:color w:val="auto"/>
                    </w:rPr>
                  </w:pPr>
                  <w:r>
                    <w:rPr>
                      <w:rFonts w:hint="default"/>
                      <w:color w:val="auto"/>
                    </w:rPr>
                    <w:t>4</w:t>
                  </w:r>
                  <w:r>
                    <w:rPr>
                      <w:rFonts w:hint="eastAsia"/>
                      <w:color w:val="auto"/>
                    </w:rPr>
                    <w:t>000</w:t>
                  </w:r>
                </w:p>
              </w:tc>
              <w:tc>
                <w:tcPr>
                  <w:tcW w:w="645" w:type="pct"/>
                  <w:noWrap w:val="0"/>
                  <w:vAlign w:val="center"/>
                </w:tcPr>
                <w:p w14:paraId="446C645D">
                  <w:pPr>
                    <w:keepNext w:val="0"/>
                    <w:keepLines w:val="0"/>
                    <w:suppressLineNumbers w:val="0"/>
                    <w:adjustRightInd w:val="0"/>
                    <w:spacing w:before="0" w:beforeAutospacing="0" w:after="0" w:afterAutospacing="0" w:line="0" w:lineRule="atLeast"/>
                    <w:ind w:left="0" w:right="0"/>
                    <w:jc w:val="center"/>
                    <w:rPr>
                      <w:rFonts w:hint="default" w:eastAsia="宋体"/>
                      <w:color w:val="auto"/>
                      <w:lang w:val="en-US" w:eastAsia="zh-CN"/>
                    </w:rPr>
                  </w:pPr>
                  <w:r>
                    <w:rPr>
                      <w:rFonts w:hint="eastAsia"/>
                      <w:color w:val="auto"/>
                      <w:lang w:val="en-US" w:eastAsia="zh-CN"/>
                    </w:rPr>
                    <w:t>0.02</w:t>
                  </w:r>
                </w:p>
              </w:tc>
              <w:tc>
                <w:tcPr>
                  <w:tcW w:w="475" w:type="pct"/>
                  <w:noWrap w:val="0"/>
                  <w:vAlign w:val="center"/>
                </w:tcPr>
                <w:p w14:paraId="0A558892">
                  <w:pPr>
                    <w:keepNext w:val="0"/>
                    <w:keepLines w:val="0"/>
                    <w:suppressLineNumbers w:val="0"/>
                    <w:adjustRightInd w:val="0"/>
                    <w:spacing w:before="0" w:beforeAutospacing="0" w:after="0" w:afterAutospacing="0" w:line="312" w:lineRule="atLeast"/>
                    <w:ind w:left="0" w:right="0"/>
                    <w:jc w:val="center"/>
                    <w:rPr>
                      <w:rFonts w:hint="default"/>
                      <w:color w:val="auto"/>
                    </w:rPr>
                  </w:pPr>
                  <w:r>
                    <w:rPr>
                      <w:rFonts w:hint="default"/>
                      <w:color w:val="auto"/>
                    </w:rPr>
                    <w:t>达标</w:t>
                  </w:r>
                </w:p>
              </w:tc>
            </w:tr>
            <w:tr w14:paraId="3242A5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62" w:type="pct"/>
                  <w:noWrap w:val="0"/>
                  <w:vAlign w:val="center"/>
                </w:tcPr>
                <w:p w14:paraId="3787F69B">
                  <w:pPr>
                    <w:keepNext w:val="0"/>
                    <w:keepLines w:val="0"/>
                    <w:suppressLineNumbers w:val="0"/>
                    <w:adjustRightInd w:val="0"/>
                    <w:snapToGrid w:val="0"/>
                    <w:spacing w:before="0" w:beforeAutospacing="0" w:after="0" w:afterAutospacing="0" w:line="0" w:lineRule="atLeast"/>
                    <w:ind w:left="0" w:right="0"/>
                    <w:jc w:val="center"/>
                    <w:rPr>
                      <w:rFonts w:hint="default"/>
                      <w:color w:val="auto"/>
                    </w:rPr>
                  </w:pPr>
                  <w:r>
                    <w:rPr>
                      <w:rFonts w:hint="default"/>
                      <w:color w:val="auto"/>
                    </w:rPr>
                    <w:t>O</w:t>
                  </w:r>
                  <w:r>
                    <w:rPr>
                      <w:rFonts w:hint="default"/>
                      <w:color w:val="auto"/>
                      <w:vertAlign w:val="subscript"/>
                    </w:rPr>
                    <w:t>3</w:t>
                  </w:r>
                </w:p>
              </w:tc>
              <w:tc>
                <w:tcPr>
                  <w:tcW w:w="1655" w:type="pct"/>
                  <w:noWrap w:val="0"/>
                  <w:vAlign w:val="center"/>
                </w:tcPr>
                <w:p w14:paraId="100731A3">
                  <w:pPr>
                    <w:keepNext w:val="0"/>
                    <w:keepLines w:val="0"/>
                    <w:suppressLineNumbers w:val="0"/>
                    <w:adjustRightInd w:val="0"/>
                    <w:snapToGrid w:val="0"/>
                    <w:spacing w:before="0" w:beforeAutospacing="0" w:after="0" w:afterAutospacing="0" w:line="0" w:lineRule="atLeast"/>
                    <w:ind w:left="0" w:right="0"/>
                    <w:jc w:val="center"/>
                    <w:rPr>
                      <w:rFonts w:hint="default"/>
                      <w:color w:val="auto"/>
                    </w:rPr>
                  </w:pPr>
                  <w:r>
                    <w:rPr>
                      <w:rFonts w:hint="default"/>
                      <w:color w:val="auto"/>
                    </w:rPr>
                    <w:t>第90百分位数8h平均浓度</w:t>
                  </w:r>
                </w:p>
              </w:tc>
              <w:tc>
                <w:tcPr>
                  <w:tcW w:w="730" w:type="pct"/>
                  <w:noWrap w:val="0"/>
                  <w:vAlign w:val="center"/>
                </w:tcPr>
                <w:p w14:paraId="3E7B3ED8">
                  <w:pPr>
                    <w:keepNext w:val="0"/>
                    <w:keepLines w:val="0"/>
                    <w:suppressLineNumbers w:val="0"/>
                    <w:adjustRightInd w:val="0"/>
                    <w:spacing w:before="0" w:beforeAutospacing="0" w:after="0" w:afterAutospacing="0" w:line="0" w:lineRule="atLeast"/>
                    <w:ind w:left="0" w:right="0"/>
                    <w:jc w:val="center"/>
                    <w:rPr>
                      <w:rFonts w:hint="default" w:eastAsia="宋体"/>
                      <w:color w:val="auto"/>
                      <w:lang w:val="en-US" w:eastAsia="zh-CN"/>
                    </w:rPr>
                  </w:pPr>
                  <w:r>
                    <w:rPr>
                      <w:rFonts w:hint="eastAsia"/>
                      <w:color w:val="auto"/>
                      <w:lang w:val="en-US" w:eastAsia="zh-CN"/>
                    </w:rPr>
                    <w:t>146</w:t>
                  </w:r>
                </w:p>
              </w:tc>
              <w:tc>
                <w:tcPr>
                  <w:tcW w:w="730" w:type="pct"/>
                  <w:noWrap w:val="0"/>
                  <w:vAlign w:val="center"/>
                </w:tcPr>
                <w:p w14:paraId="4CBADCB0">
                  <w:pPr>
                    <w:keepNext w:val="0"/>
                    <w:keepLines w:val="0"/>
                    <w:suppressLineNumbers w:val="0"/>
                    <w:adjustRightInd w:val="0"/>
                    <w:spacing w:before="0" w:beforeAutospacing="0" w:after="0" w:afterAutospacing="0" w:line="0" w:lineRule="atLeast"/>
                    <w:ind w:left="0" w:right="0"/>
                    <w:jc w:val="center"/>
                    <w:rPr>
                      <w:rFonts w:hint="default"/>
                      <w:color w:val="auto"/>
                    </w:rPr>
                  </w:pPr>
                  <w:r>
                    <w:rPr>
                      <w:rFonts w:hint="default"/>
                      <w:color w:val="auto"/>
                    </w:rPr>
                    <w:t>160</w:t>
                  </w:r>
                </w:p>
              </w:tc>
              <w:tc>
                <w:tcPr>
                  <w:tcW w:w="645" w:type="pct"/>
                  <w:noWrap w:val="0"/>
                  <w:vAlign w:val="center"/>
                </w:tcPr>
                <w:p w14:paraId="5B1B5C79">
                  <w:pPr>
                    <w:keepNext w:val="0"/>
                    <w:keepLines w:val="0"/>
                    <w:suppressLineNumbers w:val="0"/>
                    <w:adjustRightInd w:val="0"/>
                    <w:spacing w:before="0" w:beforeAutospacing="0" w:after="0" w:afterAutospacing="0" w:line="0" w:lineRule="atLeast"/>
                    <w:ind w:left="0" w:right="0"/>
                    <w:jc w:val="center"/>
                    <w:rPr>
                      <w:rFonts w:hint="default" w:eastAsia="宋体"/>
                      <w:color w:val="auto"/>
                      <w:lang w:val="en-US" w:eastAsia="zh-CN"/>
                    </w:rPr>
                  </w:pPr>
                  <w:r>
                    <w:rPr>
                      <w:rFonts w:hint="eastAsia"/>
                      <w:color w:val="auto"/>
                      <w:lang w:val="en-US" w:eastAsia="zh-CN"/>
                    </w:rPr>
                    <w:t>91.25</w:t>
                  </w:r>
                </w:p>
              </w:tc>
              <w:tc>
                <w:tcPr>
                  <w:tcW w:w="475" w:type="pct"/>
                  <w:noWrap w:val="0"/>
                  <w:vAlign w:val="center"/>
                </w:tcPr>
                <w:p w14:paraId="407D0C67">
                  <w:pPr>
                    <w:keepNext w:val="0"/>
                    <w:keepLines w:val="0"/>
                    <w:suppressLineNumbers w:val="0"/>
                    <w:adjustRightInd w:val="0"/>
                    <w:spacing w:before="0" w:beforeAutospacing="0" w:after="0" w:afterAutospacing="0" w:line="312" w:lineRule="atLeast"/>
                    <w:ind w:left="0" w:right="0"/>
                    <w:jc w:val="center"/>
                    <w:rPr>
                      <w:rFonts w:hint="default"/>
                      <w:color w:val="auto"/>
                    </w:rPr>
                  </w:pPr>
                  <w:r>
                    <w:rPr>
                      <w:rFonts w:hint="default"/>
                      <w:color w:val="auto"/>
                    </w:rPr>
                    <w:t>达标</w:t>
                  </w:r>
                </w:p>
              </w:tc>
            </w:tr>
          </w:tbl>
          <w:p w14:paraId="049A66BE">
            <w:pPr>
              <w:pStyle w:val="211"/>
              <w:keepNext w:val="0"/>
              <w:keepLines w:val="0"/>
              <w:suppressLineNumbers w:val="0"/>
              <w:spacing w:before="0" w:beforeAutospacing="0" w:after="0" w:afterAutospacing="0" w:line="360" w:lineRule="auto"/>
              <w:ind w:left="0" w:right="0" w:firstLine="480" w:firstLineChars="200"/>
              <w:jc w:val="both"/>
              <w:rPr>
                <w:rFonts w:hint="eastAsia" w:ascii="Times New Roman" w:hAnsi="Times New Roman"/>
                <w:color w:val="auto"/>
                <w:szCs w:val="20"/>
              </w:rPr>
            </w:pPr>
            <w:r>
              <w:rPr>
                <w:rFonts w:hint="eastAsia" w:ascii="Times New Roman" w:hAnsi="Times New Roman"/>
                <w:color w:val="auto"/>
                <w:szCs w:val="20"/>
              </w:rPr>
              <w:t>根据上表可知</w:t>
            </w:r>
            <w:r>
              <w:rPr>
                <w:rFonts w:hint="default" w:ascii="Times New Roman" w:hAnsi="Times New Roman"/>
                <w:color w:val="auto"/>
                <w:szCs w:val="20"/>
              </w:rPr>
              <w:t>，6项监测因子浓度均能满足《环境空气质量标准》（GB3095-2012）中二级标准限值，项目所在地为达标区。</w:t>
            </w:r>
          </w:p>
          <w:p w14:paraId="236773D6">
            <w:pPr>
              <w:keepNext w:val="0"/>
              <w:keepLines w:val="0"/>
              <w:suppressLineNumbers w:val="0"/>
              <w:adjustRightInd w:val="0"/>
              <w:spacing w:before="0" w:beforeAutospacing="0" w:after="0" w:afterAutospacing="0" w:line="360" w:lineRule="auto"/>
              <w:ind w:left="0" w:right="0" w:firstLine="482" w:firstLineChars="200"/>
              <w:rPr>
                <w:rFonts w:hint="eastAsia" w:eastAsia="宋体"/>
                <w:b/>
                <w:color w:val="auto"/>
                <w:sz w:val="24"/>
                <w:lang w:eastAsia="zh-CN"/>
              </w:rPr>
            </w:pPr>
            <w:r>
              <w:rPr>
                <w:rFonts w:hint="default"/>
                <w:b/>
                <w:color w:val="auto"/>
                <w:sz w:val="24"/>
              </w:rPr>
              <w:t>（2）</w:t>
            </w:r>
            <w:r>
              <w:rPr>
                <w:rFonts w:hint="eastAsia"/>
                <w:b/>
                <w:color w:val="auto"/>
                <w:sz w:val="24"/>
                <w:lang w:eastAsia="zh-CN"/>
              </w:rPr>
              <w:t>其他污染物</w:t>
            </w:r>
          </w:p>
          <w:p w14:paraId="4C8A6AC8">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rPr>
              <w:t>为了解</w:t>
            </w:r>
            <w:r>
              <w:rPr>
                <w:rFonts w:hint="eastAsia"/>
                <w:color w:val="auto"/>
                <w:sz w:val="24"/>
                <w:lang w:eastAsia="zh-CN"/>
              </w:rPr>
              <w:t>本工程</w:t>
            </w:r>
            <w:r>
              <w:rPr>
                <w:rFonts w:hint="eastAsia"/>
                <w:color w:val="auto"/>
                <w:sz w:val="24"/>
              </w:rPr>
              <w:t>所在地大气特征污染因子非甲烷总烃和TSP的质量现状，引用河北艾柯检测技术有限公司</w:t>
            </w:r>
            <w:r>
              <w:rPr>
                <w:rFonts w:hint="eastAsia"/>
                <w:color w:val="auto"/>
                <w:sz w:val="24"/>
                <w:lang w:eastAsia="zh-CN"/>
              </w:rPr>
              <w:t>出具的《磴口县扎格</w:t>
            </w:r>
            <w:r>
              <w:rPr>
                <w:rFonts w:hint="eastAsia"/>
                <w:color w:val="auto"/>
                <w:sz w:val="24"/>
                <w:lang w:val="en-US" w:eastAsia="zh-CN"/>
              </w:rPr>
              <w:t>6探井勘探项目环境现状监测</w:t>
            </w:r>
            <w:r>
              <w:rPr>
                <w:rFonts w:hint="eastAsia"/>
                <w:color w:val="auto"/>
                <w:sz w:val="24"/>
                <w:lang w:eastAsia="zh-CN"/>
              </w:rPr>
              <w:t>》报告中扎格</w:t>
            </w:r>
            <w:r>
              <w:rPr>
                <w:rFonts w:hint="eastAsia"/>
                <w:color w:val="auto"/>
                <w:sz w:val="24"/>
                <w:lang w:val="en-US" w:eastAsia="zh-CN"/>
              </w:rPr>
              <w:t>6井的</w:t>
            </w:r>
            <w:r>
              <w:rPr>
                <w:rFonts w:hint="eastAsia"/>
                <w:color w:val="auto"/>
                <w:sz w:val="24"/>
              </w:rPr>
              <w:t>监测数据，监测时间为20</w:t>
            </w:r>
            <w:r>
              <w:rPr>
                <w:rFonts w:hint="eastAsia"/>
                <w:color w:val="auto"/>
                <w:sz w:val="24"/>
                <w:lang w:val="en-US" w:eastAsia="zh-CN"/>
              </w:rPr>
              <w:t>24</w:t>
            </w:r>
            <w:r>
              <w:rPr>
                <w:rFonts w:hint="eastAsia"/>
                <w:color w:val="auto"/>
                <w:sz w:val="24"/>
              </w:rPr>
              <w:t>年</w:t>
            </w:r>
            <w:r>
              <w:rPr>
                <w:rFonts w:hint="eastAsia"/>
                <w:color w:val="auto"/>
                <w:sz w:val="24"/>
                <w:highlight w:val="none"/>
                <w:lang w:val="en-US" w:eastAsia="zh-CN"/>
              </w:rPr>
              <w:t>2</w:t>
            </w:r>
            <w:r>
              <w:rPr>
                <w:rFonts w:hint="eastAsia"/>
                <w:color w:val="auto"/>
                <w:sz w:val="24"/>
                <w:highlight w:val="none"/>
              </w:rPr>
              <w:t>月</w:t>
            </w:r>
            <w:r>
              <w:rPr>
                <w:rFonts w:hint="eastAsia"/>
                <w:color w:val="auto"/>
                <w:sz w:val="24"/>
                <w:highlight w:val="none"/>
                <w:lang w:val="en-US" w:eastAsia="zh-CN"/>
              </w:rPr>
              <w:t>2</w:t>
            </w:r>
            <w:r>
              <w:rPr>
                <w:rFonts w:hint="eastAsia"/>
                <w:color w:val="auto"/>
                <w:sz w:val="24"/>
              </w:rPr>
              <w:t>~</w:t>
            </w:r>
            <w:r>
              <w:rPr>
                <w:rFonts w:hint="eastAsia"/>
                <w:color w:val="auto"/>
                <w:sz w:val="24"/>
                <w:lang w:val="en-US" w:eastAsia="zh-CN"/>
              </w:rPr>
              <w:t>2</w:t>
            </w:r>
            <w:r>
              <w:rPr>
                <w:rFonts w:hint="eastAsia"/>
                <w:color w:val="auto"/>
                <w:sz w:val="24"/>
              </w:rPr>
              <w:t>月</w:t>
            </w:r>
            <w:r>
              <w:rPr>
                <w:rFonts w:hint="eastAsia"/>
                <w:color w:val="auto"/>
                <w:sz w:val="24"/>
                <w:lang w:val="en-US" w:eastAsia="zh-CN"/>
              </w:rPr>
              <w:t>6</w:t>
            </w:r>
            <w:r>
              <w:rPr>
                <w:rFonts w:hint="eastAsia"/>
                <w:color w:val="auto"/>
                <w:sz w:val="24"/>
              </w:rPr>
              <w:t>日，报告编号AKXZ2</w:t>
            </w:r>
            <w:r>
              <w:rPr>
                <w:rFonts w:hint="eastAsia"/>
                <w:color w:val="auto"/>
                <w:sz w:val="24"/>
                <w:lang w:val="en-US" w:eastAsia="zh-CN"/>
              </w:rPr>
              <w:t>4002</w:t>
            </w:r>
            <w:r>
              <w:rPr>
                <w:rFonts w:hint="eastAsia"/>
                <w:color w:val="auto"/>
                <w:sz w:val="24"/>
              </w:rPr>
              <w:t>。监测结果见下表。</w:t>
            </w:r>
          </w:p>
          <w:p w14:paraId="3B806568">
            <w:pPr>
              <w:keepNext w:val="0"/>
              <w:keepLines w:val="0"/>
              <w:suppressLineNumbers w:val="0"/>
              <w:autoSpaceDE w:val="0"/>
              <w:autoSpaceDN w:val="0"/>
              <w:adjustRightInd w:val="0"/>
              <w:spacing w:before="0" w:beforeAutospacing="0" w:after="0" w:afterAutospacing="0"/>
              <w:ind w:left="0" w:right="0"/>
              <w:jc w:val="center"/>
              <w:rPr>
                <w:rFonts w:hint="eastAsia"/>
                <w:b/>
                <w:color w:val="auto"/>
                <w:kern w:val="0"/>
                <w:sz w:val="24"/>
                <w:highlight w:val="none"/>
              </w:rPr>
            </w:pPr>
            <w:r>
              <w:rPr>
                <w:rFonts w:hint="default"/>
                <w:b/>
                <w:color w:val="auto"/>
                <w:kern w:val="0"/>
                <w:sz w:val="24"/>
                <w:highlight w:val="none"/>
              </w:rPr>
              <w:t>表3-</w:t>
            </w:r>
            <w:r>
              <w:rPr>
                <w:rFonts w:hint="eastAsia"/>
                <w:b/>
                <w:color w:val="auto"/>
                <w:kern w:val="0"/>
                <w:sz w:val="24"/>
                <w:highlight w:val="none"/>
              </w:rPr>
              <w:t>3 环境空气污染物浓度</w:t>
            </w:r>
            <w:r>
              <w:rPr>
                <w:rFonts w:hint="default"/>
                <w:b/>
                <w:color w:val="auto"/>
                <w:kern w:val="0"/>
                <w:sz w:val="24"/>
                <w:highlight w:val="none"/>
              </w:rPr>
              <w:t>统计</w:t>
            </w:r>
          </w:p>
          <w:tbl>
            <w:tblPr>
              <w:tblStyle w:val="30"/>
              <w:tblW w:w="4981"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482"/>
              <w:gridCol w:w="1390"/>
              <w:gridCol w:w="975"/>
              <w:gridCol w:w="1313"/>
              <w:gridCol w:w="1066"/>
              <w:gridCol w:w="1097"/>
              <w:gridCol w:w="850"/>
            </w:tblGrid>
            <w:tr w14:paraId="3EC28F6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7" w:hRule="atLeast"/>
              </w:trPr>
              <w:tc>
                <w:tcPr>
                  <w:tcW w:w="906" w:type="pct"/>
                  <w:tcBorders>
                    <w:top w:val="single" w:color="000000" w:sz="12" w:space="0"/>
                    <w:left w:val="nil"/>
                    <w:bottom w:val="single" w:color="auto" w:sz="4" w:space="0"/>
                    <w:right w:val="single" w:color="000000" w:sz="6" w:space="0"/>
                  </w:tcBorders>
                  <w:noWrap w:val="0"/>
                  <w:tcMar>
                    <w:left w:w="0" w:type="dxa"/>
                    <w:right w:w="0" w:type="dxa"/>
                  </w:tcMar>
                  <w:vAlign w:val="center"/>
                </w:tcPr>
                <w:p w14:paraId="53173C6B">
                  <w:pPr>
                    <w:keepNext w:val="0"/>
                    <w:keepLines w:val="0"/>
                    <w:suppressLineNumbers w:val="0"/>
                    <w:spacing w:before="0" w:beforeAutospacing="0" w:after="0" w:afterAutospacing="0"/>
                    <w:ind w:left="0" w:right="0"/>
                    <w:jc w:val="center"/>
                    <w:rPr>
                      <w:rFonts w:hint="default"/>
                      <w:bCs/>
                      <w:color w:val="auto"/>
                    </w:rPr>
                  </w:pPr>
                  <w:r>
                    <w:rPr>
                      <w:rFonts w:hint="eastAsia"/>
                      <w:bCs/>
                      <w:color w:val="auto"/>
                    </w:rPr>
                    <w:t>监测点位</w:t>
                  </w:r>
                </w:p>
              </w:tc>
              <w:tc>
                <w:tcPr>
                  <w:tcW w:w="850" w:type="pct"/>
                  <w:tcBorders>
                    <w:top w:val="single" w:color="000000" w:sz="12" w:space="0"/>
                    <w:left w:val="single" w:color="000000" w:sz="6" w:space="0"/>
                    <w:bottom w:val="single" w:color="auto" w:sz="4" w:space="0"/>
                    <w:right w:val="single" w:color="000000" w:sz="6" w:space="0"/>
                  </w:tcBorders>
                  <w:noWrap w:val="0"/>
                  <w:tcMar>
                    <w:left w:w="0" w:type="dxa"/>
                    <w:right w:w="0" w:type="dxa"/>
                  </w:tcMar>
                  <w:vAlign w:val="center"/>
                </w:tcPr>
                <w:p w14:paraId="3A0C7A65">
                  <w:pPr>
                    <w:keepNext w:val="0"/>
                    <w:keepLines w:val="0"/>
                    <w:suppressLineNumbers w:val="0"/>
                    <w:spacing w:before="0" w:beforeAutospacing="0" w:after="0" w:afterAutospacing="0"/>
                    <w:ind w:left="0" w:right="0"/>
                    <w:jc w:val="center"/>
                    <w:rPr>
                      <w:rFonts w:hint="default"/>
                      <w:bCs/>
                      <w:color w:val="auto"/>
                    </w:rPr>
                  </w:pPr>
                  <w:r>
                    <w:rPr>
                      <w:rFonts w:hint="eastAsia"/>
                      <w:bCs/>
                      <w:color w:val="auto"/>
                    </w:rPr>
                    <w:t>项目</w:t>
                  </w:r>
                </w:p>
              </w:tc>
              <w:tc>
                <w:tcPr>
                  <w:tcW w:w="596" w:type="pct"/>
                  <w:tcBorders>
                    <w:top w:val="single" w:color="000000" w:sz="12" w:space="0"/>
                    <w:left w:val="single" w:color="000000" w:sz="6" w:space="0"/>
                    <w:bottom w:val="single" w:color="auto" w:sz="4" w:space="0"/>
                    <w:right w:val="single" w:color="auto" w:sz="4" w:space="0"/>
                  </w:tcBorders>
                  <w:noWrap w:val="0"/>
                  <w:tcMar>
                    <w:left w:w="0" w:type="dxa"/>
                    <w:right w:w="0" w:type="dxa"/>
                  </w:tcMar>
                  <w:vAlign w:val="center"/>
                </w:tcPr>
                <w:p w14:paraId="1216E56C">
                  <w:pPr>
                    <w:keepNext w:val="0"/>
                    <w:keepLines w:val="0"/>
                    <w:suppressLineNumbers w:val="0"/>
                    <w:spacing w:before="0" w:beforeAutospacing="0" w:after="0" w:afterAutospacing="0"/>
                    <w:ind w:left="0" w:right="0"/>
                    <w:jc w:val="center"/>
                    <w:rPr>
                      <w:rFonts w:hint="default"/>
                      <w:bCs/>
                      <w:color w:val="auto"/>
                    </w:rPr>
                  </w:pPr>
                  <w:r>
                    <w:rPr>
                      <w:rFonts w:hint="eastAsia"/>
                      <w:bCs/>
                      <w:color w:val="auto"/>
                    </w:rPr>
                    <w:t>平均时间</w:t>
                  </w:r>
                </w:p>
              </w:tc>
              <w:tc>
                <w:tcPr>
                  <w:tcW w:w="803" w:type="pct"/>
                  <w:tcBorders>
                    <w:top w:val="single" w:color="000000" w:sz="12" w:space="0"/>
                    <w:left w:val="single" w:color="auto" w:sz="4" w:space="0"/>
                    <w:bottom w:val="single" w:color="auto" w:sz="4" w:space="0"/>
                    <w:right w:val="single" w:color="000000" w:sz="6" w:space="0"/>
                  </w:tcBorders>
                  <w:noWrap w:val="0"/>
                  <w:tcMar>
                    <w:left w:w="0" w:type="dxa"/>
                    <w:right w:w="0" w:type="dxa"/>
                  </w:tcMar>
                  <w:vAlign w:val="center"/>
                </w:tcPr>
                <w:p w14:paraId="3FC63F18">
                  <w:pPr>
                    <w:keepNext w:val="0"/>
                    <w:keepLines w:val="0"/>
                    <w:suppressLineNumbers w:val="0"/>
                    <w:spacing w:before="0" w:beforeAutospacing="0" w:after="0" w:afterAutospacing="0"/>
                    <w:ind w:left="0" w:right="0"/>
                    <w:jc w:val="center"/>
                    <w:rPr>
                      <w:rFonts w:hint="default"/>
                      <w:bCs/>
                      <w:color w:val="auto"/>
                    </w:rPr>
                  </w:pPr>
                  <w:r>
                    <w:rPr>
                      <w:rFonts w:hint="eastAsia"/>
                      <w:bCs/>
                      <w:color w:val="auto"/>
                    </w:rPr>
                    <w:t>浓度范围（</w:t>
                  </w:r>
                  <w:r>
                    <w:rPr>
                      <w:rFonts w:hint="default"/>
                      <w:bCs/>
                      <w:color w:val="auto"/>
                    </w:rPr>
                    <w:t>mg/m</w:t>
                  </w:r>
                  <w:r>
                    <w:rPr>
                      <w:rFonts w:hint="default"/>
                      <w:bCs/>
                      <w:color w:val="auto"/>
                      <w:vertAlign w:val="superscript"/>
                    </w:rPr>
                    <w:t>3</w:t>
                  </w:r>
                  <w:r>
                    <w:rPr>
                      <w:rFonts w:hint="eastAsia"/>
                      <w:bCs/>
                      <w:color w:val="auto"/>
                    </w:rPr>
                    <w:t>）</w:t>
                  </w:r>
                </w:p>
              </w:tc>
              <w:tc>
                <w:tcPr>
                  <w:tcW w:w="652" w:type="pct"/>
                  <w:tcBorders>
                    <w:top w:val="single" w:color="000000" w:sz="12" w:space="0"/>
                    <w:left w:val="single" w:color="000000" w:sz="6" w:space="0"/>
                    <w:bottom w:val="single" w:color="auto" w:sz="4" w:space="0"/>
                    <w:right w:val="single" w:color="000000" w:sz="6" w:space="0"/>
                  </w:tcBorders>
                  <w:noWrap w:val="0"/>
                  <w:tcMar>
                    <w:left w:w="0" w:type="dxa"/>
                    <w:right w:w="0" w:type="dxa"/>
                  </w:tcMar>
                  <w:vAlign w:val="center"/>
                </w:tcPr>
                <w:p w14:paraId="1C5905E3">
                  <w:pPr>
                    <w:keepNext w:val="0"/>
                    <w:keepLines w:val="0"/>
                    <w:suppressLineNumbers w:val="0"/>
                    <w:spacing w:before="0" w:beforeAutospacing="0" w:after="0" w:afterAutospacing="0"/>
                    <w:ind w:left="0" w:right="0"/>
                    <w:jc w:val="center"/>
                    <w:rPr>
                      <w:rFonts w:hint="default"/>
                      <w:bCs/>
                      <w:color w:val="auto"/>
                    </w:rPr>
                  </w:pPr>
                  <w:r>
                    <w:rPr>
                      <w:rFonts w:hint="eastAsia"/>
                      <w:bCs/>
                      <w:color w:val="auto"/>
                    </w:rPr>
                    <w:t>标准值（</w:t>
                  </w:r>
                  <w:r>
                    <w:rPr>
                      <w:rFonts w:hint="default"/>
                      <w:bCs/>
                      <w:color w:val="auto"/>
                    </w:rPr>
                    <w:t>mg/m</w:t>
                  </w:r>
                  <w:r>
                    <w:rPr>
                      <w:rFonts w:hint="default"/>
                      <w:bCs/>
                      <w:color w:val="auto"/>
                      <w:vertAlign w:val="superscript"/>
                    </w:rPr>
                    <w:t>3</w:t>
                  </w:r>
                  <w:r>
                    <w:rPr>
                      <w:rFonts w:hint="eastAsia"/>
                      <w:bCs/>
                      <w:color w:val="auto"/>
                    </w:rPr>
                    <w:t>）</w:t>
                  </w:r>
                </w:p>
              </w:tc>
              <w:tc>
                <w:tcPr>
                  <w:tcW w:w="671" w:type="pct"/>
                  <w:tcBorders>
                    <w:top w:val="single" w:color="000000" w:sz="12" w:space="0"/>
                    <w:left w:val="single" w:color="000000" w:sz="6" w:space="0"/>
                    <w:bottom w:val="single" w:color="auto" w:sz="4" w:space="0"/>
                    <w:right w:val="single" w:color="000000" w:sz="6" w:space="0"/>
                  </w:tcBorders>
                  <w:noWrap w:val="0"/>
                  <w:tcMar>
                    <w:left w:w="0" w:type="dxa"/>
                    <w:right w:w="0" w:type="dxa"/>
                  </w:tcMar>
                  <w:vAlign w:val="center"/>
                </w:tcPr>
                <w:p w14:paraId="55A6A18E">
                  <w:pPr>
                    <w:keepNext w:val="0"/>
                    <w:keepLines w:val="0"/>
                    <w:suppressLineNumbers w:val="0"/>
                    <w:spacing w:before="0" w:beforeAutospacing="0" w:after="0" w:afterAutospacing="0"/>
                    <w:ind w:left="0" w:right="0"/>
                    <w:jc w:val="center"/>
                    <w:rPr>
                      <w:rFonts w:hint="default"/>
                      <w:bCs/>
                      <w:color w:val="auto"/>
                    </w:rPr>
                  </w:pPr>
                  <w:r>
                    <w:rPr>
                      <w:rFonts w:hint="eastAsia"/>
                      <w:bCs/>
                      <w:color w:val="auto"/>
                    </w:rPr>
                    <w:t>评价指数（%）</w:t>
                  </w:r>
                </w:p>
              </w:tc>
              <w:tc>
                <w:tcPr>
                  <w:tcW w:w="519" w:type="pct"/>
                  <w:tcBorders>
                    <w:top w:val="single" w:color="000000" w:sz="12" w:space="0"/>
                    <w:left w:val="single" w:color="000000" w:sz="6" w:space="0"/>
                    <w:bottom w:val="single" w:color="auto" w:sz="4" w:space="0"/>
                    <w:right w:val="nil"/>
                  </w:tcBorders>
                  <w:noWrap w:val="0"/>
                  <w:tcMar>
                    <w:left w:w="0" w:type="dxa"/>
                    <w:right w:w="0" w:type="dxa"/>
                  </w:tcMar>
                  <w:vAlign w:val="center"/>
                </w:tcPr>
                <w:p w14:paraId="19AF4DDE">
                  <w:pPr>
                    <w:keepNext w:val="0"/>
                    <w:keepLines w:val="0"/>
                    <w:suppressLineNumbers w:val="0"/>
                    <w:spacing w:before="0" w:beforeAutospacing="0" w:after="0" w:afterAutospacing="0"/>
                    <w:ind w:left="0" w:right="0"/>
                    <w:jc w:val="center"/>
                    <w:rPr>
                      <w:rFonts w:hint="default"/>
                      <w:bCs/>
                      <w:color w:val="auto"/>
                    </w:rPr>
                  </w:pPr>
                  <w:r>
                    <w:rPr>
                      <w:rFonts w:hint="eastAsia"/>
                      <w:bCs/>
                      <w:color w:val="auto"/>
                    </w:rPr>
                    <w:t>达标情况</w:t>
                  </w:r>
                </w:p>
              </w:tc>
            </w:tr>
            <w:tr w14:paraId="5F3ADCF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906" w:type="pct"/>
                  <w:vMerge w:val="restart"/>
                  <w:tcBorders>
                    <w:left w:val="nil"/>
                    <w:right w:val="single" w:color="000000" w:sz="6" w:space="0"/>
                  </w:tcBorders>
                  <w:noWrap w:val="0"/>
                  <w:vAlign w:val="center"/>
                </w:tcPr>
                <w:p w14:paraId="01A9D8FA">
                  <w:pPr>
                    <w:keepNext w:val="0"/>
                    <w:keepLines w:val="0"/>
                    <w:suppressLineNumbers w:val="0"/>
                    <w:spacing w:before="0" w:beforeAutospacing="0" w:after="0" w:afterAutospacing="0"/>
                    <w:ind w:left="0" w:right="0"/>
                    <w:jc w:val="center"/>
                    <w:rPr>
                      <w:rFonts w:hint="eastAsia"/>
                      <w:color w:val="auto"/>
                    </w:rPr>
                  </w:pPr>
                  <w:r>
                    <w:rPr>
                      <w:rFonts w:hint="eastAsia"/>
                      <w:color w:val="auto"/>
                      <w:lang w:eastAsia="zh-CN"/>
                    </w:rPr>
                    <w:t>扎格</w:t>
                  </w:r>
                  <w:r>
                    <w:rPr>
                      <w:rFonts w:hint="eastAsia"/>
                      <w:color w:val="auto"/>
                      <w:lang w:val="en-US" w:eastAsia="zh-CN"/>
                    </w:rPr>
                    <w:t>6</w:t>
                  </w:r>
                  <w:r>
                    <w:rPr>
                      <w:rFonts w:hint="eastAsia"/>
                      <w:color w:val="auto"/>
                    </w:rPr>
                    <w:t>井</w:t>
                  </w:r>
                </w:p>
              </w:tc>
              <w:tc>
                <w:tcPr>
                  <w:tcW w:w="850" w:type="pct"/>
                  <w:tcBorders>
                    <w:top w:val="single" w:color="auto" w:sz="4" w:space="0"/>
                    <w:left w:val="single" w:color="000000" w:sz="6" w:space="0"/>
                    <w:bottom w:val="single" w:color="auto" w:sz="4" w:space="0"/>
                    <w:right w:val="single" w:color="000000" w:sz="6" w:space="0"/>
                  </w:tcBorders>
                  <w:noWrap w:val="0"/>
                  <w:vAlign w:val="center"/>
                </w:tcPr>
                <w:p w14:paraId="7DC29835">
                  <w:pPr>
                    <w:keepNext w:val="0"/>
                    <w:keepLines w:val="0"/>
                    <w:suppressLineNumbers w:val="0"/>
                    <w:spacing w:before="0" w:beforeAutospacing="0" w:after="0" w:afterAutospacing="0"/>
                    <w:ind w:left="0" w:right="0"/>
                    <w:jc w:val="center"/>
                    <w:rPr>
                      <w:rFonts w:hint="default"/>
                      <w:bCs/>
                      <w:color w:val="auto"/>
                    </w:rPr>
                  </w:pPr>
                  <w:r>
                    <w:rPr>
                      <w:rFonts w:hint="default"/>
                      <w:bCs/>
                      <w:color w:val="auto"/>
                    </w:rPr>
                    <w:t>非甲烷总烃</w:t>
                  </w:r>
                </w:p>
              </w:tc>
              <w:tc>
                <w:tcPr>
                  <w:tcW w:w="596" w:type="pct"/>
                  <w:tcBorders>
                    <w:top w:val="single" w:color="auto" w:sz="4" w:space="0"/>
                    <w:left w:val="single" w:color="000000" w:sz="6" w:space="0"/>
                    <w:bottom w:val="single" w:color="auto" w:sz="4" w:space="0"/>
                    <w:right w:val="single" w:color="auto" w:sz="4" w:space="0"/>
                  </w:tcBorders>
                  <w:noWrap w:val="0"/>
                  <w:vAlign w:val="center"/>
                </w:tcPr>
                <w:p w14:paraId="6268BDB4">
                  <w:pPr>
                    <w:keepNext w:val="0"/>
                    <w:keepLines w:val="0"/>
                    <w:suppressLineNumbers w:val="0"/>
                    <w:spacing w:before="0" w:beforeAutospacing="0" w:after="0" w:afterAutospacing="0"/>
                    <w:ind w:left="0" w:right="0"/>
                    <w:jc w:val="center"/>
                    <w:rPr>
                      <w:rFonts w:hint="default"/>
                      <w:color w:val="auto"/>
                    </w:rPr>
                  </w:pPr>
                  <w:r>
                    <w:rPr>
                      <w:rFonts w:hint="default"/>
                      <w:color w:val="auto"/>
                    </w:rPr>
                    <w:t>1小时</w:t>
                  </w:r>
                </w:p>
              </w:tc>
              <w:tc>
                <w:tcPr>
                  <w:tcW w:w="803" w:type="pct"/>
                  <w:tcBorders>
                    <w:top w:val="single" w:color="auto" w:sz="4" w:space="0"/>
                    <w:left w:val="single" w:color="auto" w:sz="4" w:space="0"/>
                    <w:bottom w:val="single" w:color="auto" w:sz="4" w:space="0"/>
                    <w:right w:val="single" w:color="000000" w:sz="6" w:space="0"/>
                  </w:tcBorders>
                  <w:noWrap w:val="0"/>
                  <w:vAlign w:val="center"/>
                </w:tcPr>
                <w:p w14:paraId="6EC99132">
                  <w:pPr>
                    <w:keepNext w:val="0"/>
                    <w:keepLines w:val="0"/>
                    <w:suppressLineNumbers w:val="0"/>
                    <w:spacing w:before="0" w:beforeAutospacing="0" w:after="0" w:afterAutospacing="0"/>
                    <w:ind w:left="0" w:right="0"/>
                    <w:jc w:val="center"/>
                    <w:rPr>
                      <w:rFonts w:hint="default" w:eastAsia="宋体"/>
                      <w:bCs/>
                      <w:color w:val="auto"/>
                      <w:lang w:val="en-US" w:eastAsia="zh-CN"/>
                    </w:rPr>
                  </w:pPr>
                  <w:r>
                    <w:rPr>
                      <w:rFonts w:hint="eastAsia"/>
                      <w:bCs/>
                      <w:color w:val="auto"/>
                    </w:rPr>
                    <w:t>0.</w:t>
                  </w:r>
                  <w:r>
                    <w:rPr>
                      <w:rFonts w:hint="eastAsia"/>
                      <w:bCs/>
                      <w:color w:val="auto"/>
                      <w:lang w:val="en-US" w:eastAsia="zh-CN"/>
                    </w:rPr>
                    <w:t>41</w:t>
                  </w:r>
                  <w:r>
                    <w:rPr>
                      <w:rFonts w:hint="eastAsia"/>
                      <w:bCs/>
                      <w:color w:val="auto"/>
                    </w:rPr>
                    <w:t>~0.</w:t>
                  </w:r>
                  <w:r>
                    <w:rPr>
                      <w:rFonts w:hint="eastAsia"/>
                      <w:bCs/>
                      <w:color w:val="auto"/>
                      <w:lang w:val="en-US" w:eastAsia="zh-CN"/>
                    </w:rPr>
                    <w:t>64</w:t>
                  </w:r>
                </w:p>
              </w:tc>
              <w:tc>
                <w:tcPr>
                  <w:tcW w:w="652" w:type="pct"/>
                  <w:tcBorders>
                    <w:top w:val="single" w:color="auto" w:sz="4" w:space="0"/>
                    <w:left w:val="single" w:color="000000" w:sz="6" w:space="0"/>
                    <w:bottom w:val="single" w:color="auto" w:sz="4" w:space="0"/>
                    <w:right w:val="single" w:color="000000" w:sz="6" w:space="0"/>
                  </w:tcBorders>
                  <w:noWrap w:val="0"/>
                  <w:vAlign w:val="center"/>
                </w:tcPr>
                <w:p w14:paraId="6F27D655">
                  <w:pPr>
                    <w:keepNext w:val="0"/>
                    <w:keepLines w:val="0"/>
                    <w:suppressLineNumbers w:val="0"/>
                    <w:spacing w:before="0" w:beforeAutospacing="0" w:after="0" w:afterAutospacing="0"/>
                    <w:ind w:left="0" w:right="0"/>
                    <w:jc w:val="center"/>
                    <w:rPr>
                      <w:rFonts w:hint="default"/>
                      <w:bCs/>
                      <w:color w:val="auto"/>
                    </w:rPr>
                  </w:pPr>
                  <w:r>
                    <w:rPr>
                      <w:rFonts w:hint="default"/>
                      <w:bCs/>
                      <w:color w:val="auto"/>
                    </w:rPr>
                    <w:t>2.</w:t>
                  </w:r>
                  <w:r>
                    <w:rPr>
                      <w:rFonts w:hint="eastAsia"/>
                      <w:bCs/>
                      <w:color w:val="auto"/>
                    </w:rPr>
                    <w:t>0</w:t>
                  </w:r>
                </w:p>
              </w:tc>
              <w:tc>
                <w:tcPr>
                  <w:tcW w:w="671" w:type="pct"/>
                  <w:tcBorders>
                    <w:top w:val="single" w:color="auto" w:sz="4" w:space="0"/>
                    <w:left w:val="single" w:color="000000" w:sz="6" w:space="0"/>
                    <w:bottom w:val="single" w:color="auto" w:sz="4" w:space="0"/>
                    <w:right w:val="single" w:color="000000" w:sz="6" w:space="0"/>
                  </w:tcBorders>
                  <w:noWrap w:val="0"/>
                  <w:vAlign w:val="center"/>
                </w:tcPr>
                <w:p w14:paraId="7EEB2604">
                  <w:pPr>
                    <w:keepNext w:val="0"/>
                    <w:keepLines w:val="0"/>
                    <w:suppressLineNumbers w:val="0"/>
                    <w:spacing w:before="0" w:beforeAutospacing="0" w:after="0" w:afterAutospacing="0"/>
                    <w:ind w:left="0" w:right="0"/>
                    <w:jc w:val="center"/>
                    <w:rPr>
                      <w:rFonts w:hint="default" w:eastAsia="宋体"/>
                      <w:bCs/>
                      <w:color w:val="auto"/>
                      <w:lang w:val="en-US" w:eastAsia="zh-CN"/>
                    </w:rPr>
                  </w:pPr>
                  <w:r>
                    <w:rPr>
                      <w:rFonts w:hint="eastAsia"/>
                      <w:bCs/>
                      <w:color w:val="auto"/>
                      <w:lang w:val="en-US" w:eastAsia="zh-CN"/>
                    </w:rPr>
                    <w:t>20.5</w:t>
                  </w:r>
                  <w:r>
                    <w:rPr>
                      <w:rFonts w:hint="eastAsia"/>
                      <w:bCs/>
                      <w:color w:val="auto"/>
                    </w:rPr>
                    <w:t>~</w:t>
                  </w:r>
                  <w:r>
                    <w:rPr>
                      <w:rFonts w:hint="eastAsia"/>
                      <w:bCs/>
                      <w:color w:val="auto"/>
                      <w:lang w:val="en-US" w:eastAsia="zh-CN"/>
                    </w:rPr>
                    <w:t>32</w:t>
                  </w:r>
                </w:p>
              </w:tc>
              <w:tc>
                <w:tcPr>
                  <w:tcW w:w="519" w:type="pct"/>
                  <w:tcBorders>
                    <w:top w:val="single" w:color="auto" w:sz="4" w:space="0"/>
                    <w:left w:val="single" w:color="000000" w:sz="6" w:space="0"/>
                    <w:bottom w:val="single" w:color="auto" w:sz="4" w:space="0"/>
                    <w:right w:val="nil"/>
                  </w:tcBorders>
                  <w:noWrap w:val="0"/>
                  <w:vAlign w:val="center"/>
                </w:tcPr>
                <w:p w14:paraId="21D9618B">
                  <w:pPr>
                    <w:keepNext w:val="0"/>
                    <w:keepLines w:val="0"/>
                    <w:suppressLineNumbers w:val="0"/>
                    <w:spacing w:before="0" w:beforeAutospacing="0" w:after="0" w:afterAutospacing="0"/>
                    <w:ind w:left="0" w:right="0"/>
                    <w:jc w:val="center"/>
                    <w:rPr>
                      <w:rFonts w:hint="default"/>
                      <w:bCs/>
                      <w:color w:val="auto"/>
                    </w:rPr>
                  </w:pPr>
                  <w:r>
                    <w:rPr>
                      <w:rFonts w:hint="default"/>
                      <w:bCs/>
                      <w:color w:val="auto"/>
                    </w:rPr>
                    <w:t>达标</w:t>
                  </w:r>
                </w:p>
              </w:tc>
            </w:tr>
            <w:tr w14:paraId="17D9A30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906" w:type="pct"/>
                  <w:vMerge w:val="continue"/>
                  <w:tcBorders>
                    <w:left w:val="nil"/>
                    <w:right w:val="single" w:color="000000" w:sz="6" w:space="0"/>
                  </w:tcBorders>
                  <w:noWrap w:val="0"/>
                  <w:vAlign w:val="center"/>
                </w:tcPr>
                <w:p w14:paraId="1D70E5D6">
                  <w:pPr>
                    <w:keepNext w:val="0"/>
                    <w:keepLines w:val="0"/>
                    <w:suppressLineNumbers w:val="0"/>
                    <w:spacing w:before="0" w:beforeAutospacing="0" w:after="0" w:afterAutospacing="0"/>
                    <w:ind w:left="0" w:right="0"/>
                    <w:jc w:val="center"/>
                    <w:rPr>
                      <w:rFonts w:hint="eastAsia"/>
                      <w:color w:val="auto"/>
                    </w:rPr>
                  </w:pPr>
                </w:p>
              </w:tc>
              <w:tc>
                <w:tcPr>
                  <w:tcW w:w="850" w:type="pct"/>
                  <w:tcBorders>
                    <w:top w:val="single" w:color="auto" w:sz="4" w:space="0"/>
                    <w:left w:val="single" w:color="000000" w:sz="6" w:space="0"/>
                    <w:bottom w:val="single" w:color="auto" w:sz="4" w:space="0"/>
                    <w:right w:val="single" w:color="000000" w:sz="6" w:space="0"/>
                  </w:tcBorders>
                  <w:noWrap w:val="0"/>
                  <w:vAlign w:val="center"/>
                </w:tcPr>
                <w:p w14:paraId="20D7B3D5">
                  <w:pPr>
                    <w:keepNext w:val="0"/>
                    <w:keepLines w:val="0"/>
                    <w:suppressLineNumbers w:val="0"/>
                    <w:spacing w:before="0" w:beforeAutospacing="0" w:after="0" w:afterAutospacing="0"/>
                    <w:ind w:left="0" w:right="0"/>
                    <w:jc w:val="center"/>
                    <w:rPr>
                      <w:rFonts w:hint="default"/>
                      <w:bCs/>
                      <w:color w:val="auto"/>
                    </w:rPr>
                  </w:pPr>
                  <w:r>
                    <w:rPr>
                      <w:rFonts w:hint="default"/>
                      <w:bCs/>
                      <w:color w:val="auto"/>
                    </w:rPr>
                    <w:t>TSP</w:t>
                  </w:r>
                </w:p>
              </w:tc>
              <w:tc>
                <w:tcPr>
                  <w:tcW w:w="596" w:type="pct"/>
                  <w:tcBorders>
                    <w:top w:val="single" w:color="auto" w:sz="4" w:space="0"/>
                    <w:left w:val="single" w:color="000000" w:sz="6" w:space="0"/>
                    <w:bottom w:val="single" w:color="auto" w:sz="4" w:space="0"/>
                    <w:right w:val="single" w:color="auto" w:sz="4" w:space="0"/>
                  </w:tcBorders>
                  <w:noWrap w:val="0"/>
                  <w:vAlign w:val="center"/>
                </w:tcPr>
                <w:p w14:paraId="0D310339">
                  <w:pPr>
                    <w:keepNext w:val="0"/>
                    <w:keepLines w:val="0"/>
                    <w:suppressLineNumbers w:val="0"/>
                    <w:spacing w:before="0" w:beforeAutospacing="0" w:after="0" w:afterAutospacing="0"/>
                    <w:ind w:left="0" w:right="0"/>
                    <w:jc w:val="center"/>
                    <w:rPr>
                      <w:rFonts w:hint="default"/>
                      <w:color w:val="auto"/>
                    </w:rPr>
                  </w:pPr>
                  <w:r>
                    <w:rPr>
                      <w:rFonts w:hint="eastAsia"/>
                      <w:color w:val="auto"/>
                    </w:rPr>
                    <w:t>24小时</w:t>
                  </w:r>
                </w:p>
              </w:tc>
              <w:tc>
                <w:tcPr>
                  <w:tcW w:w="803" w:type="pct"/>
                  <w:tcBorders>
                    <w:top w:val="single" w:color="auto" w:sz="4" w:space="0"/>
                    <w:left w:val="single" w:color="auto" w:sz="4" w:space="0"/>
                    <w:bottom w:val="single" w:color="auto" w:sz="4" w:space="0"/>
                    <w:right w:val="single" w:color="000000" w:sz="6" w:space="0"/>
                  </w:tcBorders>
                  <w:noWrap w:val="0"/>
                  <w:vAlign w:val="center"/>
                </w:tcPr>
                <w:p w14:paraId="3ABE8379">
                  <w:pPr>
                    <w:keepNext w:val="0"/>
                    <w:keepLines w:val="0"/>
                    <w:suppressLineNumbers w:val="0"/>
                    <w:spacing w:before="0" w:beforeAutospacing="0" w:after="0" w:afterAutospacing="0"/>
                    <w:ind w:left="0" w:right="0"/>
                    <w:jc w:val="center"/>
                    <w:rPr>
                      <w:rFonts w:hint="default" w:eastAsia="宋体"/>
                      <w:bCs/>
                      <w:color w:val="auto"/>
                      <w:lang w:val="en-US" w:eastAsia="zh-CN"/>
                    </w:rPr>
                  </w:pPr>
                  <w:r>
                    <w:rPr>
                      <w:rFonts w:hint="eastAsia"/>
                      <w:bCs/>
                      <w:color w:val="auto"/>
                    </w:rPr>
                    <w:t>0.</w:t>
                  </w:r>
                  <w:r>
                    <w:rPr>
                      <w:rFonts w:hint="eastAsia"/>
                      <w:bCs/>
                      <w:color w:val="auto"/>
                      <w:lang w:val="en-US" w:eastAsia="zh-CN"/>
                    </w:rPr>
                    <w:t>081</w:t>
                  </w:r>
                  <w:r>
                    <w:rPr>
                      <w:rFonts w:hint="eastAsia"/>
                      <w:bCs/>
                      <w:color w:val="auto"/>
                    </w:rPr>
                    <w:t>~0.</w:t>
                  </w:r>
                  <w:r>
                    <w:rPr>
                      <w:rFonts w:hint="eastAsia"/>
                      <w:bCs/>
                      <w:color w:val="auto"/>
                      <w:lang w:val="en-US" w:eastAsia="zh-CN"/>
                    </w:rPr>
                    <w:t>128</w:t>
                  </w:r>
                </w:p>
              </w:tc>
              <w:tc>
                <w:tcPr>
                  <w:tcW w:w="652" w:type="pct"/>
                  <w:tcBorders>
                    <w:top w:val="single" w:color="auto" w:sz="4" w:space="0"/>
                    <w:left w:val="single" w:color="000000" w:sz="6" w:space="0"/>
                    <w:bottom w:val="single" w:color="auto" w:sz="4" w:space="0"/>
                    <w:right w:val="single" w:color="000000" w:sz="6" w:space="0"/>
                  </w:tcBorders>
                  <w:noWrap w:val="0"/>
                  <w:vAlign w:val="center"/>
                </w:tcPr>
                <w:p w14:paraId="45A7FBD7">
                  <w:pPr>
                    <w:keepNext w:val="0"/>
                    <w:keepLines w:val="0"/>
                    <w:suppressLineNumbers w:val="0"/>
                    <w:spacing w:before="0" w:beforeAutospacing="0" w:after="0" w:afterAutospacing="0"/>
                    <w:ind w:left="0" w:right="0"/>
                    <w:jc w:val="center"/>
                    <w:rPr>
                      <w:rFonts w:hint="default"/>
                      <w:bCs/>
                      <w:color w:val="auto"/>
                    </w:rPr>
                  </w:pPr>
                  <w:r>
                    <w:rPr>
                      <w:rFonts w:hint="eastAsia"/>
                      <w:bCs/>
                      <w:color w:val="auto"/>
                    </w:rPr>
                    <w:t>0.3</w:t>
                  </w:r>
                </w:p>
              </w:tc>
              <w:tc>
                <w:tcPr>
                  <w:tcW w:w="671" w:type="pct"/>
                  <w:tcBorders>
                    <w:top w:val="single" w:color="auto" w:sz="4" w:space="0"/>
                    <w:left w:val="single" w:color="000000" w:sz="6" w:space="0"/>
                    <w:bottom w:val="single" w:color="auto" w:sz="4" w:space="0"/>
                    <w:right w:val="single" w:color="000000" w:sz="6" w:space="0"/>
                  </w:tcBorders>
                  <w:noWrap w:val="0"/>
                  <w:vAlign w:val="center"/>
                </w:tcPr>
                <w:p w14:paraId="28E8F2F1">
                  <w:pPr>
                    <w:keepNext w:val="0"/>
                    <w:keepLines w:val="0"/>
                    <w:suppressLineNumbers w:val="0"/>
                    <w:spacing w:before="0" w:beforeAutospacing="0" w:after="0" w:afterAutospacing="0"/>
                    <w:ind w:left="0" w:right="0"/>
                    <w:jc w:val="center"/>
                    <w:rPr>
                      <w:rFonts w:hint="default"/>
                      <w:bCs/>
                      <w:color w:val="auto"/>
                      <w:lang w:val="en-US"/>
                    </w:rPr>
                  </w:pPr>
                  <w:r>
                    <w:rPr>
                      <w:rFonts w:hint="eastAsia"/>
                      <w:bCs/>
                      <w:color w:val="auto"/>
                      <w:lang w:val="en-US" w:eastAsia="zh-CN"/>
                    </w:rPr>
                    <w:t>27</w:t>
                  </w:r>
                  <w:r>
                    <w:rPr>
                      <w:rFonts w:hint="eastAsia"/>
                      <w:bCs/>
                      <w:color w:val="auto"/>
                    </w:rPr>
                    <w:t>~</w:t>
                  </w:r>
                  <w:r>
                    <w:rPr>
                      <w:rFonts w:hint="eastAsia"/>
                      <w:bCs/>
                      <w:color w:val="auto"/>
                      <w:lang w:val="en-US" w:eastAsia="zh-CN"/>
                    </w:rPr>
                    <w:t>42.7</w:t>
                  </w:r>
                </w:p>
              </w:tc>
              <w:tc>
                <w:tcPr>
                  <w:tcW w:w="519" w:type="pct"/>
                  <w:tcBorders>
                    <w:top w:val="single" w:color="auto" w:sz="4" w:space="0"/>
                    <w:left w:val="single" w:color="000000" w:sz="6" w:space="0"/>
                    <w:bottom w:val="single" w:color="auto" w:sz="4" w:space="0"/>
                    <w:right w:val="nil"/>
                  </w:tcBorders>
                  <w:noWrap w:val="0"/>
                  <w:vAlign w:val="center"/>
                </w:tcPr>
                <w:p w14:paraId="5F52C34E">
                  <w:pPr>
                    <w:keepNext w:val="0"/>
                    <w:keepLines w:val="0"/>
                    <w:suppressLineNumbers w:val="0"/>
                    <w:spacing w:before="0" w:beforeAutospacing="0" w:after="0" w:afterAutospacing="0"/>
                    <w:ind w:left="0" w:right="0"/>
                    <w:jc w:val="center"/>
                    <w:rPr>
                      <w:rFonts w:hint="default"/>
                      <w:bCs/>
                      <w:color w:val="auto"/>
                    </w:rPr>
                  </w:pPr>
                  <w:r>
                    <w:rPr>
                      <w:rFonts w:hint="default"/>
                      <w:bCs/>
                      <w:color w:val="auto"/>
                    </w:rPr>
                    <w:t>达标</w:t>
                  </w:r>
                </w:p>
              </w:tc>
            </w:tr>
          </w:tbl>
          <w:p w14:paraId="5353BF23">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lang w:eastAsia="zh-CN"/>
              </w:rPr>
              <w:t>本工程</w:t>
            </w:r>
            <w:r>
              <w:rPr>
                <w:rFonts w:hint="eastAsia"/>
                <w:color w:val="auto"/>
                <w:sz w:val="24"/>
              </w:rPr>
              <w:t>非甲烷总烃参照执行河北省地标《环境空气质量 非甲烷总烃限值》（DB13/1577-2012），</w:t>
            </w:r>
            <w:r>
              <w:rPr>
                <w:rFonts w:hint="default"/>
                <w:color w:val="auto"/>
                <w:sz w:val="24"/>
              </w:rPr>
              <w:t>由以上</w:t>
            </w:r>
            <w:r>
              <w:rPr>
                <w:rFonts w:hint="eastAsia"/>
                <w:color w:val="auto"/>
                <w:sz w:val="24"/>
                <w:lang w:eastAsia="zh-CN"/>
              </w:rPr>
              <w:t>检测</w:t>
            </w:r>
            <w:r>
              <w:rPr>
                <w:rFonts w:hint="default"/>
                <w:color w:val="auto"/>
                <w:sz w:val="24"/>
              </w:rPr>
              <w:t>结果可</w:t>
            </w:r>
            <w:r>
              <w:rPr>
                <w:rFonts w:hint="eastAsia"/>
                <w:color w:val="auto"/>
                <w:sz w:val="24"/>
              </w:rPr>
              <w:t>得</w:t>
            </w:r>
            <w:r>
              <w:rPr>
                <w:rFonts w:hint="default"/>
                <w:color w:val="auto"/>
                <w:sz w:val="24"/>
              </w:rPr>
              <w:t>出，区域非甲烷总烃小时浓度符合《环境空气质量</w:t>
            </w:r>
            <w:r>
              <w:rPr>
                <w:rFonts w:hint="eastAsia"/>
                <w:color w:val="auto"/>
                <w:sz w:val="24"/>
              </w:rPr>
              <w:t xml:space="preserve"> </w:t>
            </w:r>
            <w:r>
              <w:rPr>
                <w:rFonts w:hint="default"/>
                <w:color w:val="auto"/>
                <w:sz w:val="24"/>
              </w:rPr>
              <w:t>非甲烷总烃限值》（DB13/1577-2012）</w:t>
            </w:r>
            <w:r>
              <w:rPr>
                <w:rFonts w:hint="default"/>
                <w:bCs/>
                <w:color w:val="auto"/>
                <w:sz w:val="24"/>
              </w:rPr>
              <w:t>二级标准</w:t>
            </w:r>
            <w:r>
              <w:rPr>
                <w:rFonts w:hint="default"/>
                <w:color w:val="auto"/>
                <w:sz w:val="24"/>
              </w:rPr>
              <w:t>中浓度限值</w:t>
            </w:r>
            <w:r>
              <w:rPr>
                <w:rFonts w:hint="eastAsia"/>
                <w:color w:val="auto"/>
                <w:sz w:val="24"/>
              </w:rPr>
              <w:t>；TSP24小时浓度符合《环境空气质量标准》（GB 3095-2012）中表2环境空气污染物其他项目浓度限值中的二级标准</w:t>
            </w:r>
            <w:r>
              <w:rPr>
                <w:rFonts w:hint="default"/>
                <w:color w:val="auto"/>
                <w:sz w:val="24"/>
              </w:rPr>
              <w:t>。</w:t>
            </w:r>
          </w:p>
          <w:p w14:paraId="0AC49BF1">
            <w:pPr>
              <w:keepNext w:val="0"/>
              <w:keepLines w:val="0"/>
              <w:suppressLineNumbers w:val="0"/>
              <w:adjustRightInd w:val="0"/>
              <w:spacing w:before="0" w:beforeAutospacing="0" w:after="0" w:afterAutospacing="0" w:line="360" w:lineRule="auto"/>
              <w:ind w:left="0" w:right="0" w:firstLine="482" w:firstLineChars="200"/>
              <w:rPr>
                <w:rFonts w:hint="default"/>
                <w:b/>
                <w:color w:val="auto"/>
                <w:sz w:val="24"/>
              </w:rPr>
            </w:pPr>
            <w:r>
              <w:rPr>
                <w:rFonts w:hint="eastAsia"/>
                <w:b/>
                <w:color w:val="auto"/>
                <w:sz w:val="24"/>
              </w:rPr>
              <w:t>3</w:t>
            </w:r>
            <w:r>
              <w:rPr>
                <w:rFonts w:hint="default"/>
                <w:b/>
                <w:color w:val="auto"/>
                <w:sz w:val="24"/>
              </w:rPr>
              <w:t>、声环境质量现状</w:t>
            </w:r>
          </w:p>
          <w:p w14:paraId="0531241E">
            <w:pPr>
              <w:keepNext w:val="0"/>
              <w:keepLines w:val="0"/>
              <w:suppressLineNumbers w:val="0"/>
              <w:adjustRightInd w:val="0"/>
              <w:spacing w:before="0" w:beforeAutospacing="0" w:after="0" w:afterAutospacing="0" w:line="360" w:lineRule="auto"/>
              <w:ind w:left="0" w:right="0" w:firstLine="480" w:firstLineChars="200"/>
              <w:rPr>
                <w:rFonts w:hint="default"/>
                <w:bCs/>
                <w:color w:val="auto"/>
                <w:sz w:val="24"/>
                <w:szCs w:val="22"/>
              </w:rPr>
            </w:pPr>
            <w:r>
              <w:rPr>
                <w:rFonts w:hint="eastAsia"/>
                <w:color w:val="auto"/>
                <w:sz w:val="24"/>
              </w:rPr>
              <w:t>根据现场踏勘，</w:t>
            </w:r>
            <w:r>
              <w:rPr>
                <w:rFonts w:hint="eastAsia"/>
                <w:color w:val="auto"/>
                <w:sz w:val="24"/>
                <w:lang w:eastAsia="zh-CN"/>
              </w:rPr>
              <w:t>扎格6</w:t>
            </w:r>
            <w:r>
              <w:rPr>
                <w:rFonts w:hint="eastAsia"/>
                <w:color w:val="auto"/>
                <w:sz w:val="24"/>
              </w:rPr>
              <w:t>井场场界50m范围内均无敏感保护目标，依据《</w:t>
            </w:r>
            <w:r>
              <w:rPr>
                <w:rFonts w:hint="default"/>
                <w:color w:val="auto"/>
                <w:sz w:val="24"/>
              </w:rPr>
              <w:t>建设项目环境影响报告表编制技术指南</w:t>
            </w:r>
            <w:r>
              <w:rPr>
                <w:rFonts w:hint="eastAsia"/>
                <w:color w:val="auto"/>
                <w:sz w:val="24"/>
              </w:rPr>
              <w:t>（试行）》，无需进行声环境现状监测。</w:t>
            </w:r>
          </w:p>
          <w:p w14:paraId="0265ABB7">
            <w:pPr>
              <w:keepNext w:val="0"/>
              <w:keepLines w:val="0"/>
              <w:suppressLineNumbers w:val="0"/>
              <w:adjustRightInd w:val="0"/>
              <w:spacing w:before="0" w:beforeAutospacing="0" w:after="0" w:afterAutospacing="0" w:line="360" w:lineRule="auto"/>
              <w:ind w:left="0" w:right="0" w:firstLine="482" w:firstLineChars="200"/>
              <w:rPr>
                <w:rFonts w:hint="default"/>
                <w:b/>
                <w:color w:val="auto"/>
                <w:sz w:val="24"/>
              </w:rPr>
            </w:pPr>
            <w:r>
              <w:rPr>
                <w:rFonts w:hint="eastAsia"/>
                <w:b/>
                <w:color w:val="auto"/>
                <w:sz w:val="24"/>
              </w:rPr>
              <w:t>4</w:t>
            </w:r>
            <w:r>
              <w:rPr>
                <w:rFonts w:hint="default"/>
                <w:b/>
                <w:color w:val="auto"/>
                <w:sz w:val="24"/>
              </w:rPr>
              <w:t>、土壤环境质量现状</w:t>
            </w:r>
          </w:p>
          <w:p w14:paraId="2CE3D0E2">
            <w:pPr>
              <w:keepNext w:val="0"/>
              <w:keepLines w:val="0"/>
              <w:suppressLineNumbers w:val="0"/>
              <w:adjustRightInd w:val="0"/>
              <w:spacing w:before="0" w:beforeAutospacing="0" w:after="0" w:afterAutospacing="0" w:line="360" w:lineRule="auto"/>
              <w:ind w:left="0" w:right="0" w:firstLine="480" w:firstLineChars="200"/>
              <w:rPr>
                <w:rFonts w:hint="default"/>
                <w:color w:val="auto"/>
                <w:sz w:val="24"/>
              </w:rPr>
            </w:pPr>
            <w:r>
              <w:rPr>
                <w:rFonts w:hint="eastAsia"/>
                <w:color w:val="auto"/>
                <w:sz w:val="24"/>
              </w:rPr>
              <w:t>依据《环境影响评价技术导则 土壤环境（试行）》（HJ964-2018），</w:t>
            </w:r>
            <w:r>
              <w:rPr>
                <w:rFonts w:hint="eastAsia"/>
                <w:color w:val="auto"/>
                <w:sz w:val="24"/>
                <w:lang w:eastAsia="zh-CN"/>
              </w:rPr>
              <w:t>本工程</w:t>
            </w:r>
            <w:r>
              <w:rPr>
                <w:rFonts w:hint="eastAsia"/>
                <w:color w:val="auto"/>
                <w:sz w:val="24"/>
              </w:rPr>
              <w:t>属于“附录A、土壤环境影响评价项目类别”中“其他行业”，属于</w:t>
            </w:r>
            <w:r>
              <w:rPr>
                <w:rFonts w:hint="eastAsia"/>
                <w:color w:val="auto"/>
                <w:sz w:val="24"/>
                <w:lang w:eastAsia="zh-CN"/>
              </w:rPr>
              <w:t>Ⅳ类</w:t>
            </w:r>
            <w:r>
              <w:rPr>
                <w:rFonts w:hint="eastAsia"/>
                <w:color w:val="auto"/>
                <w:sz w:val="24"/>
              </w:rPr>
              <w:t>项目，</w:t>
            </w:r>
            <w:r>
              <w:rPr>
                <w:rFonts w:hint="eastAsia"/>
                <w:color w:val="auto"/>
                <w:sz w:val="24"/>
                <w:lang w:eastAsia="zh-CN"/>
              </w:rPr>
              <w:t>本工程</w:t>
            </w:r>
            <w:r>
              <w:rPr>
                <w:rFonts w:hint="eastAsia"/>
                <w:color w:val="auto"/>
                <w:sz w:val="24"/>
              </w:rPr>
              <w:t>可不开展土壤环境影响评价。</w:t>
            </w:r>
          </w:p>
          <w:p w14:paraId="5E19F26D">
            <w:pPr>
              <w:keepNext w:val="0"/>
              <w:keepLines w:val="0"/>
              <w:suppressLineNumbers w:val="0"/>
              <w:adjustRightInd w:val="0"/>
              <w:spacing w:before="0" w:beforeAutospacing="0" w:after="0" w:afterAutospacing="0" w:line="360" w:lineRule="auto"/>
              <w:ind w:left="0" w:right="0" w:firstLine="482" w:firstLineChars="200"/>
              <w:rPr>
                <w:rFonts w:hint="default"/>
                <w:b/>
                <w:color w:val="auto"/>
                <w:sz w:val="24"/>
              </w:rPr>
            </w:pPr>
            <w:r>
              <w:rPr>
                <w:rFonts w:hint="eastAsia"/>
                <w:b/>
                <w:color w:val="auto"/>
                <w:sz w:val="24"/>
              </w:rPr>
              <w:t>5</w:t>
            </w:r>
            <w:r>
              <w:rPr>
                <w:rFonts w:hint="default"/>
                <w:b/>
                <w:color w:val="auto"/>
                <w:sz w:val="24"/>
              </w:rPr>
              <w:t>、地下水环境</w:t>
            </w:r>
          </w:p>
          <w:p w14:paraId="57677927">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rPr>
              <w:t>根据《环境影响评价技术导则 地下水环境》（HJ610-2016），</w:t>
            </w:r>
            <w:r>
              <w:rPr>
                <w:rFonts w:hint="eastAsia"/>
                <w:color w:val="auto"/>
                <w:sz w:val="24"/>
                <w:lang w:eastAsia="zh-CN"/>
              </w:rPr>
              <w:t>本工程</w:t>
            </w:r>
            <w:r>
              <w:rPr>
                <w:rFonts w:hint="eastAsia"/>
                <w:color w:val="auto"/>
                <w:sz w:val="24"/>
              </w:rPr>
              <w:t>为矿产资源地质勘查（包括勘探活动），</w:t>
            </w:r>
            <w:r>
              <w:rPr>
                <w:rFonts w:hint="default"/>
                <w:color w:val="auto"/>
                <w:sz w:val="24"/>
              </w:rPr>
              <w:t>属于地下水环境影响评价项目类别中Ⅳ类项目，</w:t>
            </w:r>
            <w:r>
              <w:rPr>
                <w:rFonts w:hint="eastAsia"/>
                <w:color w:val="auto"/>
                <w:sz w:val="24"/>
              </w:rPr>
              <w:t>不开展地下水环境影响评价。</w:t>
            </w:r>
          </w:p>
          <w:p w14:paraId="5CBBD6F2">
            <w:pPr>
              <w:keepNext w:val="0"/>
              <w:keepLines w:val="0"/>
              <w:suppressLineNumbers w:val="0"/>
              <w:adjustRightInd w:val="0"/>
              <w:spacing w:before="0" w:beforeAutospacing="0" w:after="0" w:afterAutospacing="0" w:line="360" w:lineRule="auto"/>
              <w:ind w:left="0" w:right="0" w:firstLine="482" w:firstLineChars="200"/>
              <w:rPr>
                <w:rFonts w:hint="eastAsia"/>
                <w:b/>
                <w:color w:val="auto"/>
                <w:sz w:val="24"/>
              </w:rPr>
            </w:pPr>
            <w:r>
              <w:rPr>
                <w:rFonts w:hint="eastAsia"/>
                <w:b/>
                <w:color w:val="auto"/>
                <w:sz w:val="24"/>
              </w:rPr>
              <w:t>6</w:t>
            </w:r>
            <w:r>
              <w:rPr>
                <w:rFonts w:hint="default"/>
                <w:b/>
                <w:color w:val="auto"/>
                <w:sz w:val="24"/>
              </w:rPr>
              <w:t>、生态环境质量</w:t>
            </w:r>
          </w:p>
          <w:p w14:paraId="67079419">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rPr>
            </w:pPr>
            <w:r>
              <w:rPr>
                <w:rFonts w:hint="eastAsia"/>
                <w:color w:val="auto"/>
                <w:sz w:val="24"/>
              </w:rPr>
              <w:t>（1）土地利用现状</w:t>
            </w:r>
          </w:p>
          <w:p w14:paraId="28F17C80">
            <w:pPr>
              <w:keepNext w:val="0"/>
              <w:keepLines w:val="0"/>
              <w:suppressLineNumbers w:val="0"/>
              <w:spacing w:before="0" w:beforeAutospacing="0" w:after="0" w:afterAutospacing="0" w:line="360" w:lineRule="auto"/>
              <w:ind w:left="0" w:right="0" w:firstLine="480" w:firstLineChars="200"/>
              <w:rPr>
                <w:rFonts w:hint="eastAsia"/>
                <w:color w:val="auto"/>
                <w:sz w:val="24"/>
                <w:highlight w:val="none"/>
              </w:rPr>
            </w:pPr>
            <w:r>
              <w:rPr>
                <w:rFonts w:hint="default"/>
                <w:color w:val="auto"/>
                <w:sz w:val="24"/>
              </w:rPr>
              <w:t>本工程属于</w:t>
            </w:r>
            <w:r>
              <w:rPr>
                <w:rFonts w:hint="default"/>
                <w:color w:val="auto"/>
                <w:sz w:val="24"/>
                <w:highlight w:val="none"/>
              </w:rPr>
              <w:t>石油勘探工程，</w:t>
            </w:r>
            <w:r>
              <w:rPr>
                <w:rFonts w:hint="eastAsia"/>
                <w:color w:val="auto"/>
                <w:sz w:val="24"/>
                <w:highlight w:val="none"/>
              </w:rPr>
              <w:t>为临时占地，</w:t>
            </w:r>
            <w:r>
              <w:rPr>
                <w:rFonts w:hint="default"/>
                <w:color w:val="auto"/>
                <w:sz w:val="24"/>
                <w:highlight w:val="none"/>
              </w:rPr>
              <w:t>包括井场、办公生活区、设备区等</w:t>
            </w:r>
            <w:r>
              <w:rPr>
                <w:rFonts w:hint="eastAsia"/>
                <w:color w:val="auto"/>
                <w:sz w:val="24"/>
                <w:highlight w:val="none"/>
              </w:rPr>
              <w:t>。</w:t>
            </w:r>
            <w:r>
              <w:rPr>
                <w:rFonts w:hint="eastAsia"/>
                <w:color w:val="auto"/>
                <w:sz w:val="24"/>
                <w:highlight w:val="none"/>
                <w:lang w:eastAsia="zh-CN"/>
              </w:rPr>
              <w:t>扎格6</w:t>
            </w:r>
            <w:r>
              <w:rPr>
                <w:rFonts w:hint="eastAsia"/>
                <w:color w:val="auto"/>
                <w:sz w:val="24"/>
                <w:highlight w:val="none"/>
              </w:rPr>
              <w:t>井占地面积</w:t>
            </w:r>
            <w:r>
              <w:rPr>
                <w:rFonts w:hint="eastAsia"/>
                <w:color w:val="auto"/>
                <w:sz w:val="24"/>
                <w:highlight w:val="none"/>
                <w:lang w:val="en-US" w:eastAsia="zh-CN"/>
              </w:rPr>
              <w:t>16709</w:t>
            </w:r>
            <w:r>
              <w:rPr>
                <w:rFonts w:hint="default"/>
                <w:color w:val="auto"/>
                <w:sz w:val="24"/>
                <w:highlight w:val="none"/>
              </w:rPr>
              <w:t>m</w:t>
            </w:r>
            <w:r>
              <w:rPr>
                <w:rFonts w:hint="default"/>
                <w:color w:val="auto"/>
                <w:sz w:val="24"/>
                <w:highlight w:val="none"/>
                <w:vertAlign w:val="superscript"/>
              </w:rPr>
              <w:t>2</w:t>
            </w:r>
            <w:r>
              <w:rPr>
                <w:rFonts w:hint="eastAsia"/>
                <w:color w:val="auto"/>
                <w:sz w:val="24"/>
                <w:highlight w:val="none"/>
              </w:rPr>
              <w:t>，</w:t>
            </w:r>
            <w:r>
              <w:rPr>
                <w:rFonts w:hint="eastAsia"/>
                <w:color w:val="auto"/>
                <w:sz w:val="24"/>
                <w:highlight w:val="none"/>
                <w:lang w:eastAsia="zh-CN"/>
              </w:rPr>
              <w:t>占地类型为农用地，均为基本农田</w:t>
            </w:r>
            <w:r>
              <w:rPr>
                <w:rFonts w:hint="eastAsia"/>
                <w:color w:val="auto"/>
                <w:sz w:val="24"/>
                <w:highlight w:val="none"/>
              </w:rPr>
              <w:t>，土地利用现状见下表</w:t>
            </w:r>
            <w:r>
              <w:rPr>
                <w:rFonts w:hint="default"/>
                <w:color w:val="auto"/>
                <w:sz w:val="24"/>
                <w:highlight w:val="none"/>
              </w:rPr>
              <w:t>。</w:t>
            </w:r>
          </w:p>
          <w:p w14:paraId="1ACFB3D2">
            <w:pPr>
              <w:keepNext w:val="0"/>
              <w:keepLines w:val="0"/>
              <w:suppressLineNumbers w:val="0"/>
              <w:adjustRightInd w:val="0"/>
              <w:snapToGrid w:val="0"/>
              <w:spacing w:before="0" w:beforeAutospacing="0" w:after="0" w:afterAutospacing="0" w:line="360" w:lineRule="exact"/>
              <w:ind w:left="0" w:right="0"/>
              <w:jc w:val="center"/>
              <w:rPr>
                <w:rFonts w:hint="eastAsia"/>
                <w:b/>
                <w:color w:val="auto"/>
                <w:sz w:val="24"/>
                <w:highlight w:val="none"/>
                <w:vertAlign w:val="superscript"/>
              </w:rPr>
            </w:pPr>
            <w:r>
              <w:rPr>
                <w:rFonts w:hint="default"/>
                <w:b/>
                <w:color w:val="auto"/>
                <w:sz w:val="24"/>
                <w:highlight w:val="none"/>
              </w:rPr>
              <w:t>表3-</w:t>
            </w:r>
            <w:r>
              <w:rPr>
                <w:rFonts w:hint="eastAsia"/>
                <w:b/>
                <w:color w:val="auto"/>
                <w:sz w:val="24"/>
                <w:highlight w:val="none"/>
              </w:rPr>
              <w:t>4 项目</w:t>
            </w:r>
            <w:r>
              <w:rPr>
                <w:rFonts w:hint="default"/>
                <w:b/>
                <w:color w:val="auto"/>
                <w:sz w:val="24"/>
                <w:highlight w:val="none"/>
              </w:rPr>
              <w:t>土地利用现状情况表</w:t>
            </w:r>
            <w:r>
              <w:rPr>
                <w:rFonts w:hint="eastAsia"/>
                <w:b/>
                <w:color w:val="auto"/>
                <w:sz w:val="24"/>
                <w:highlight w:val="none"/>
              </w:rPr>
              <w:t xml:space="preserve"> </w:t>
            </w:r>
            <w:r>
              <w:rPr>
                <w:rFonts w:hint="default"/>
                <w:b/>
                <w:color w:val="auto"/>
                <w:sz w:val="24"/>
                <w:highlight w:val="none"/>
              </w:rPr>
              <w:t>单位</w:t>
            </w:r>
            <w:r>
              <w:rPr>
                <w:rFonts w:hint="eastAsia"/>
                <w:b/>
                <w:color w:val="auto"/>
                <w:sz w:val="24"/>
                <w:highlight w:val="none"/>
              </w:rPr>
              <w:t>：m</w:t>
            </w:r>
            <w:r>
              <w:rPr>
                <w:rFonts w:hint="eastAsia"/>
                <w:b/>
                <w:color w:val="auto"/>
                <w:sz w:val="24"/>
                <w:highlight w:val="none"/>
                <w:vertAlign w:val="superscript"/>
              </w:rPr>
              <w:t>2</w:t>
            </w:r>
          </w:p>
          <w:tbl>
            <w:tblPr>
              <w:tblStyle w:val="30"/>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72"/>
              <w:gridCol w:w="1658"/>
              <w:gridCol w:w="2166"/>
              <w:gridCol w:w="2536"/>
            </w:tblGrid>
            <w:tr w14:paraId="639E6B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144" w:type="pct"/>
                  <w:gridSpan w:val="2"/>
                  <w:noWrap w:val="0"/>
                  <w:vAlign w:val="center"/>
                </w:tcPr>
                <w:p w14:paraId="0720F8B1">
                  <w:pPr>
                    <w:keepNext w:val="0"/>
                    <w:keepLines w:val="0"/>
                    <w:suppressLineNumbers w:val="0"/>
                    <w:spacing w:before="0" w:beforeAutospacing="0" w:after="0" w:afterAutospacing="0" w:line="360" w:lineRule="exact"/>
                    <w:ind w:left="0" w:right="0"/>
                    <w:jc w:val="center"/>
                    <w:rPr>
                      <w:rFonts w:hint="default"/>
                      <w:color w:val="auto"/>
                      <w:highlight w:val="none"/>
                    </w:rPr>
                  </w:pPr>
                  <w:r>
                    <w:rPr>
                      <w:rFonts w:hint="eastAsia"/>
                      <w:color w:val="auto"/>
                      <w:highlight w:val="none"/>
                    </w:rPr>
                    <w:t>井号</w:t>
                  </w:r>
                </w:p>
              </w:tc>
              <w:tc>
                <w:tcPr>
                  <w:tcW w:w="1315" w:type="pct"/>
                  <w:noWrap w:val="0"/>
                  <w:vAlign w:val="center"/>
                </w:tcPr>
                <w:p w14:paraId="2A5C8D64">
                  <w:pPr>
                    <w:keepNext w:val="0"/>
                    <w:keepLines w:val="0"/>
                    <w:suppressLineNumbers w:val="0"/>
                    <w:spacing w:before="0" w:beforeAutospacing="0" w:after="0" w:afterAutospacing="0" w:line="360" w:lineRule="exact"/>
                    <w:ind w:left="0" w:right="0"/>
                    <w:jc w:val="center"/>
                    <w:rPr>
                      <w:rFonts w:hint="default"/>
                      <w:color w:val="auto"/>
                      <w:highlight w:val="none"/>
                    </w:rPr>
                  </w:pPr>
                  <w:r>
                    <w:rPr>
                      <w:rFonts w:hint="eastAsia"/>
                      <w:color w:val="auto"/>
                      <w:highlight w:val="none"/>
                    </w:rPr>
                    <w:t>面积</w:t>
                  </w:r>
                  <w:r>
                    <w:rPr>
                      <w:rFonts w:hint="default"/>
                      <w:color w:val="auto"/>
                      <w:highlight w:val="none"/>
                    </w:rPr>
                    <w:t>总计</w:t>
                  </w:r>
                </w:p>
              </w:tc>
              <w:tc>
                <w:tcPr>
                  <w:tcW w:w="1540" w:type="pct"/>
                  <w:noWrap w:val="0"/>
                  <w:vAlign w:val="center"/>
                </w:tcPr>
                <w:p w14:paraId="798F06FB">
                  <w:pPr>
                    <w:keepNext w:val="0"/>
                    <w:keepLines w:val="0"/>
                    <w:suppressLineNumbers w:val="0"/>
                    <w:spacing w:before="0" w:beforeAutospacing="0" w:after="0" w:afterAutospacing="0" w:line="360" w:lineRule="exact"/>
                    <w:ind w:left="0" w:right="0"/>
                    <w:jc w:val="center"/>
                    <w:rPr>
                      <w:rFonts w:hint="eastAsia" w:eastAsia="宋体"/>
                      <w:color w:val="auto"/>
                      <w:highlight w:val="none"/>
                      <w:lang w:eastAsia="zh-CN"/>
                    </w:rPr>
                  </w:pPr>
                  <w:r>
                    <w:rPr>
                      <w:rFonts w:hint="eastAsia"/>
                      <w:color w:val="auto"/>
                      <w:highlight w:val="none"/>
                      <w:lang w:eastAsia="zh-CN"/>
                    </w:rPr>
                    <w:t>农用地</w:t>
                  </w:r>
                </w:p>
              </w:tc>
            </w:tr>
            <w:tr w14:paraId="12300D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137" w:type="pct"/>
                  <w:vMerge w:val="restart"/>
                  <w:noWrap w:val="0"/>
                  <w:vAlign w:val="center"/>
                </w:tcPr>
                <w:p w14:paraId="2B4C5C1E">
                  <w:pPr>
                    <w:keepNext w:val="0"/>
                    <w:keepLines w:val="0"/>
                    <w:suppressLineNumbers w:val="0"/>
                    <w:spacing w:before="0" w:beforeAutospacing="0" w:after="0" w:afterAutospacing="0" w:line="360" w:lineRule="exact"/>
                    <w:ind w:left="0" w:right="0"/>
                    <w:jc w:val="center"/>
                    <w:rPr>
                      <w:rFonts w:hint="default" w:eastAsia="宋体"/>
                      <w:bCs/>
                      <w:color w:val="auto"/>
                      <w:highlight w:val="none"/>
                      <w:lang w:val="en-US" w:eastAsia="zh-CN"/>
                    </w:rPr>
                  </w:pPr>
                  <w:r>
                    <w:rPr>
                      <w:rFonts w:hint="eastAsia"/>
                      <w:color w:val="auto"/>
                      <w:sz w:val="24"/>
                      <w:highlight w:val="none"/>
                      <w:lang w:eastAsia="zh-CN"/>
                    </w:rPr>
                    <w:t>扎格6</w:t>
                  </w:r>
                </w:p>
              </w:tc>
              <w:tc>
                <w:tcPr>
                  <w:tcW w:w="1006" w:type="pct"/>
                  <w:noWrap w:val="0"/>
                  <w:vAlign w:val="center"/>
                </w:tcPr>
                <w:p w14:paraId="31D4979B">
                  <w:pPr>
                    <w:keepNext w:val="0"/>
                    <w:keepLines w:val="0"/>
                    <w:suppressLineNumbers w:val="0"/>
                    <w:spacing w:before="0" w:beforeAutospacing="0" w:after="0" w:afterAutospacing="0" w:line="360" w:lineRule="exact"/>
                    <w:ind w:left="0" w:right="0"/>
                    <w:jc w:val="center"/>
                    <w:rPr>
                      <w:rFonts w:hint="default"/>
                      <w:bCs/>
                      <w:color w:val="auto"/>
                      <w:highlight w:val="none"/>
                    </w:rPr>
                  </w:pPr>
                  <w:r>
                    <w:rPr>
                      <w:rFonts w:hint="eastAsia"/>
                      <w:color w:val="auto"/>
                      <w:highlight w:val="none"/>
                    </w:rPr>
                    <w:t>井场</w:t>
                  </w:r>
                </w:p>
              </w:tc>
              <w:tc>
                <w:tcPr>
                  <w:tcW w:w="1315" w:type="pct"/>
                  <w:noWrap w:val="0"/>
                  <w:vAlign w:val="center"/>
                </w:tcPr>
                <w:p w14:paraId="1B859F97">
                  <w:pPr>
                    <w:keepNext w:val="0"/>
                    <w:keepLines w:val="0"/>
                    <w:suppressLineNumbers w:val="0"/>
                    <w:spacing w:before="0" w:beforeAutospacing="0" w:after="0" w:afterAutospacing="0" w:line="360" w:lineRule="exact"/>
                    <w:ind w:left="0" w:right="0"/>
                    <w:jc w:val="center"/>
                    <w:rPr>
                      <w:rFonts w:hint="default" w:eastAsia="宋体"/>
                      <w:color w:val="auto"/>
                      <w:highlight w:val="none"/>
                      <w:lang w:val="en-US" w:eastAsia="zh-CN"/>
                    </w:rPr>
                  </w:pPr>
                  <w:r>
                    <w:rPr>
                      <w:rFonts w:hint="eastAsia"/>
                      <w:color w:val="auto"/>
                      <w:highlight w:val="none"/>
                      <w:lang w:val="en-US" w:eastAsia="zh-CN"/>
                    </w:rPr>
                    <w:t>13514</w:t>
                  </w:r>
                </w:p>
              </w:tc>
              <w:tc>
                <w:tcPr>
                  <w:tcW w:w="1540" w:type="pct"/>
                  <w:noWrap w:val="0"/>
                  <w:vAlign w:val="center"/>
                </w:tcPr>
                <w:p w14:paraId="106D882A">
                  <w:pPr>
                    <w:keepNext w:val="0"/>
                    <w:keepLines w:val="0"/>
                    <w:suppressLineNumbers w:val="0"/>
                    <w:spacing w:before="0" w:beforeAutospacing="0" w:after="0" w:afterAutospacing="0" w:line="360" w:lineRule="exact"/>
                    <w:ind w:left="0" w:right="0"/>
                    <w:jc w:val="center"/>
                    <w:rPr>
                      <w:rFonts w:hint="default" w:eastAsia="宋体"/>
                      <w:color w:val="auto"/>
                      <w:highlight w:val="none"/>
                      <w:lang w:val="en-US" w:eastAsia="zh-CN"/>
                    </w:rPr>
                  </w:pPr>
                  <w:r>
                    <w:rPr>
                      <w:rFonts w:hint="eastAsia"/>
                      <w:color w:val="auto"/>
                      <w:highlight w:val="none"/>
                      <w:lang w:val="en-US" w:eastAsia="zh-CN"/>
                    </w:rPr>
                    <w:t>13514</w:t>
                  </w:r>
                </w:p>
              </w:tc>
            </w:tr>
            <w:tr w14:paraId="7FCF21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137" w:type="pct"/>
                  <w:vMerge w:val="continue"/>
                  <w:noWrap w:val="0"/>
                  <w:vAlign w:val="center"/>
                </w:tcPr>
                <w:p w14:paraId="4A7C91C7">
                  <w:pPr>
                    <w:keepNext w:val="0"/>
                    <w:keepLines w:val="0"/>
                    <w:suppressLineNumbers w:val="0"/>
                    <w:spacing w:before="0" w:beforeAutospacing="0" w:after="0" w:afterAutospacing="0" w:line="360" w:lineRule="exact"/>
                    <w:ind w:left="0" w:right="0"/>
                    <w:jc w:val="center"/>
                    <w:rPr>
                      <w:rFonts w:hint="default"/>
                      <w:bCs/>
                      <w:color w:val="auto"/>
                      <w:highlight w:val="none"/>
                    </w:rPr>
                  </w:pPr>
                </w:p>
              </w:tc>
              <w:tc>
                <w:tcPr>
                  <w:tcW w:w="1006" w:type="pct"/>
                  <w:noWrap w:val="0"/>
                  <w:vAlign w:val="center"/>
                </w:tcPr>
                <w:p w14:paraId="4C7CB95D">
                  <w:pPr>
                    <w:keepNext w:val="0"/>
                    <w:keepLines w:val="0"/>
                    <w:suppressLineNumbers w:val="0"/>
                    <w:spacing w:before="0" w:beforeAutospacing="0" w:after="0" w:afterAutospacing="0" w:line="360" w:lineRule="exact"/>
                    <w:ind w:left="0" w:right="0"/>
                    <w:jc w:val="center"/>
                    <w:rPr>
                      <w:rFonts w:hint="default"/>
                      <w:bCs/>
                      <w:color w:val="auto"/>
                      <w:highlight w:val="none"/>
                    </w:rPr>
                  </w:pPr>
                  <w:r>
                    <w:rPr>
                      <w:rFonts w:hint="eastAsia"/>
                      <w:bCs/>
                      <w:color w:val="auto"/>
                      <w:highlight w:val="none"/>
                      <w:lang w:eastAsia="zh-CN"/>
                    </w:rPr>
                    <w:t>进场</w:t>
                  </w:r>
                  <w:r>
                    <w:rPr>
                      <w:rFonts w:hint="default"/>
                      <w:bCs/>
                      <w:color w:val="auto"/>
                      <w:highlight w:val="none"/>
                    </w:rPr>
                    <w:t>道路</w:t>
                  </w:r>
                </w:p>
              </w:tc>
              <w:tc>
                <w:tcPr>
                  <w:tcW w:w="1315" w:type="pct"/>
                  <w:noWrap w:val="0"/>
                  <w:vAlign w:val="center"/>
                </w:tcPr>
                <w:p w14:paraId="7E2EDA24">
                  <w:pPr>
                    <w:keepNext w:val="0"/>
                    <w:keepLines w:val="0"/>
                    <w:suppressLineNumbers w:val="0"/>
                    <w:spacing w:before="0" w:beforeAutospacing="0" w:after="0" w:afterAutospacing="0" w:line="360" w:lineRule="exact"/>
                    <w:ind w:left="0" w:right="0"/>
                    <w:jc w:val="center"/>
                    <w:rPr>
                      <w:rFonts w:hint="default" w:eastAsia="宋体"/>
                      <w:color w:val="auto"/>
                      <w:highlight w:val="none"/>
                      <w:lang w:val="en-US" w:eastAsia="zh-CN"/>
                    </w:rPr>
                  </w:pPr>
                  <w:r>
                    <w:rPr>
                      <w:rFonts w:hint="eastAsia"/>
                      <w:color w:val="auto"/>
                      <w:highlight w:val="none"/>
                      <w:lang w:val="en-US" w:eastAsia="zh-CN"/>
                    </w:rPr>
                    <w:t>3195</w:t>
                  </w:r>
                </w:p>
              </w:tc>
              <w:tc>
                <w:tcPr>
                  <w:tcW w:w="1540" w:type="pct"/>
                  <w:noWrap w:val="0"/>
                  <w:vAlign w:val="center"/>
                </w:tcPr>
                <w:p w14:paraId="5E544604">
                  <w:pPr>
                    <w:keepNext w:val="0"/>
                    <w:keepLines w:val="0"/>
                    <w:suppressLineNumbers w:val="0"/>
                    <w:spacing w:before="0" w:beforeAutospacing="0" w:after="0" w:afterAutospacing="0" w:line="360" w:lineRule="exact"/>
                    <w:ind w:left="0" w:right="0"/>
                    <w:jc w:val="center"/>
                    <w:rPr>
                      <w:rFonts w:hint="default" w:eastAsia="宋体"/>
                      <w:color w:val="auto"/>
                      <w:highlight w:val="none"/>
                      <w:lang w:val="en-US" w:eastAsia="zh-CN"/>
                    </w:rPr>
                  </w:pPr>
                  <w:r>
                    <w:rPr>
                      <w:rFonts w:hint="eastAsia"/>
                      <w:color w:val="auto"/>
                      <w:highlight w:val="none"/>
                      <w:lang w:val="en-US" w:eastAsia="zh-CN"/>
                    </w:rPr>
                    <w:t>3195</w:t>
                  </w:r>
                </w:p>
              </w:tc>
            </w:tr>
            <w:tr w14:paraId="1B5969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144" w:type="pct"/>
                  <w:gridSpan w:val="2"/>
                  <w:noWrap w:val="0"/>
                  <w:vAlign w:val="center"/>
                </w:tcPr>
                <w:p w14:paraId="50639FFC">
                  <w:pPr>
                    <w:keepNext w:val="0"/>
                    <w:keepLines w:val="0"/>
                    <w:suppressLineNumbers w:val="0"/>
                    <w:spacing w:before="0" w:beforeAutospacing="0" w:after="0" w:afterAutospacing="0" w:line="360" w:lineRule="exact"/>
                    <w:ind w:left="0" w:right="0"/>
                    <w:jc w:val="center"/>
                    <w:rPr>
                      <w:rFonts w:hint="default"/>
                      <w:bCs/>
                      <w:color w:val="auto"/>
                      <w:highlight w:val="none"/>
                    </w:rPr>
                  </w:pPr>
                  <w:r>
                    <w:rPr>
                      <w:rFonts w:hint="eastAsia"/>
                      <w:bCs/>
                      <w:color w:val="auto"/>
                      <w:highlight w:val="none"/>
                    </w:rPr>
                    <w:t>合计</w:t>
                  </w:r>
                </w:p>
              </w:tc>
              <w:tc>
                <w:tcPr>
                  <w:tcW w:w="1315" w:type="pct"/>
                  <w:noWrap w:val="0"/>
                  <w:vAlign w:val="center"/>
                </w:tcPr>
                <w:p w14:paraId="6508879E">
                  <w:pPr>
                    <w:keepNext w:val="0"/>
                    <w:keepLines w:val="0"/>
                    <w:suppressLineNumbers w:val="0"/>
                    <w:spacing w:before="0" w:beforeAutospacing="0" w:after="0" w:afterAutospacing="0" w:line="360" w:lineRule="exact"/>
                    <w:ind w:left="0" w:right="0"/>
                    <w:jc w:val="center"/>
                    <w:rPr>
                      <w:rFonts w:hint="default" w:eastAsia="宋体"/>
                      <w:color w:val="auto"/>
                      <w:highlight w:val="none"/>
                      <w:lang w:val="en-US" w:eastAsia="zh-CN"/>
                    </w:rPr>
                  </w:pPr>
                  <w:r>
                    <w:rPr>
                      <w:rFonts w:hint="eastAsia"/>
                      <w:color w:val="auto"/>
                      <w:highlight w:val="none"/>
                      <w:lang w:val="en-US" w:eastAsia="zh-CN"/>
                    </w:rPr>
                    <w:t>16709</w:t>
                  </w:r>
                </w:p>
              </w:tc>
              <w:tc>
                <w:tcPr>
                  <w:tcW w:w="1540" w:type="pct"/>
                  <w:noWrap w:val="0"/>
                  <w:vAlign w:val="center"/>
                </w:tcPr>
                <w:p w14:paraId="0288E72F">
                  <w:pPr>
                    <w:keepNext w:val="0"/>
                    <w:keepLines w:val="0"/>
                    <w:suppressLineNumbers w:val="0"/>
                    <w:spacing w:before="0" w:beforeAutospacing="0" w:after="0" w:afterAutospacing="0" w:line="360" w:lineRule="exact"/>
                    <w:ind w:left="0" w:right="0"/>
                    <w:jc w:val="center"/>
                    <w:rPr>
                      <w:rFonts w:hint="eastAsia" w:eastAsia="宋体"/>
                      <w:color w:val="auto"/>
                      <w:highlight w:val="none"/>
                      <w:lang w:val="en-US" w:eastAsia="zh-CN"/>
                    </w:rPr>
                  </w:pPr>
                  <w:r>
                    <w:rPr>
                      <w:rFonts w:hint="eastAsia"/>
                      <w:color w:val="auto"/>
                      <w:highlight w:val="none"/>
                      <w:lang w:val="en-US" w:eastAsia="zh-CN"/>
                    </w:rPr>
                    <w:t>16709</w:t>
                  </w:r>
                </w:p>
              </w:tc>
            </w:tr>
          </w:tbl>
          <w:p w14:paraId="03A29B4E">
            <w:pPr>
              <w:keepNext w:val="0"/>
              <w:keepLines w:val="0"/>
              <w:suppressLineNumbers w:val="0"/>
              <w:adjustRightInd w:val="0"/>
              <w:snapToGrid w:val="0"/>
              <w:spacing w:before="0" w:beforeAutospacing="0" w:after="0" w:afterAutospacing="0" w:line="360" w:lineRule="exact"/>
              <w:ind w:left="0" w:right="0"/>
              <w:jc w:val="center"/>
              <w:rPr>
                <w:rFonts w:hint="eastAsia"/>
                <w:b/>
                <w:color w:val="auto"/>
                <w:sz w:val="24"/>
                <w:highlight w:val="none"/>
                <w:vertAlign w:val="superscript"/>
              </w:rPr>
            </w:pPr>
          </w:p>
          <w:p w14:paraId="78E67C87">
            <w:pPr>
              <w:keepNext w:val="0"/>
              <w:keepLines w:val="0"/>
              <w:suppressLineNumbers w:val="0"/>
              <w:adjustRightInd w:val="0"/>
              <w:snapToGrid w:val="0"/>
              <w:spacing w:before="0" w:beforeAutospacing="0" w:after="0" w:afterAutospacing="0" w:line="360" w:lineRule="exact"/>
              <w:ind w:left="0" w:right="0"/>
              <w:jc w:val="center"/>
              <w:rPr>
                <w:rFonts w:hint="eastAsia"/>
                <w:b/>
                <w:color w:val="auto"/>
                <w:sz w:val="24"/>
                <w:highlight w:val="none"/>
                <w:vertAlign w:val="superscript"/>
              </w:rPr>
            </w:pPr>
          </w:p>
          <w:p w14:paraId="178D29AD">
            <w:pPr>
              <w:keepNext w:val="0"/>
              <w:keepLines w:val="0"/>
              <w:suppressLineNumbers w:val="0"/>
              <w:adjustRightInd w:val="0"/>
              <w:snapToGrid w:val="0"/>
              <w:spacing w:before="0" w:beforeAutospacing="0" w:after="0" w:afterAutospacing="0" w:line="360" w:lineRule="exact"/>
              <w:ind w:left="0" w:right="0"/>
              <w:jc w:val="center"/>
              <w:rPr>
                <w:rFonts w:hint="eastAsia"/>
                <w:b/>
                <w:color w:val="auto"/>
                <w:sz w:val="24"/>
                <w:highlight w:val="none"/>
                <w:vertAlign w:val="superscript"/>
              </w:rPr>
            </w:pPr>
          </w:p>
          <w:p w14:paraId="4C9C7062">
            <w:pPr>
              <w:keepNext w:val="0"/>
              <w:keepLines w:val="0"/>
              <w:suppressLineNumbers w:val="0"/>
              <w:adjustRightInd w:val="0"/>
              <w:snapToGrid w:val="0"/>
              <w:spacing w:before="0" w:beforeAutospacing="0" w:after="0" w:afterAutospacing="0" w:line="360" w:lineRule="exact"/>
              <w:ind w:left="0" w:right="0"/>
              <w:jc w:val="center"/>
              <w:rPr>
                <w:rFonts w:hint="eastAsia"/>
                <w:b/>
                <w:color w:val="auto"/>
                <w:sz w:val="24"/>
                <w:highlight w:val="none"/>
                <w:vertAlign w:val="superscript"/>
              </w:rPr>
            </w:pPr>
          </w:p>
          <w:p w14:paraId="47AFA647">
            <w:pPr>
              <w:keepNext w:val="0"/>
              <w:keepLines w:val="0"/>
              <w:suppressLineNumbers w:val="0"/>
              <w:adjustRightInd w:val="0"/>
              <w:snapToGrid w:val="0"/>
              <w:spacing w:before="0" w:beforeAutospacing="0" w:after="0" w:afterAutospacing="0" w:line="360" w:lineRule="exact"/>
              <w:ind w:left="0" w:right="0"/>
              <w:jc w:val="center"/>
              <w:rPr>
                <w:rFonts w:hint="eastAsia"/>
                <w:b/>
                <w:color w:val="auto"/>
                <w:sz w:val="24"/>
                <w:highlight w:val="none"/>
                <w:vertAlign w:val="superscript"/>
              </w:rPr>
            </w:pPr>
          </w:p>
          <w:p w14:paraId="683DBFC6">
            <w:pPr>
              <w:keepNext w:val="0"/>
              <w:keepLines w:val="0"/>
              <w:suppressLineNumbers w:val="0"/>
              <w:adjustRightInd w:val="0"/>
              <w:snapToGrid w:val="0"/>
              <w:spacing w:before="0" w:beforeAutospacing="0" w:after="0" w:afterAutospacing="0" w:line="360" w:lineRule="exact"/>
              <w:ind w:left="0" w:right="0"/>
              <w:jc w:val="center"/>
              <w:rPr>
                <w:rFonts w:hint="eastAsia"/>
                <w:b/>
                <w:color w:val="auto"/>
                <w:sz w:val="24"/>
                <w:highlight w:val="none"/>
                <w:vertAlign w:val="superscript"/>
              </w:rPr>
            </w:pPr>
          </w:p>
          <w:p w14:paraId="08FAFC6C">
            <w:pPr>
              <w:keepNext w:val="0"/>
              <w:keepLines w:val="0"/>
              <w:suppressLineNumbers w:val="0"/>
              <w:adjustRightInd w:val="0"/>
              <w:snapToGrid w:val="0"/>
              <w:spacing w:before="0" w:beforeAutospacing="0" w:after="0" w:afterAutospacing="0" w:line="360" w:lineRule="exact"/>
              <w:ind w:left="0" w:right="0"/>
              <w:jc w:val="center"/>
              <w:rPr>
                <w:rFonts w:hint="eastAsia"/>
                <w:b/>
                <w:color w:val="auto"/>
                <w:sz w:val="24"/>
                <w:highlight w:val="none"/>
                <w:vertAlign w:val="superscript"/>
              </w:rPr>
            </w:pPr>
          </w:p>
          <w:p w14:paraId="66AB7A92">
            <w:pPr>
              <w:keepNext w:val="0"/>
              <w:keepLines w:val="0"/>
              <w:suppressLineNumbers w:val="0"/>
              <w:adjustRightInd w:val="0"/>
              <w:snapToGrid w:val="0"/>
              <w:spacing w:before="0" w:beforeAutospacing="0" w:after="0" w:afterAutospacing="0" w:line="360" w:lineRule="exact"/>
              <w:ind w:left="0" w:right="0"/>
              <w:jc w:val="center"/>
              <w:rPr>
                <w:rFonts w:hint="eastAsia"/>
                <w:b/>
                <w:color w:val="auto"/>
                <w:sz w:val="24"/>
                <w:highlight w:val="none"/>
                <w:vertAlign w:val="superscript"/>
              </w:rPr>
            </w:pPr>
          </w:p>
          <w:p w14:paraId="1C3D87F1">
            <w:pPr>
              <w:keepNext w:val="0"/>
              <w:keepLines w:val="0"/>
              <w:suppressLineNumbers w:val="0"/>
              <w:adjustRightInd w:val="0"/>
              <w:snapToGrid w:val="0"/>
              <w:spacing w:before="0" w:beforeAutospacing="0" w:after="0" w:afterAutospacing="0" w:line="360" w:lineRule="exact"/>
              <w:ind w:left="0" w:right="0"/>
              <w:jc w:val="center"/>
              <w:rPr>
                <w:rFonts w:hint="eastAsia"/>
                <w:b/>
                <w:color w:val="auto"/>
                <w:sz w:val="24"/>
                <w:highlight w:val="none"/>
                <w:vertAlign w:val="superscript"/>
              </w:rPr>
            </w:pPr>
          </w:p>
          <w:p w14:paraId="6B5C901C">
            <w:pPr>
              <w:keepNext w:val="0"/>
              <w:keepLines w:val="0"/>
              <w:suppressLineNumbers w:val="0"/>
              <w:adjustRightInd w:val="0"/>
              <w:snapToGrid w:val="0"/>
              <w:spacing w:before="0" w:beforeAutospacing="0" w:after="0" w:afterAutospacing="0" w:line="360" w:lineRule="exact"/>
              <w:ind w:left="0" w:right="0"/>
              <w:jc w:val="center"/>
              <w:rPr>
                <w:rFonts w:hint="eastAsia"/>
                <w:b/>
                <w:color w:val="auto"/>
                <w:sz w:val="24"/>
                <w:highlight w:val="none"/>
                <w:vertAlign w:val="superscript"/>
              </w:rPr>
            </w:pPr>
          </w:p>
          <w:p w14:paraId="5118A52F">
            <w:pPr>
              <w:keepNext w:val="0"/>
              <w:keepLines w:val="0"/>
              <w:suppressLineNumbers w:val="0"/>
              <w:adjustRightInd w:val="0"/>
              <w:snapToGrid w:val="0"/>
              <w:spacing w:before="0" w:beforeAutospacing="0" w:after="0" w:afterAutospacing="0" w:line="360" w:lineRule="exact"/>
              <w:ind w:left="0" w:right="0"/>
              <w:jc w:val="center"/>
              <w:rPr>
                <w:rFonts w:hint="eastAsia"/>
                <w:b/>
                <w:color w:val="auto"/>
                <w:sz w:val="24"/>
                <w:highlight w:val="none"/>
                <w:vertAlign w:val="superscript"/>
              </w:rPr>
            </w:pPr>
          </w:p>
          <w:p w14:paraId="17F49CC4">
            <w:pPr>
              <w:keepNext w:val="0"/>
              <w:keepLines w:val="0"/>
              <w:suppressLineNumbers w:val="0"/>
              <w:adjustRightInd w:val="0"/>
              <w:snapToGrid w:val="0"/>
              <w:spacing w:before="0" w:beforeAutospacing="0" w:after="0" w:afterAutospacing="0" w:line="360" w:lineRule="exact"/>
              <w:ind w:left="0" w:right="0"/>
              <w:jc w:val="center"/>
              <w:rPr>
                <w:rFonts w:hint="eastAsia"/>
                <w:b/>
                <w:color w:val="auto"/>
                <w:sz w:val="24"/>
                <w:highlight w:val="none"/>
                <w:vertAlign w:val="superscript"/>
              </w:rPr>
            </w:pPr>
          </w:p>
          <w:p w14:paraId="4DE677BA">
            <w:pPr>
              <w:keepNext w:val="0"/>
              <w:keepLines w:val="0"/>
              <w:suppressLineNumbers w:val="0"/>
              <w:adjustRightInd w:val="0"/>
              <w:snapToGrid w:val="0"/>
              <w:spacing w:before="0" w:beforeAutospacing="0" w:after="0" w:afterAutospacing="0" w:line="360" w:lineRule="exact"/>
              <w:ind w:left="0" w:right="0"/>
              <w:jc w:val="center"/>
              <w:rPr>
                <w:rFonts w:hint="eastAsia"/>
                <w:b/>
                <w:color w:val="auto"/>
                <w:sz w:val="24"/>
                <w:highlight w:val="none"/>
                <w:vertAlign w:val="superscript"/>
              </w:rPr>
            </w:pPr>
          </w:p>
          <w:p w14:paraId="4F887E06">
            <w:pPr>
              <w:keepNext w:val="0"/>
              <w:keepLines w:val="0"/>
              <w:suppressLineNumbers w:val="0"/>
              <w:adjustRightInd w:val="0"/>
              <w:snapToGrid w:val="0"/>
              <w:spacing w:before="0" w:beforeAutospacing="0" w:after="0" w:afterAutospacing="0" w:line="360" w:lineRule="exact"/>
              <w:ind w:left="0" w:right="0"/>
              <w:jc w:val="center"/>
              <w:rPr>
                <w:rFonts w:hint="eastAsia"/>
                <w:b/>
                <w:color w:val="auto"/>
                <w:sz w:val="24"/>
                <w:highlight w:val="none"/>
                <w:vertAlign w:val="superscript"/>
              </w:rPr>
            </w:pPr>
          </w:p>
          <w:p w14:paraId="0A158C36">
            <w:pPr>
              <w:keepNext w:val="0"/>
              <w:keepLines w:val="0"/>
              <w:suppressLineNumbers w:val="0"/>
              <w:adjustRightInd w:val="0"/>
              <w:snapToGrid w:val="0"/>
              <w:spacing w:before="0" w:beforeAutospacing="0" w:after="0" w:afterAutospacing="0" w:line="360" w:lineRule="exact"/>
              <w:ind w:left="0" w:right="0"/>
              <w:jc w:val="center"/>
              <w:rPr>
                <w:rFonts w:hint="eastAsia"/>
                <w:b/>
                <w:color w:val="auto"/>
                <w:sz w:val="24"/>
                <w:highlight w:val="none"/>
                <w:vertAlign w:val="superscript"/>
              </w:rPr>
            </w:pPr>
          </w:p>
          <w:p w14:paraId="50D7E8B3">
            <w:pPr>
              <w:keepNext w:val="0"/>
              <w:keepLines w:val="0"/>
              <w:suppressLineNumbers w:val="0"/>
              <w:adjustRightInd w:val="0"/>
              <w:snapToGrid w:val="0"/>
              <w:spacing w:before="0" w:beforeAutospacing="0" w:after="0" w:afterAutospacing="0" w:line="360" w:lineRule="exact"/>
              <w:ind w:left="0" w:right="0"/>
              <w:jc w:val="center"/>
              <w:rPr>
                <w:rFonts w:hint="eastAsia"/>
                <w:b/>
                <w:color w:val="auto"/>
                <w:sz w:val="24"/>
                <w:highlight w:val="none"/>
                <w:vertAlign w:val="superscript"/>
              </w:rPr>
            </w:pPr>
          </w:p>
          <w:p w14:paraId="51B36C5F">
            <w:pPr>
              <w:keepNext w:val="0"/>
              <w:keepLines w:val="0"/>
              <w:suppressLineNumbers w:val="0"/>
              <w:adjustRightInd w:val="0"/>
              <w:snapToGrid w:val="0"/>
              <w:spacing w:before="0" w:beforeAutospacing="0" w:after="0" w:afterAutospacing="0" w:line="360" w:lineRule="auto"/>
              <w:ind w:left="0" w:right="0"/>
              <w:jc w:val="center"/>
              <w:rPr>
                <w:rFonts w:hint="eastAsia" w:eastAsia="宋体"/>
                <w:color w:val="auto"/>
                <w:lang w:eastAsia="zh-CN"/>
              </w:rPr>
            </w:pPr>
            <w:r>
              <w:rPr>
                <w:rFonts w:hint="default"/>
                <w:color w:val="auto"/>
              </w:rPr>
              <w:drawing>
                <wp:inline distT="0" distB="0" distL="114300" distR="114300">
                  <wp:extent cx="4721860" cy="3923030"/>
                  <wp:effectExtent l="0" t="0" r="2540" b="1270"/>
                  <wp:docPr id="12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0"/>
                          <pic:cNvPicPr>
                            <a:picLocks noChangeAspect="1"/>
                          </pic:cNvPicPr>
                        </pic:nvPicPr>
                        <pic:blipFill>
                          <a:blip r:embed="rId25"/>
                          <a:stretch>
                            <a:fillRect/>
                          </a:stretch>
                        </pic:blipFill>
                        <pic:spPr>
                          <a:xfrm>
                            <a:off x="0" y="0"/>
                            <a:ext cx="4721860" cy="3923030"/>
                          </a:xfrm>
                          <a:prstGeom prst="rect">
                            <a:avLst/>
                          </a:prstGeom>
                          <a:noFill/>
                          <a:ln>
                            <a:noFill/>
                          </a:ln>
                        </pic:spPr>
                      </pic:pic>
                    </a:graphicData>
                  </a:graphic>
                </wp:inline>
              </w:drawing>
            </w:r>
          </w:p>
          <w:p w14:paraId="29F0008B">
            <w:pPr>
              <w:keepNext w:val="0"/>
              <w:keepLines w:val="0"/>
              <w:suppressLineNumbers w:val="0"/>
              <w:adjustRightInd w:val="0"/>
              <w:snapToGrid w:val="0"/>
              <w:spacing w:before="0" w:beforeAutospacing="0" w:after="0" w:afterAutospacing="0" w:line="360" w:lineRule="auto"/>
              <w:ind w:left="0" w:right="0"/>
              <w:jc w:val="center"/>
              <w:rPr>
                <w:rFonts w:hint="eastAsia"/>
                <w:color w:val="auto"/>
                <w:sz w:val="24"/>
                <w:highlight w:val="none"/>
              </w:rPr>
            </w:pPr>
            <w:r>
              <w:rPr>
                <w:rFonts w:hint="eastAsia" w:hAnsi="宋体"/>
                <w:b/>
                <w:color w:val="auto"/>
                <w:sz w:val="24"/>
                <w:highlight w:val="none"/>
              </w:rPr>
              <w:t xml:space="preserve">图3-3 </w:t>
            </w:r>
            <w:r>
              <w:rPr>
                <w:rFonts w:hint="eastAsia" w:hAnsi="宋体"/>
                <w:b/>
                <w:color w:val="auto"/>
                <w:sz w:val="24"/>
                <w:highlight w:val="none"/>
                <w:lang w:eastAsia="zh-CN"/>
              </w:rPr>
              <w:t>扎格6</w:t>
            </w:r>
            <w:r>
              <w:rPr>
                <w:rFonts w:hint="eastAsia" w:hAnsi="宋体"/>
                <w:b/>
                <w:color w:val="auto"/>
                <w:sz w:val="24"/>
                <w:highlight w:val="none"/>
              </w:rPr>
              <w:t>井土地利用现状图</w:t>
            </w:r>
          </w:p>
          <w:p w14:paraId="5B8C94D1">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rPr>
            </w:pPr>
            <w:r>
              <w:rPr>
                <w:rFonts w:hint="eastAsia"/>
                <w:color w:val="auto"/>
                <w:sz w:val="24"/>
              </w:rPr>
              <w:t>（2）土壤类型</w:t>
            </w:r>
          </w:p>
          <w:p w14:paraId="4B52F5E4">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rPr>
              <w:t>项目位于黄河北岸冲积平原上，海拔在1111</w:t>
            </w:r>
            <w:r>
              <w:rPr>
                <w:rFonts w:hint="eastAsia"/>
                <w:color w:val="auto"/>
                <w:sz w:val="24"/>
                <w:lang w:eastAsia="zh-CN"/>
              </w:rPr>
              <w:t>～</w:t>
            </w:r>
            <w:r>
              <w:rPr>
                <w:rFonts w:hint="eastAsia"/>
                <w:color w:val="auto"/>
                <w:sz w:val="24"/>
              </w:rPr>
              <w:t>1200m之间，地形上属于平原地貌，主要的土壤类型为灌淤土。主要代表土种有底沙土、漠儿土、两黄土、硬黄土、红泥土、白碱土、盐土等。</w:t>
            </w:r>
          </w:p>
          <w:p w14:paraId="23C7A1C9">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highlight w:val="none"/>
              </w:rPr>
            </w:pPr>
            <w:r>
              <w:rPr>
                <w:rFonts w:hint="eastAsia"/>
                <w:color w:val="auto"/>
                <w:sz w:val="24"/>
                <w:highlight w:val="none"/>
              </w:rPr>
              <w:t>（3）植被类型</w:t>
            </w:r>
          </w:p>
          <w:p w14:paraId="46332B7C">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highlight w:val="none"/>
              </w:rPr>
            </w:pPr>
            <w:r>
              <w:rPr>
                <w:rFonts w:hint="eastAsia"/>
                <w:color w:val="auto"/>
                <w:sz w:val="24"/>
                <w:highlight w:val="none"/>
                <w:lang w:eastAsia="zh-CN"/>
              </w:rPr>
              <w:t>本工程</w:t>
            </w:r>
            <w:r>
              <w:rPr>
                <w:rFonts w:hint="eastAsia"/>
                <w:color w:val="auto"/>
                <w:sz w:val="24"/>
                <w:highlight w:val="none"/>
              </w:rPr>
              <w:t>区域内生态以农业生态环境为主要特征，植被基本为栽培植被。人工植被主要为农田植被，农田植被在项目周围区域广泛分布。井场周边分布的主要是水浇地农业，主要种植玉米、小麦、豆类、葵花等农作物，另外还种植有瓜果、蔬菜等。</w:t>
            </w:r>
          </w:p>
          <w:p w14:paraId="5D587FD9">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rPr>
            </w:pPr>
            <w:r>
              <w:rPr>
                <w:rFonts w:hint="eastAsia"/>
                <w:color w:val="auto"/>
                <w:sz w:val="24"/>
              </w:rPr>
              <w:t>（4）动物类型</w:t>
            </w:r>
          </w:p>
          <w:p w14:paraId="7115DD08">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rPr>
            </w:pPr>
            <w:r>
              <w:rPr>
                <w:rFonts w:hint="eastAsia"/>
                <w:color w:val="auto"/>
                <w:sz w:val="24"/>
                <w:lang w:eastAsia="zh-CN"/>
              </w:rPr>
              <w:t>本工程</w:t>
            </w:r>
            <w:r>
              <w:rPr>
                <w:rFonts w:hint="eastAsia"/>
                <w:color w:val="auto"/>
                <w:sz w:val="24"/>
              </w:rPr>
              <w:t>区域内野生动物组成比较简单，种类相对较少，主要以啮齿类和鸟类为主。项目评价范围内未发现珍稀保护野生动物及其主要栖息地和繁殖场所，大多为广布种和</w:t>
            </w:r>
            <w:r>
              <w:rPr>
                <w:rFonts w:hint="eastAsia"/>
                <w:color w:val="auto"/>
                <w:sz w:val="24"/>
                <w:lang w:eastAsia="zh-CN"/>
              </w:rPr>
              <w:t>伴生</w:t>
            </w:r>
            <w:r>
              <w:rPr>
                <w:rFonts w:hint="eastAsia"/>
                <w:color w:val="auto"/>
                <w:sz w:val="24"/>
              </w:rPr>
              <w:t>物种。该区域野生动物的种类和数量较少，分布在该地区的哺乳类动物主要有野兔、黄鼠等；爬行类动物有蜥蜴类、蛇类等；鸟类有沙鸡、麻雀等；优势动物为中小型哺乳类动物如蒙古兔、刺猬、黄鼠等，由于环境变迁，目前野生动物量已经很少</w:t>
            </w:r>
            <w:r>
              <w:rPr>
                <w:rFonts w:hint="eastAsia"/>
                <w:color w:val="auto"/>
                <w:sz w:val="24"/>
                <w:lang w:eastAsia="zh-CN"/>
              </w:rPr>
              <w:t>，本工程占地及评价范围内无</w:t>
            </w:r>
            <w:r>
              <w:rPr>
                <w:rFonts w:hint="eastAsia"/>
                <w:color w:val="auto"/>
                <w:sz w:val="24"/>
                <w:lang w:val="en-US" w:eastAsia="zh-CN"/>
              </w:rPr>
              <w:t>国家及地方重点保护野生动植物名录所列的物种</w:t>
            </w:r>
            <w:r>
              <w:rPr>
                <w:rFonts w:hint="eastAsia"/>
                <w:color w:val="auto"/>
                <w:sz w:val="24"/>
              </w:rPr>
              <w:t>。</w:t>
            </w:r>
          </w:p>
          <w:p w14:paraId="63600782">
            <w:pPr>
              <w:keepNext w:val="0"/>
              <w:keepLines w:val="0"/>
              <w:widowControl/>
              <w:suppressLineNumbers w:val="0"/>
              <w:spacing w:before="0" w:beforeAutospacing="0" w:after="0" w:afterAutospacing="0" w:line="360" w:lineRule="auto"/>
              <w:ind w:left="0" w:right="0" w:firstLine="502" w:firstLineChars="200"/>
              <w:rPr>
                <w:rFonts w:hint="eastAsia"/>
                <w:b/>
                <w:snapToGrid w:val="0"/>
                <w:color w:val="auto"/>
                <w:spacing w:val="5"/>
                <w:kern w:val="0"/>
                <w:sz w:val="24"/>
                <w:szCs w:val="25"/>
              </w:rPr>
            </w:pPr>
            <w:r>
              <w:rPr>
                <w:rFonts w:hint="default"/>
                <w:b/>
                <w:snapToGrid w:val="0"/>
                <w:color w:val="auto"/>
                <w:spacing w:val="5"/>
                <w:kern w:val="0"/>
                <w:sz w:val="24"/>
                <w:szCs w:val="25"/>
              </w:rPr>
              <w:t>现状评价结论</w:t>
            </w:r>
          </w:p>
          <w:p w14:paraId="078DDED4">
            <w:pPr>
              <w:keepNext w:val="0"/>
              <w:keepLines w:val="0"/>
              <w:suppressLineNumbers w:val="0"/>
              <w:adjustRightInd w:val="0"/>
              <w:spacing w:before="0" w:beforeAutospacing="0" w:after="0" w:afterAutospacing="0" w:line="360" w:lineRule="auto"/>
              <w:ind w:left="0" w:right="0" w:firstLine="480" w:firstLineChars="200"/>
              <w:rPr>
                <w:rFonts w:hint="eastAsia"/>
                <w:color w:val="auto"/>
                <w:sz w:val="24"/>
                <w:szCs w:val="20"/>
              </w:rPr>
            </w:pPr>
            <w:r>
              <w:rPr>
                <w:rFonts w:hint="eastAsia"/>
                <w:color w:val="auto"/>
                <w:sz w:val="24"/>
                <w:highlight w:val="none"/>
                <w:lang w:eastAsia="zh-CN"/>
              </w:rPr>
              <w:t>扎格6</w:t>
            </w:r>
            <w:r>
              <w:rPr>
                <w:rFonts w:hint="eastAsia"/>
                <w:color w:val="auto"/>
                <w:sz w:val="24"/>
                <w:szCs w:val="20"/>
                <w:highlight w:val="none"/>
              </w:rPr>
              <w:t>井位于</w:t>
            </w:r>
            <w:r>
              <w:rPr>
                <w:rFonts w:hint="eastAsia"/>
                <w:color w:val="auto"/>
                <w:sz w:val="24"/>
                <w:highlight w:val="none"/>
                <w:lang w:eastAsia="zh-CN"/>
              </w:rPr>
              <w:t>磴口县哈腾套海农场</w:t>
            </w:r>
            <w:r>
              <w:rPr>
                <w:rFonts w:hint="eastAsia"/>
                <w:color w:val="auto"/>
                <w:sz w:val="24"/>
                <w:szCs w:val="20"/>
                <w:highlight w:val="none"/>
              </w:rPr>
              <w:t>，占地类型均为</w:t>
            </w:r>
            <w:r>
              <w:rPr>
                <w:rFonts w:hint="eastAsia"/>
                <w:color w:val="auto"/>
                <w:sz w:val="24"/>
                <w:szCs w:val="20"/>
                <w:highlight w:val="none"/>
                <w:lang w:eastAsia="zh-CN"/>
              </w:rPr>
              <w:t>农用地</w:t>
            </w:r>
            <w:r>
              <w:rPr>
                <w:rFonts w:hint="eastAsia"/>
                <w:color w:val="auto"/>
                <w:sz w:val="24"/>
                <w:szCs w:val="20"/>
                <w:highlight w:val="none"/>
              </w:rPr>
              <w:t>，现状为</w:t>
            </w:r>
            <w:r>
              <w:rPr>
                <w:rFonts w:hint="eastAsia"/>
                <w:color w:val="auto"/>
                <w:sz w:val="24"/>
                <w:szCs w:val="20"/>
                <w:highlight w:val="none"/>
                <w:lang w:eastAsia="zh-CN"/>
              </w:rPr>
              <w:t>耕地</w:t>
            </w:r>
            <w:r>
              <w:rPr>
                <w:rFonts w:hint="eastAsia"/>
                <w:color w:val="auto"/>
                <w:sz w:val="24"/>
                <w:szCs w:val="20"/>
                <w:highlight w:val="none"/>
              </w:rPr>
              <w:t>，</w:t>
            </w:r>
            <w:r>
              <w:rPr>
                <w:rFonts w:hint="default"/>
                <w:color w:val="auto"/>
                <w:sz w:val="24"/>
                <w:szCs w:val="20"/>
              </w:rPr>
              <w:t>植被基本为人工植被</w:t>
            </w:r>
            <w:r>
              <w:rPr>
                <w:rFonts w:hint="eastAsia"/>
                <w:color w:val="auto"/>
                <w:sz w:val="24"/>
                <w:szCs w:val="20"/>
              </w:rPr>
              <w:t>。项目周边生态系统结构单一，</w:t>
            </w:r>
            <w:r>
              <w:rPr>
                <w:rFonts w:hint="default"/>
                <w:color w:val="auto"/>
                <w:sz w:val="24"/>
                <w:szCs w:val="20"/>
              </w:rPr>
              <w:t>以农业生态环境为主要特征</w:t>
            </w:r>
            <w:r>
              <w:rPr>
                <w:rFonts w:hint="eastAsia"/>
                <w:color w:val="auto"/>
                <w:sz w:val="24"/>
                <w:szCs w:val="20"/>
              </w:rPr>
              <w:t>，</w:t>
            </w:r>
            <w:r>
              <w:rPr>
                <w:rFonts w:hint="default"/>
                <w:color w:val="auto"/>
                <w:sz w:val="24"/>
                <w:szCs w:val="20"/>
              </w:rPr>
              <w:t>无国家和自治区重点保护的野生动植物种类</w:t>
            </w:r>
            <w:r>
              <w:rPr>
                <w:rFonts w:hint="default"/>
                <w:color w:val="auto"/>
                <w:sz w:val="24"/>
                <w:szCs w:val="20"/>
              </w:rPr>
              <w:t>，无特殊文物保护单位。</w:t>
            </w:r>
          </w:p>
          <w:p w14:paraId="5EDCF9B3">
            <w:pPr>
              <w:keepNext w:val="0"/>
              <w:keepLines w:val="0"/>
              <w:suppressLineNumbers w:val="0"/>
              <w:adjustRightInd w:val="0"/>
              <w:spacing w:before="0" w:beforeAutospacing="0" w:after="0" w:afterAutospacing="0" w:line="360" w:lineRule="auto"/>
              <w:ind w:left="0" w:right="0" w:firstLine="500" w:firstLineChars="200"/>
              <w:rPr>
                <w:rFonts w:hint="eastAsia"/>
                <w:snapToGrid w:val="0"/>
                <w:color w:val="auto"/>
                <w:spacing w:val="5"/>
                <w:kern w:val="0"/>
                <w:sz w:val="24"/>
                <w:szCs w:val="25"/>
              </w:rPr>
            </w:pPr>
            <w:r>
              <w:rPr>
                <w:rFonts w:hint="eastAsia"/>
                <w:snapToGrid w:val="0"/>
                <w:color w:val="auto"/>
                <w:spacing w:val="5"/>
                <w:kern w:val="0"/>
                <w:sz w:val="24"/>
                <w:szCs w:val="25"/>
                <w:lang w:eastAsia="zh-CN"/>
              </w:rPr>
              <w:t>本工程所在</w:t>
            </w:r>
            <w:r>
              <w:rPr>
                <w:rFonts w:hint="default"/>
                <w:snapToGrid w:val="0"/>
                <w:color w:val="auto"/>
                <w:spacing w:val="5"/>
                <w:kern w:val="0"/>
                <w:sz w:val="24"/>
                <w:szCs w:val="25"/>
              </w:rPr>
              <w:t>地区以半人工的农业生态系统和高度人工化的城镇生态系统为主，另有部分自然生态系统分布。评价范围内生态系统具有相对的稳定性及功能完整性，系统可以得到较稳定的维持和发展，具有一定的抗</w:t>
            </w:r>
            <w:r>
              <w:rPr>
                <w:rFonts w:hint="default"/>
                <w:snapToGrid w:val="0"/>
                <w:color w:val="auto"/>
                <w:spacing w:val="5"/>
                <w:kern w:val="0"/>
                <w:sz w:val="24"/>
                <w:szCs w:val="25"/>
                <w:highlight w:val="none"/>
              </w:rPr>
              <w:t>干扰能</w:t>
            </w:r>
            <w:r>
              <w:rPr>
                <w:rFonts w:hint="default"/>
                <w:snapToGrid w:val="0"/>
                <w:color w:val="auto"/>
                <w:spacing w:val="5"/>
                <w:kern w:val="0"/>
                <w:sz w:val="24"/>
                <w:szCs w:val="25"/>
              </w:rPr>
              <w:t>力。</w:t>
            </w:r>
          </w:p>
        </w:tc>
      </w:tr>
      <w:tr w14:paraId="5D465E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457" w:type="dxa"/>
            <w:noWrap w:val="0"/>
            <w:vAlign w:val="center"/>
          </w:tcPr>
          <w:p w14:paraId="3CE634CE">
            <w:pPr>
              <w:keepNext w:val="0"/>
              <w:keepLines w:val="0"/>
              <w:suppressLineNumbers w:val="0"/>
              <w:adjustRightInd w:val="0"/>
              <w:snapToGrid w:val="0"/>
              <w:spacing w:before="0" w:beforeAutospacing="0" w:after="0" w:afterAutospacing="0"/>
              <w:ind w:left="0" w:right="0"/>
              <w:jc w:val="center"/>
              <w:rPr>
                <w:rFonts w:hint="default"/>
                <w:b/>
                <w:color w:val="auto"/>
                <w:kern w:val="0"/>
                <w:sz w:val="24"/>
              </w:rPr>
            </w:pPr>
            <w:r>
              <w:rPr>
                <w:rFonts w:hint="default"/>
                <w:b/>
                <w:bCs/>
                <w:color w:val="auto"/>
                <w:sz w:val="24"/>
              </w:rPr>
              <w:t>与项目有关的原有环境污染和生态破坏问题</w:t>
            </w:r>
          </w:p>
        </w:tc>
        <w:tc>
          <w:tcPr>
            <w:tcW w:w="8450" w:type="dxa"/>
            <w:noWrap w:val="0"/>
            <w:vAlign w:val="center"/>
          </w:tcPr>
          <w:p w14:paraId="7D24C30E">
            <w:pPr>
              <w:keepNext w:val="0"/>
              <w:keepLines w:val="0"/>
              <w:suppressLineNumbers w:val="0"/>
              <w:spacing w:before="0" w:beforeAutospacing="0" w:after="0" w:afterAutospacing="0" w:line="360" w:lineRule="auto"/>
              <w:ind w:left="0" w:right="0" w:firstLine="480" w:firstLineChars="200"/>
              <w:rPr>
                <w:rFonts w:hint="default"/>
                <w:bCs/>
                <w:color w:val="auto"/>
                <w:sz w:val="24"/>
              </w:rPr>
            </w:pPr>
            <w:r>
              <w:rPr>
                <w:rFonts w:hint="eastAsia"/>
                <w:bCs/>
                <w:color w:val="auto"/>
                <w:sz w:val="24"/>
                <w:lang w:eastAsia="zh-CN"/>
              </w:rPr>
              <w:t>本工程</w:t>
            </w:r>
            <w:r>
              <w:rPr>
                <w:rFonts w:hint="eastAsia"/>
                <w:bCs/>
                <w:color w:val="auto"/>
                <w:sz w:val="24"/>
              </w:rPr>
              <w:t>为新建项目，无与</w:t>
            </w:r>
            <w:r>
              <w:rPr>
                <w:rFonts w:hint="eastAsia"/>
                <w:bCs/>
                <w:color w:val="auto"/>
                <w:sz w:val="24"/>
                <w:lang w:eastAsia="zh-CN"/>
              </w:rPr>
              <w:t>本工程</w:t>
            </w:r>
            <w:r>
              <w:rPr>
                <w:rFonts w:hint="eastAsia"/>
                <w:bCs/>
                <w:color w:val="auto"/>
                <w:sz w:val="24"/>
              </w:rPr>
              <w:t>有关的原有环境污染和生态破坏问题。</w:t>
            </w:r>
          </w:p>
        </w:tc>
      </w:tr>
      <w:tr w14:paraId="12B5B0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457" w:type="dxa"/>
            <w:noWrap w:val="0"/>
            <w:vAlign w:val="center"/>
          </w:tcPr>
          <w:p w14:paraId="7CEC78D0">
            <w:pPr>
              <w:keepNext w:val="0"/>
              <w:keepLines w:val="0"/>
              <w:suppressLineNumbers w:val="0"/>
              <w:adjustRightInd w:val="0"/>
              <w:snapToGrid w:val="0"/>
              <w:spacing w:before="0" w:beforeAutospacing="0" w:after="0" w:afterAutospacing="0"/>
              <w:ind w:left="0" w:right="0"/>
              <w:jc w:val="center"/>
              <w:rPr>
                <w:rFonts w:hint="default"/>
                <w:b/>
                <w:color w:val="auto"/>
                <w:kern w:val="0"/>
                <w:sz w:val="24"/>
              </w:rPr>
            </w:pPr>
            <w:r>
              <w:rPr>
                <w:rFonts w:hint="default"/>
                <w:b/>
                <w:color w:val="auto"/>
                <w:kern w:val="0"/>
                <w:sz w:val="24"/>
              </w:rPr>
              <w:t>生态环境保护目标</w:t>
            </w:r>
          </w:p>
        </w:tc>
        <w:tc>
          <w:tcPr>
            <w:tcW w:w="8450" w:type="dxa"/>
            <w:noWrap w:val="0"/>
            <w:vAlign w:val="center"/>
          </w:tcPr>
          <w:p w14:paraId="2CAFED75">
            <w:pPr>
              <w:keepNext w:val="0"/>
              <w:keepLines w:val="0"/>
              <w:suppressLineNumbers w:val="0"/>
              <w:adjustRightInd w:val="0"/>
              <w:snapToGrid w:val="0"/>
              <w:spacing w:before="0" w:beforeAutospacing="0" w:after="0" w:afterAutospacing="0"/>
              <w:ind w:left="0" w:right="0" w:firstLine="480" w:firstLineChars="200"/>
              <w:rPr>
                <w:rFonts w:hint="default"/>
                <w:color w:val="auto"/>
                <w:sz w:val="24"/>
              </w:rPr>
            </w:pPr>
            <w:r>
              <w:rPr>
                <w:rFonts w:hint="default"/>
                <w:color w:val="auto"/>
                <w:sz w:val="24"/>
              </w:rPr>
              <w:t>项目主要环境保护目标情况见下表：</w:t>
            </w:r>
          </w:p>
          <w:p w14:paraId="45681384">
            <w:pPr>
              <w:keepNext w:val="0"/>
              <w:keepLines w:val="0"/>
              <w:suppressLineNumbers w:val="0"/>
              <w:spacing w:before="0" w:beforeAutospacing="0" w:after="0" w:afterAutospacing="0"/>
              <w:ind w:left="0" w:right="0"/>
              <w:jc w:val="center"/>
              <w:rPr>
                <w:rFonts w:hint="eastAsia"/>
                <w:b/>
                <w:color w:val="auto"/>
                <w:sz w:val="24"/>
              </w:rPr>
            </w:pPr>
            <w:r>
              <w:rPr>
                <w:rFonts w:hint="default"/>
                <w:b/>
                <w:color w:val="auto"/>
                <w:sz w:val="24"/>
              </w:rPr>
              <w:t>表3-</w:t>
            </w:r>
            <w:r>
              <w:rPr>
                <w:rFonts w:hint="eastAsia"/>
                <w:b/>
                <w:color w:val="auto"/>
                <w:sz w:val="24"/>
              </w:rPr>
              <w:t>6</w:t>
            </w:r>
            <w:r>
              <w:rPr>
                <w:rFonts w:hint="default"/>
                <w:b/>
                <w:color w:val="auto"/>
                <w:sz w:val="24"/>
              </w:rPr>
              <w:t xml:space="preserve"> 主要保护目标及保护级别一览表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737"/>
              <w:gridCol w:w="1565"/>
              <w:gridCol w:w="1397"/>
              <w:gridCol w:w="1341"/>
              <w:gridCol w:w="3194"/>
            </w:tblGrid>
            <w:tr w14:paraId="56D466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448" w:type="pct"/>
                  <w:noWrap w:val="0"/>
                  <w:vAlign w:val="center"/>
                </w:tcPr>
                <w:p w14:paraId="1CFA5F63">
                  <w:pPr>
                    <w:keepNext w:val="0"/>
                    <w:keepLines w:val="0"/>
                    <w:widowControl/>
                    <w:suppressLineNumbers w:val="0"/>
                    <w:spacing w:before="0" w:beforeAutospacing="0" w:after="0" w:afterAutospacing="0"/>
                    <w:ind w:left="0" w:right="0"/>
                    <w:jc w:val="center"/>
                    <w:rPr>
                      <w:rFonts w:hint="eastAsia"/>
                      <w:b/>
                      <w:color w:val="auto"/>
                      <w:szCs w:val="21"/>
                    </w:rPr>
                  </w:pPr>
                  <w:r>
                    <w:rPr>
                      <w:rFonts w:hint="eastAsia"/>
                      <w:b/>
                      <w:color w:val="auto"/>
                      <w:szCs w:val="21"/>
                    </w:rPr>
                    <w:t>环境</w:t>
                  </w:r>
                </w:p>
                <w:p w14:paraId="4884E2D9">
                  <w:pPr>
                    <w:keepNext w:val="0"/>
                    <w:keepLines w:val="0"/>
                    <w:widowControl/>
                    <w:suppressLineNumbers w:val="0"/>
                    <w:spacing w:before="0" w:beforeAutospacing="0" w:after="0" w:afterAutospacing="0"/>
                    <w:ind w:left="0" w:right="0"/>
                    <w:jc w:val="center"/>
                    <w:rPr>
                      <w:rFonts w:hint="default"/>
                      <w:b/>
                      <w:color w:val="auto"/>
                      <w:szCs w:val="21"/>
                    </w:rPr>
                  </w:pPr>
                  <w:r>
                    <w:rPr>
                      <w:rFonts w:hint="eastAsia"/>
                      <w:b/>
                      <w:color w:val="auto"/>
                      <w:szCs w:val="21"/>
                    </w:rPr>
                    <w:t>要素</w:t>
                  </w:r>
                </w:p>
              </w:tc>
              <w:tc>
                <w:tcPr>
                  <w:tcW w:w="950" w:type="pct"/>
                  <w:noWrap w:val="0"/>
                  <w:vAlign w:val="center"/>
                </w:tcPr>
                <w:p w14:paraId="1D634931">
                  <w:pPr>
                    <w:keepNext w:val="0"/>
                    <w:keepLines w:val="0"/>
                    <w:suppressLineNumbers w:val="0"/>
                    <w:spacing w:before="0" w:beforeAutospacing="0" w:after="0" w:afterAutospacing="0" w:line="240" w:lineRule="atLeast"/>
                    <w:ind w:left="0" w:right="0"/>
                    <w:jc w:val="center"/>
                    <w:rPr>
                      <w:rFonts w:hint="eastAsia"/>
                      <w:b/>
                      <w:color w:val="auto"/>
                      <w:szCs w:val="21"/>
                    </w:rPr>
                  </w:pPr>
                  <w:r>
                    <w:rPr>
                      <w:rFonts w:hint="eastAsia"/>
                      <w:b/>
                      <w:color w:val="auto"/>
                      <w:szCs w:val="21"/>
                    </w:rPr>
                    <w:t>保护对象</w:t>
                  </w:r>
                </w:p>
              </w:tc>
              <w:tc>
                <w:tcPr>
                  <w:tcW w:w="848" w:type="pct"/>
                  <w:noWrap w:val="0"/>
                  <w:vAlign w:val="center"/>
                </w:tcPr>
                <w:p w14:paraId="149957A4">
                  <w:pPr>
                    <w:keepNext w:val="0"/>
                    <w:keepLines w:val="0"/>
                    <w:suppressLineNumbers w:val="0"/>
                    <w:spacing w:before="0" w:beforeAutospacing="0" w:after="0" w:afterAutospacing="0" w:line="240" w:lineRule="atLeast"/>
                    <w:ind w:left="0" w:right="0"/>
                    <w:jc w:val="center"/>
                    <w:rPr>
                      <w:rFonts w:hint="eastAsia"/>
                      <w:b/>
                      <w:color w:val="auto"/>
                      <w:szCs w:val="21"/>
                    </w:rPr>
                  </w:pPr>
                  <w:r>
                    <w:rPr>
                      <w:rFonts w:hint="eastAsia"/>
                      <w:b/>
                      <w:color w:val="auto"/>
                      <w:szCs w:val="21"/>
                    </w:rPr>
                    <w:t>方位</w:t>
                  </w:r>
                </w:p>
              </w:tc>
              <w:tc>
                <w:tcPr>
                  <w:tcW w:w="813" w:type="pct"/>
                  <w:noWrap w:val="0"/>
                  <w:vAlign w:val="center"/>
                </w:tcPr>
                <w:p w14:paraId="3B00C511">
                  <w:pPr>
                    <w:keepNext w:val="0"/>
                    <w:keepLines w:val="0"/>
                    <w:suppressLineNumbers w:val="0"/>
                    <w:spacing w:before="0" w:beforeAutospacing="0" w:after="0" w:afterAutospacing="0" w:line="240" w:lineRule="atLeast"/>
                    <w:ind w:left="0" w:right="0"/>
                    <w:jc w:val="center"/>
                    <w:rPr>
                      <w:rFonts w:hint="eastAsia"/>
                      <w:b/>
                      <w:color w:val="auto"/>
                      <w:szCs w:val="21"/>
                    </w:rPr>
                  </w:pPr>
                  <w:r>
                    <w:rPr>
                      <w:rFonts w:hint="eastAsia"/>
                      <w:b/>
                      <w:color w:val="auto"/>
                      <w:szCs w:val="21"/>
                    </w:rPr>
                    <w:t>距离（m）</w:t>
                  </w:r>
                </w:p>
              </w:tc>
              <w:tc>
                <w:tcPr>
                  <w:tcW w:w="1938" w:type="pct"/>
                  <w:noWrap w:val="0"/>
                  <w:vAlign w:val="center"/>
                </w:tcPr>
                <w:p w14:paraId="0C0FBE49">
                  <w:pPr>
                    <w:keepNext w:val="0"/>
                    <w:keepLines w:val="0"/>
                    <w:suppressLineNumbers w:val="0"/>
                    <w:spacing w:before="0" w:beforeAutospacing="0" w:after="0" w:afterAutospacing="0" w:line="240" w:lineRule="atLeast"/>
                    <w:ind w:left="0" w:right="0"/>
                    <w:jc w:val="center"/>
                    <w:rPr>
                      <w:rFonts w:hint="eastAsia"/>
                      <w:b/>
                      <w:color w:val="auto"/>
                      <w:szCs w:val="21"/>
                    </w:rPr>
                  </w:pPr>
                  <w:r>
                    <w:rPr>
                      <w:rFonts w:hint="eastAsia"/>
                      <w:b/>
                      <w:color w:val="auto"/>
                      <w:szCs w:val="21"/>
                    </w:rPr>
                    <w:t>保护级别</w:t>
                  </w:r>
                </w:p>
              </w:tc>
            </w:tr>
            <w:tr w14:paraId="791417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7" w:hRule="atLeast"/>
              </w:trPr>
              <w:tc>
                <w:tcPr>
                  <w:tcW w:w="448" w:type="pct"/>
                  <w:noWrap w:val="0"/>
                  <w:vAlign w:val="center"/>
                </w:tcPr>
                <w:p w14:paraId="4F1520DE">
                  <w:pPr>
                    <w:keepNext w:val="0"/>
                    <w:keepLines w:val="0"/>
                    <w:widowControl/>
                    <w:suppressLineNumbers w:val="0"/>
                    <w:spacing w:before="0" w:beforeAutospacing="0" w:after="0" w:afterAutospacing="0"/>
                    <w:ind w:left="0" w:right="0"/>
                    <w:jc w:val="center"/>
                    <w:rPr>
                      <w:rFonts w:hint="eastAsia"/>
                      <w:color w:val="auto"/>
                      <w:szCs w:val="21"/>
                    </w:rPr>
                  </w:pPr>
                  <w:r>
                    <w:rPr>
                      <w:rFonts w:hint="default"/>
                      <w:color w:val="auto"/>
                      <w:szCs w:val="21"/>
                    </w:rPr>
                    <w:t>环境</w:t>
                  </w:r>
                </w:p>
                <w:p w14:paraId="10FDB89B">
                  <w:pPr>
                    <w:keepNext w:val="0"/>
                    <w:keepLines w:val="0"/>
                    <w:widowControl/>
                    <w:suppressLineNumbers w:val="0"/>
                    <w:spacing w:before="0" w:beforeAutospacing="0" w:after="0" w:afterAutospacing="0"/>
                    <w:ind w:left="0" w:right="0"/>
                    <w:jc w:val="center"/>
                    <w:rPr>
                      <w:rFonts w:hint="eastAsia"/>
                      <w:color w:val="auto"/>
                      <w:szCs w:val="21"/>
                    </w:rPr>
                  </w:pPr>
                  <w:r>
                    <w:rPr>
                      <w:rFonts w:hint="default"/>
                      <w:color w:val="auto"/>
                      <w:szCs w:val="21"/>
                    </w:rPr>
                    <w:t>空气</w:t>
                  </w:r>
                </w:p>
              </w:tc>
              <w:tc>
                <w:tcPr>
                  <w:tcW w:w="2612" w:type="pct"/>
                  <w:gridSpan w:val="3"/>
                  <w:noWrap w:val="0"/>
                  <w:vAlign w:val="center"/>
                </w:tcPr>
                <w:p w14:paraId="12132E6D">
                  <w:pPr>
                    <w:keepNext w:val="0"/>
                    <w:keepLines w:val="0"/>
                    <w:suppressLineNumbers w:val="0"/>
                    <w:spacing w:before="0" w:beforeAutospacing="0" w:after="0" w:afterAutospacing="0" w:line="240" w:lineRule="atLeast"/>
                    <w:ind w:left="0" w:right="0"/>
                    <w:jc w:val="center"/>
                    <w:rPr>
                      <w:rFonts w:hint="eastAsia"/>
                      <w:color w:val="auto"/>
                      <w:szCs w:val="21"/>
                    </w:rPr>
                  </w:pPr>
                  <w:r>
                    <w:rPr>
                      <w:rFonts w:hint="eastAsia"/>
                      <w:color w:val="auto"/>
                      <w:szCs w:val="21"/>
                    </w:rPr>
                    <w:t>井场场界</w:t>
                  </w:r>
                  <w:r>
                    <w:rPr>
                      <w:rFonts w:hint="default"/>
                      <w:color w:val="auto"/>
                      <w:szCs w:val="21"/>
                    </w:rPr>
                    <w:t>周围</w:t>
                  </w:r>
                  <w:r>
                    <w:rPr>
                      <w:rFonts w:hint="eastAsia"/>
                      <w:color w:val="auto"/>
                      <w:szCs w:val="21"/>
                    </w:rPr>
                    <w:t>5</w:t>
                  </w:r>
                  <w:r>
                    <w:rPr>
                      <w:rFonts w:hint="default"/>
                      <w:color w:val="auto"/>
                      <w:szCs w:val="21"/>
                    </w:rPr>
                    <w:t>0</w:t>
                  </w:r>
                  <w:r>
                    <w:rPr>
                      <w:rFonts w:hint="eastAsia"/>
                      <w:color w:val="auto"/>
                      <w:szCs w:val="21"/>
                      <w:lang w:val="en-US" w:eastAsia="zh-CN"/>
                    </w:rPr>
                    <w:t>0</w:t>
                  </w:r>
                  <w:r>
                    <w:rPr>
                      <w:rFonts w:hint="default"/>
                      <w:color w:val="auto"/>
                      <w:szCs w:val="21"/>
                    </w:rPr>
                    <w:t>m范围内无</w:t>
                  </w:r>
                  <w:r>
                    <w:rPr>
                      <w:rFonts w:hint="eastAsia"/>
                      <w:color w:val="auto"/>
                      <w:szCs w:val="21"/>
                    </w:rPr>
                    <w:t>敏感目标</w:t>
                  </w:r>
                </w:p>
              </w:tc>
              <w:tc>
                <w:tcPr>
                  <w:tcW w:w="1938" w:type="pct"/>
                  <w:noWrap w:val="0"/>
                  <w:vAlign w:val="center"/>
                </w:tcPr>
                <w:p w14:paraId="15223BC1">
                  <w:pPr>
                    <w:keepNext w:val="0"/>
                    <w:keepLines w:val="0"/>
                    <w:suppressLineNumbers w:val="0"/>
                    <w:spacing w:before="0" w:beforeAutospacing="0" w:after="0" w:afterAutospacing="0" w:line="240" w:lineRule="atLeast"/>
                    <w:ind w:left="0" w:right="0"/>
                    <w:jc w:val="center"/>
                    <w:rPr>
                      <w:rFonts w:hint="eastAsia"/>
                      <w:color w:val="auto"/>
                      <w:szCs w:val="21"/>
                    </w:rPr>
                  </w:pPr>
                  <w:r>
                    <w:rPr>
                      <w:rFonts w:hint="eastAsia"/>
                      <w:color w:val="auto"/>
                      <w:szCs w:val="21"/>
                    </w:rPr>
                    <w:t>《环境空气质量标准》（GB3095-2012）及修改单中二级标准，非甲烷总烃参照执行河北省地标《环境空气质量非甲烷总烃限值》（DB13/1577-2012）二级标准</w:t>
                  </w:r>
                </w:p>
              </w:tc>
            </w:tr>
            <w:tr w14:paraId="69D67F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7" w:hRule="atLeast"/>
              </w:trPr>
              <w:tc>
                <w:tcPr>
                  <w:tcW w:w="448" w:type="pct"/>
                  <w:noWrap w:val="0"/>
                  <w:vAlign w:val="center"/>
                </w:tcPr>
                <w:p w14:paraId="4E8BE8E0">
                  <w:pPr>
                    <w:keepNext w:val="0"/>
                    <w:keepLines w:val="0"/>
                    <w:widowControl/>
                    <w:suppressLineNumbers w:val="0"/>
                    <w:spacing w:before="0" w:beforeAutospacing="0" w:after="0" w:afterAutospacing="0"/>
                    <w:ind w:left="0" w:right="0"/>
                    <w:jc w:val="center"/>
                    <w:rPr>
                      <w:rFonts w:hint="eastAsia"/>
                      <w:color w:val="auto"/>
                      <w:kern w:val="2"/>
                      <w:sz w:val="21"/>
                      <w:szCs w:val="21"/>
                      <w:lang w:val="en-US" w:eastAsia="zh-CN" w:bidi="ar-SA"/>
                    </w:rPr>
                  </w:pPr>
                  <w:r>
                    <w:rPr>
                      <w:rFonts w:hint="eastAsia"/>
                      <w:color w:val="auto"/>
                      <w:szCs w:val="21"/>
                    </w:rPr>
                    <w:t>声环境</w:t>
                  </w:r>
                </w:p>
              </w:tc>
              <w:tc>
                <w:tcPr>
                  <w:tcW w:w="2612" w:type="pct"/>
                  <w:gridSpan w:val="3"/>
                  <w:noWrap w:val="0"/>
                  <w:vAlign w:val="center"/>
                </w:tcPr>
                <w:p w14:paraId="45B52815">
                  <w:pPr>
                    <w:keepNext w:val="0"/>
                    <w:keepLines w:val="0"/>
                    <w:suppressLineNumbers w:val="0"/>
                    <w:spacing w:before="0" w:beforeAutospacing="0" w:after="0" w:afterAutospacing="0" w:line="240" w:lineRule="atLeast"/>
                    <w:ind w:left="0" w:right="0"/>
                    <w:jc w:val="center"/>
                    <w:rPr>
                      <w:rFonts w:hint="eastAsia"/>
                      <w:color w:val="auto"/>
                      <w:kern w:val="2"/>
                      <w:sz w:val="21"/>
                      <w:szCs w:val="21"/>
                      <w:lang w:val="en-US" w:eastAsia="zh-CN" w:bidi="ar-SA"/>
                    </w:rPr>
                  </w:pPr>
                  <w:r>
                    <w:rPr>
                      <w:rFonts w:hint="eastAsia"/>
                      <w:color w:val="auto"/>
                      <w:szCs w:val="21"/>
                    </w:rPr>
                    <w:t>井场场界</w:t>
                  </w:r>
                  <w:r>
                    <w:rPr>
                      <w:rFonts w:hint="default"/>
                      <w:color w:val="auto"/>
                      <w:szCs w:val="21"/>
                    </w:rPr>
                    <w:t>周围</w:t>
                  </w:r>
                  <w:r>
                    <w:rPr>
                      <w:rFonts w:hint="eastAsia"/>
                      <w:color w:val="auto"/>
                      <w:szCs w:val="21"/>
                    </w:rPr>
                    <w:t>5</w:t>
                  </w:r>
                  <w:r>
                    <w:rPr>
                      <w:rFonts w:hint="default"/>
                      <w:color w:val="auto"/>
                      <w:szCs w:val="21"/>
                    </w:rPr>
                    <w:t>0m范围内无</w:t>
                  </w:r>
                  <w:r>
                    <w:rPr>
                      <w:rFonts w:hint="eastAsia"/>
                      <w:color w:val="auto"/>
                      <w:szCs w:val="21"/>
                    </w:rPr>
                    <w:t>敏感目标</w:t>
                  </w:r>
                </w:p>
              </w:tc>
              <w:tc>
                <w:tcPr>
                  <w:tcW w:w="1938" w:type="pct"/>
                  <w:noWrap w:val="0"/>
                  <w:vAlign w:val="center"/>
                </w:tcPr>
                <w:p w14:paraId="57C7CCE2">
                  <w:pPr>
                    <w:keepNext w:val="0"/>
                    <w:keepLines w:val="0"/>
                    <w:suppressLineNumbers w:val="0"/>
                    <w:spacing w:before="0" w:beforeAutospacing="0" w:after="0" w:afterAutospacing="0" w:line="240" w:lineRule="atLeast"/>
                    <w:ind w:left="0" w:right="0"/>
                    <w:jc w:val="center"/>
                    <w:rPr>
                      <w:rFonts w:hint="eastAsia"/>
                      <w:color w:val="auto"/>
                      <w:kern w:val="2"/>
                      <w:sz w:val="21"/>
                      <w:szCs w:val="21"/>
                      <w:lang w:val="en-US" w:eastAsia="zh-CN" w:bidi="ar-SA"/>
                    </w:rPr>
                  </w:pPr>
                  <w:r>
                    <w:rPr>
                      <w:rFonts w:hint="default"/>
                      <w:color w:val="auto"/>
                      <w:szCs w:val="21"/>
                    </w:rPr>
                    <w:t>《声环境质量标准》（GB3096-2008）</w:t>
                  </w:r>
                  <w:r>
                    <w:rPr>
                      <w:rFonts w:hint="eastAsia"/>
                      <w:color w:val="auto"/>
                      <w:szCs w:val="21"/>
                    </w:rPr>
                    <w:t>2</w:t>
                  </w:r>
                  <w:r>
                    <w:rPr>
                      <w:rFonts w:hint="default"/>
                      <w:color w:val="auto"/>
                      <w:szCs w:val="21"/>
                    </w:rPr>
                    <w:t>类功能区标准</w:t>
                  </w:r>
                </w:p>
              </w:tc>
            </w:tr>
            <w:tr w14:paraId="4C6F85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7" w:hRule="atLeast"/>
              </w:trPr>
              <w:tc>
                <w:tcPr>
                  <w:tcW w:w="448" w:type="pct"/>
                  <w:noWrap w:val="0"/>
                  <w:vAlign w:val="center"/>
                </w:tcPr>
                <w:p w14:paraId="03C9BCE5">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地下水</w:t>
                  </w:r>
                  <w:r>
                    <w:rPr>
                      <w:rFonts w:hint="default"/>
                      <w:color w:val="auto"/>
                      <w:szCs w:val="21"/>
                    </w:rPr>
                    <w:t>环境</w:t>
                  </w:r>
                </w:p>
              </w:tc>
              <w:tc>
                <w:tcPr>
                  <w:tcW w:w="2612" w:type="pct"/>
                  <w:gridSpan w:val="3"/>
                  <w:noWrap w:val="0"/>
                  <w:vAlign w:val="center"/>
                </w:tcPr>
                <w:p w14:paraId="0FD43DAB">
                  <w:pPr>
                    <w:keepNext w:val="0"/>
                    <w:keepLines w:val="0"/>
                    <w:suppressLineNumbers w:val="0"/>
                    <w:spacing w:before="0" w:beforeAutospacing="0" w:after="0" w:afterAutospacing="0" w:line="240" w:lineRule="atLeast"/>
                    <w:ind w:left="0" w:right="0"/>
                    <w:jc w:val="center"/>
                    <w:rPr>
                      <w:rFonts w:hint="default"/>
                      <w:color w:val="auto"/>
                      <w:szCs w:val="21"/>
                    </w:rPr>
                  </w:pPr>
                  <w:r>
                    <w:rPr>
                      <w:rFonts w:hint="eastAsia"/>
                      <w:color w:val="auto"/>
                      <w:szCs w:val="21"/>
                      <w:lang w:eastAsia="zh-CN"/>
                    </w:rPr>
                    <w:t>扎格6</w:t>
                  </w:r>
                  <w:r>
                    <w:rPr>
                      <w:rFonts w:hint="eastAsia"/>
                      <w:color w:val="auto"/>
                      <w:szCs w:val="21"/>
                    </w:rPr>
                    <w:t>井场场界外500范围内无地下水集中式饮用水水源、矿泉水、温泉等特殊地下水资源。</w:t>
                  </w:r>
                </w:p>
              </w:tc>
              <w:tc>
                <w:tcPr>
                  <w:tcW w:w="1938" w:type="pct"/>
                  <w:noWrap w:val="0"/>
                  <w:vAlign w:val="center"/>
                </w:tcPr>
                <w:p w14:paraId="39A8436B">
                  <w:pPr>
                    <w:keepNext w:val="0"/>
                    <w:keepLines w:val="0"/>
                    <w:suppressLineNumbers w:val="0"/>
                    <w:spacing w:before="0" w:beforeAutospacing="0" w:after="0" w:afterAutospacing="0" w:line="240" w:lineRule="atLeast"/>
                    <w:ind w:left="0" w:right="0"/>
                    <w:jc w:val="center"/>
                    <w:rPr>
                      <w:rFonts w:hint="eastAsia" w:eastAsia="宋体"/>
                      <w:color w:val="auto"/>
                      <w:szCs w:val="21"/>
                      <w:lang w:eastAsia="zh-CN"/>
                    </w:rPr>
                  </w:pPr>
                  <w:r>
                    <w:rPr>
                      <w:rFonts w:hint="eastAsia"/>
                      <w:color w:val="auto"/>
                      <w:szCs w:val="21"/>
                      <w:lang w:val="en-US" w:eastAsia="zh-CN"/>
                    </w:rPr>
                    <w:t>/</w:t>
                  </w:r>
                </w:p>
              </w:tc>
            </w:tr>
            <w:tr w14:paraId="149C24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7" w:hRule="atLeast"/>
              </w:trPr>
              <w:tc>
                <w:tcPr>
                  <w:tcW w:w="448" w:type="pct"/>
                  <w:noWrap w:val="0"/>
                  <w:vAlign w:val="center"/>
                </w:tcPr>
                <w:p w14:paraId="0CD68D88">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土壤</w:t>
                  </w:r>
                </w:p>
                <w:p w14:paraId="7A78D74A">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环境</w:t>
                  </w:r>
                </w:p>
              </w:tc>
              <w:tc>
                <w:tcPr>
                  <w:tcW w:w="2612" w:type="pct"/>
                  <w:gridSpan w:val="3"/>
                  <w:noWrap w:val="0"/>
                  <w:vAlign w:val="center"/>
                </w:tcPr>
                <w:p w14:paraId="62D601CA">
                  <w:pPr>
                    <w:keepNext w:val="0"/>
                    <w:keepLines w:val="0"/>
                    <w:suppressLineNumbers w:val="0"/>
                    <w:spacing w:before="0" w:beforeAutospacing="0" w:after="0" w:afterAutospacing="0" w:line="240" w:lineRule="atLeast"/>
                    <w:ind w:left="0" w:right="0"/>
                    <w:jc w:val="center"/>
                    <w:rPr>
                      <w:rFonts w:hint="eastAsia"/>
                      <w:color w:val="auto"/>
                      <w:szCs w:val="21"/>
                    </w:rPr>
                  </w:pPr>
                  <w:r>
                    <w:rPr>
                      <w:rFonts w:hint="eastAsia"/>
                      <w:color w:val="auto"/>
                      <w:szCs w:val="21"/>
                    </w:rPr>
                    <w:t>项目临时占地范围内及占地范围外的农用地土壤</w:t>
                  </w:r>
                </w:p>
              </w:tc>
              <w:tc>
                <w:tcPr>
                  <w:tcW w:w="1938" w:type="pct"/>
                  <w:noWrap w:val="0"/>
                  <w:vAlign w:val="center"/>
                </w:tcPr>
                <w:p w14:paraId="503D303A">
                  <w:pPr>
                    <w:keepNext w:val="0"/>
                    <w:keepLines w:val="0"/>
                    <w:suppressLineNumbers w:val="0"/>
                    <w:spacing w:before="0" w:beforeAutospacing="0" w:after="0" w:afterAutospacing="0" w:line="240" w:lineRule="atLeast"/>
                    <w:ind w:left="0" w:right="0"/>
                    <w:jc w:val="center"/>
                    <w:rPr>
                      <w:rFonts w:hint="default"/>
                      <w:color w:val="auto"/>
                      <w:szCs w:val="21"/>
                    </w:rPr>
                  </w:pPr>
                  <w:r>
                    <w:rPr>
                      <w:rFonts w:hint="default"/>
                      <w:color w:val="auto"/>
                      <w:szCs w:val="21"/>
                    </w:rPr>
                    <w:t>维持原有功能</w:t>
                  </w:r>
                  <w:r>
                    <w:rPr>
                      <w:rFonts w:hint="eastAsia"/>
                      <w:color w:val="auto"/>
                      <w:szCs w:val="21"/>
                    </w:rPr>
                    <w:t>，</w:t>
                  </w:r>
                  <w:r>
                    <w:rPr>
                      <w:rFonts w:hint="default"/>
                      <w:color w:val="auto"/>
                      <w:szCs w:val="21"/>
                    </w:rPr>
                    <w:t>不影响土壤环境质量</w:t>
                  </w:r>
                </w:p>
              </w:tc>
            </w:tr>
            <w:tr w14:paraId="1C9913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7" w:hRule="atLeast"/>
              </w:trPr>
              <w:tc>
                <w:tcPr>
                  <w:tcW w:w="448" w:type="pct"/>
                  <w:noWrap w:val="0"/>
                  <w:vAlign w:val="center"/>
                </w:tcPr>
                <w:p w14:paraId="72462655">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生态</w:t>
                  </w:r>
                </w:p>
                <w:p w14:paraId="58A1B3C8">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环境</w:t>
                  </w:r>
                </w:p>
              </w:tc>
              <w:tc>
                <w:tcPr>
                  <w:tcW w:w="4413" w:type="dxa"/>
                  <w:gridSpan w:val="3"/>
                  <w:noWrap w:val="0"/>
                  <w:vAlign w:val="center"/>
                </w:tcPr>
                <w:p w14:paraId="01D8B978">
                  <w:pPr>
                    <w:keepNext w:val="0"/>
                    <w:keepLines w:val="0"/>
                    <w:suppressLineNumbers w:val="0"/>
                    <w:spacing w:before="0" w:beforeAutospacing="0" w:after="0" w:afterAutospacing="0" w:line="240" w:lineRule="atLeast"/>
                    <w:ind w:left="0" w:right="0"/>
                    <w:jc w:val="center"/>
                    <w:rPr>
                      <w:rFonts w:hint="default"/>
                      <w:color w:val="auto"/>
                      <w:szCs w:val="21"/>
                    </w:rPr>
                  </w:pPr>
                  <w:r>
                    <w:rPr>
                      <w:rFonts w:hint="default"/>
                      <w:color w:val="auto"/>
                      <w:szCs w:val="21"/>
                    </w:rPr>
                    <w:t>周围</w:t>
                  </w:r>
                  <w:r>
                    <w:rPr>
                      <w:rFonts w:hint="eastAsia"/>
                      <w:color w:val="auto"/>
                      <w:szCs w:val="21"/>
                    </w:rPr>
                    <w:t>300</w:t>
                  </w:r>
                  <w:r>
                    <w:rPr>
                      <w:rFonts w:hint="default"/>
                      <w:color w:val="auto"/>
                      <w:szCs w:val="21"/>
                    </w:rPr>
                    <w:t>m范围内</w:t>
                  </w:r>
                  <w:r>
                    <w:rPr>
                      <w:rFonts w:hint="eastAsia"/>
                      <w:color w:val="auto"/>
                      <w:szCs w:val="21"/>
                    </w:rPr>
                    <w:t>耕地、野生动植物</w:t>
                  </w:r>
                  <w:r>
                    <w:rPr>
                      <w:rFonts w:hint="eastAsia"/>
                      <w:color w:val="auto"/>
                    </w:rPr>
                    <w:t>，农作物主要为玉米、小麦等</w:t>
                  </w:r>
                </w:p>
              </w:tc>
              <w:tc>
                <w:tcPr>
                  <w:tcW w:w="3276" w:type="dxa"/>
                  <w:noWrap w:val="0"/>
                  <w:vAlign w:val="center"/>
                </w:tcPr>
                <w:p w14:paraId="7CCEBE0C">
                  <w:pPr>
                    <w:keepNext w:val="0"/>
                    <w:keepLines w:val="0"/>
                    <w:suppressLineNumbers w:val="0"/>
                    <w:spacing w:before="0" w:beforeAutospacing="0" w:after="0" w:afterAutospacing="0" w:line="240" w:lineRule="atLeast"/>
                    <w:ind w:left="0" w:right="0"/>
                    <w:jc w:val="center"/>
                    <w:rPr>
                      <w:rFonts w:hint="default"/>
                      <w:color w:val="auto"/>
                      <w:szCs w:val="21"/>
                    </w:rPr>
                  </w:pPr>
                  <w:r>
                    <w:rPr>
                      <w:rFonts w:hint="default"/>
                      <w:color w:val="auto"/>
                      <w:szCs w:val="21"/>
                    </w:rPr>
                    <w:t>维持现有功能，</w:t>
                  </w:r>
                  <w:r>
                    <w:rPr>
                      <w:rFonts w:hint="eastAsia"/>
                      <w:color w:val="auto"/>
                      <w:szCs w:val="21"/>
                    </w:rPr>
                    <w:t>不影响</w:t>
                  </w:r>
                  <w:r>
                    <w:rPr>
                      <w:rFonts w:hint="eastAsia"/>
                      <w:color w:val="auto"/>
                      <w:szCs w:val="21"/>
                      <w:lang w:eastAsia="zh-CN"/>
                    </w:rPr>
                    <w:t>项目区周围</w:t>
                  </w:r>
                  <w:r>
                    <w:rPr>
                      <w:rFonts w:hint="eastAsia"/>
                      <w:color w:val="auto"/>
                      <w:szCs w:val="21"/>
                    </w:rPr>
                    <w:t>玉米、小麦等农作物正常生长，</w:t>
                  </w:r>
                  <w:r>
                    <w:rPr>
                      <w:rFonts w:hint="default"/>
                      <w:color w:val="auto"/>
                      <w:szCs w:val="21"/>
                    </w:rPr>
                    <w:t>植被覆盖度不降低</w:t>
                  </w:r>
                </w:p>
              </w:tc>
            </w:tr>
            <w:tr w14:paraId="362EABA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7" w:hRule="atLeast"/>
              </w:trPr>
              <w:tc>
                <w:tcPr>
                  <w:tcW w:w="448" w:type="pct"/>
                  <w:noWrap w:val="0"/>
                  <w:vAlign w:val="center"/>
                </w:tcPr>
                <w:p w14:paraId="4D23B34A">
                  <w:pPr>
                    <w:keepNext w:val="0"/>
                    <w:keepLines w:val="0"/>
                    <w:suppressLineNumbers w:val="0"/>
                    <w:spacing w:before="0" w:beforeAutospacing="0" w:after="0" w:afterAutospacing="0"/>
                    <w:ind w:left="0" w:right="0"/>
                    <w:jc w:val="center"/>
                    <w:rPr>
                      <w:rFonts w:hint="eastAsia"/>
                      <w:color w:val="auto"/>
                      <w:szCs w:val="21"/>
                    </w:rPr>
                  </w:pPr>
                  <w:r>
                    <w:rPr>
                      <w:rFonts w:hint="default"/>
                      <w:color w:val="auto"/>
                      <w:szCs w:val="21"/>
                    </w:rPr>
                    <w:t>风险</w:t>
                  </w:r>
                </w:p>
                <w:p w14:paraId="4DFC06F1">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环境</w:t>
                  </w:r>
                </w:p>
              </w:tc>
              <w:tc>
                <w:tcPr>
                  <w:tcW w:w="4551" w:type="pct"/>
                  <w:gridSpan w:val="4"/>
                  <w:noWrap w:val="0"/>
                  <w:vAlign w:val="center"/>
                </w:tcPr>
                <w:p w14:paraId="3B6BB82D">
                  <w:pPr>
                    <w:keepNext w:val="0"/>
                    <w:keepLines w:val="0"/>
                    <w:suppressLineNumbers w:val="0"/>
                    <w:spacing w:before="0" w:beforeAutospacing="0" w:after="0" w:afterAutospacing="0" w:line="240" w:lineRule="atLeast"/>
                    <w:ind w:left="0" w:right="0"/>
                    <w:jc w:val="center"/>
                    <w:rPr>
                      <w:rFonts w:hint="default"/>
                      <w:color w:val="auto"/>
                      <w:szCs w:val="21"/>
                    </w:rPr>
                  </w:pPr>
                  <w:r>
                    <w:rPr>
                      <w:rFonts w:hint="default"/>
                      <w:color w:val="auto"/>
                      <w:szCs w:val="21"/>
                    </w:rPr>
                    <w:t>根据《建设项目环境风险评价技术导则》（HJ169-2018）附录B，</w:t>
                  </w:r>
                  <w:r>
                    <w:rPr>
                      <w:rFonts w:hint="eastAsia"/>
                      <w:color w:val="auto"/>
                      <w:szCs w:val="21"/>
                      <w:lang w:eastAsia="zh-CN"/>
                    </w:rPr>
                    <w:t>本工程</w:t>
                  </w:r>
                  <w:r>
                    <w:rPr>
                      <w:rFonts w:hint="default"/>
                      <w:color w:val="auto"/>
                      <w:szCs w:val="21"/>
                    </w:rPr>
                    <w:t>Q＜1，风险潜势为I级，仅进行简单分析，不设环境风险评价范围</w:t>
                  </w:r>
                  <w:r>
                    <w:rPr>
                      <w:rFonts w:hint="eastAsia"/>
                      <w:color w:val="auto"/>
                      <w:szCs w:val="21"/>
                    </w:rPr>
                    <w:t>。</w:t>
                  </w:r>
                </w:p>
              </w:tc>
            </w:tr>
          </w:tbl>
          <w:p w14:paraId="71423FA0">
            <w:pPr>
              <w:keepNext w:val="0"/>
              <w:keepLines w:val="0"/>
              <w:suppressLineNumbers w:val="0"/>
              <w:spacing w:before="120" w:beforeLines="50" w:beforeAutospacing="0" w:after="0" w:afterAutospacing="0" w:line="360" w:lineRule="auto"/>
              <w:ind w:left="0" w:right="0"/>
              <w:jc w:val="center"/>
              <w:rPr>
                <w:rFonts w:hint="eastAsia"/>
                <w:color w:val="auto"/>
                <w:kern w:val="0"/>
                <w:sz w:val="24"/>
                <w:szCs w:val="21"/>
              </w:rPr>
            </w:pPr>
          </w:p>
        </w:tc>
      </w:tr>
      <w:tr w14:paraId="14702F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57" w:type="dxa"/>
            <w:noWrap w:val="0"/>
            <w:vAlign w:val="center"/>
          </w:tcPr>
          <w:p w14:paraId="73E4FED5">
            <w:pPr>
              <w:keepNext w:val="0"/>
              <w:keepLines w:val="0"/>
              <w:suppressLineNumbers w:val="0"/>
              <w:adjustRightInd w:val="0"/>
              <w:snapToGrid w:val="0"/>
              <w:spacing w:before="0" w:beforeAutospacing="0" w:after="0" w:afterAutospacing="0"/>
              <w:ind w:left="0" w:right="0"/>
              <w:jc w:val="center"/>
              <w:rPr>
                <w:rFonts w:hint="default"/>
                <w:b/>
                <w:color w:val="auto"/>
                <w:kern w:val="0"/>
                <w:sz w:val="24"/>
              </w:rPr>
            </w:pPr>
            <w:r>
              <w:rPr>
                <w:rFonts w:hint="default"/>
                <w:b/>
                <w:color w:val="auto"/>
                <w:kern w:val="0"/>
                <w:sz w:val="24"/>
              </w:rPr>
              <w:t>评价</w:t>
            </w:r>
          </w:p>
          <w:p w14:paraId="6F368804">
            <w:pPr>
              <w:keepNext w:val="0"/>
              <w:keepLines w:val="0"/>
              <w:suppressLineNumbers w:val="0"/>
              <w:adjustRightInd w:val="0"/>
              <w:snapToGrid w:val="0"/>
              <w:spacing w:before="0" w:beforeAutospacing="0" w:after="0" w:afterAutospacing="0"/>
              <w:ind w:left="0" w:right="0"/>
              <w:jc w:val="center"/>
              <w:rPr>
                <w:rFonts w:hint="default"/>
                <w:color w:val="auto"/>
                <w:kern w:val="0"/>
                <w:szCs w:val="21"/>
              </w:rPr>
            </w:pPr>
            <w:r>
              <w:rPr>
                <w:rFonts w:hint="default"/>
                <w:b/>
                <w:color w:val="auto"/>
                <w:kern w:val="0"/>
                <w:sz w:val="24"/>
              </w:rPr>
              <w:t>标准</w:t>
            </w:r>
          </w:p>
        </w:tc>
        <w:tc>
          <w:tcPr>
            <w:tcW w:w="8450" w:type="dxa"/>
            <w:noWrap w:val="0"/>
            <w:vAlign w:val="center"/>
          </w:tcPr>
          <w:p w14:paraId="7D15A37F">
            <w:pPr>
              <w:keepNext w:val="0"/>
              <w:keepLines w:val="0"/>
              <w:suppressLineNumbers w:val="0"/>
              <w:spacing w:before="120" w:beforeLines="50" w:beforeAutospacing="0" w:after="0" w:afterAutospacing="0" w:line="360" w:lineRule="auto"/>
              <w:ind w:left="0" w:right="0" w:firstLine="482" w:firstLineChars="200"/>
              <w:rPr>
                <w:rFonts w:hint="default"/>
                <w:b/>
                <w:color w:val="auto"/>
                <w:sz w:val="24"/>
              </w:rPr>
            </w:pPr>
            <w:r>
              <w:rPr>
                <w:rFonts w:hint="eastAsia"/>
                <w:b/>
                <w:color w:val="auto"/>
                <w:sz w:val="24"/>
              </w:rPr>
              <w:t>一、环境质量标准</w:t>
            </w:r>
          </w:p>
          <w:p w14:paraId="570FDD08">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区域内环境质量适用于如下标准：</w:t>
            </w:r>
          </w:p>
          <w:p w14:paraId="0D3E686A">
            <w:pPr>
              <w:keepNext w:val="0"/>
              <w:keepLines w:val="0"/>
              <w:suppressLineNumbers w:val="0"/>
              <w:spacing w:before="0" w:beforeAutospacing="0" w:after="0" w:afterAutospacing="0" w:line="360" w:lineRule="auto"/>
              <w:ind w:left="0" w:right="0" w:firstLine="456" w:firstLineChars="200"/>
              <w:rPr>
                <w:rFonts w:hint="default"/>
                <w:color w:val="auto"/>
                <w:sz w:val="24"/>
              </w:rPr>
            </w:pPr>
            <w:r>
              <w:rPr>
                <w:rFonts w:hint="default"/>
                <w:color w:val="auto"/>
                <w:spacing w:val="-6"/>
                <w:sz w:val="24"/>
              </w:rPr>
              <w:t>1、大气环境执行《环境空气质量标准》（GB3095-2012）及修改单中二级标准</w:t>
            </w:r>
            <w:r>
              <w:rPr>
                <w:rFonts w:hint="default"/>
                <w:color w:val="auto"/>
                <w:sz w:val="24"/>
              </w:rPr>
              <w:t>，</w:t>
            </w:r>
            <w:r>
              <w:rPr>
                <w:rFonts w:hint="eastAsia"/>
                <w:color w:val="auto"/>
                <w:sz w:val="24"/>
              </w:rPr>
              <w:t>非甲烷总烃参照执行河北省地标</w:t>
            </w:r>
            <w:r>
              <w:rPr>
                <w:rFonts w:hint="default"/>
                <w:color w:val="auto"/>
                <w:sz w:val="24"/>
              </w:rPr>
              <w:t>《环境空气质量非甲烷总烃限值》（DB13/1577-2012）</w:t>
            </w:r>
            <w:r>
              <w:rPr>
                <w:rFonts w:hint="default"/>
                <w:bCs/>
                <w:color w:val="auto"/>
                <w:sz w:val="24"/>
              </w:rPr>
              <w:t>二级标准</w:t>
            </w:r>
            <w:r>
              <w:rPr>
                <w:rFonts w:hint="default"/>
                <w:color w:val="auto"/>
                <w:sz w:val="24"/>
              </w:rPr>
              <w:t>，具体标准值见下表。</w:t>
            </w:r>
          </w:p>
          <w:p w14:paraId="2BE18F89">
            <w:pPr>
              <w:keepNext w:val="0"/>
              <w:keepLines w:val="0"/>
              <w:suppressLineNumbers w:val="0"/>
              <w:adjustRightInd w:val="0"/>
              <w:snapToGrid w:val="0"/>
              <w:spacing w:before="0" w:beforeAutospacing="0" w:after="0" w:afterAutospacing="0" w:line="360" w:lineRule="exact"/>
              <w:ind w:left="0" w:right="0"/>
              <w:jc w:val="center"/>
              <w:rPr>
                <w:rFonts w:hint="eastAsia"/>
                <w:b/>
                <w:color w:val="auto"/>
                <w:sz w:val="24"/>
              </w:rPr>
            </w:pPr>
            <w:r>
              <w:rPr>
                <w:rFonts w:hint="default"/>
                <w:b/>
                <w:color w:val="auto"/>
                <w:spacing w:val="9"/>
                <w:sz w:val="24"/>
              </w:rPr>
              <w:t>表3-</w:t>
            </w:r>
            <w:r>
              <w:rPr>
                <w:rFonts w:hint="eastAsia"/>
                <w:b/>
                <w:color w:val="auto"/>
                <w:spacing w:val="9"/>
                <w:sz w:val="24"/>
              </w:rPr>
              <w:t xml:space="preserve">7 </w:t>
            </w:r>
            <w:r>
              <w:rPr>
                <w:rFonts w:hint="default"/>
                <w:b/>
                <w:color w:val="auto"/>
                <w:sz w:val="24"/>
              </w:rPr>
              <w:t>环境空气质量标准限值</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90"/>
              <w:gridCol w:w="1993"/>
              <w:gridCol w:w="1638"/>
              <w:gridCol w:w="2913"/>
            </w:tblGrid>
            <w:tr w14:paraId="64C292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6" w:type="pct"/>
                  <w:noWrap w:val="0"/>
                  <w:vAlign w:val="center"/>
                </w:tcPr>
                <w:p w14:paraId="15903D25">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r>
                    <w:rPr>
                      <w:rFonts w:hint="default"/>
                      <w:color w:val="auto"/>
                      <w:kern w:val="0"/>
                    </w:rPr>
                    <w:t>污染物名称</w:t>
                  </w:r>
                </w:p>
              </w:tc>
              <w:tc>
                <w:tcPr>
                  <w:tcW w:w="1210" w:type="pct"/>
                  <w:noWrap w:val="0"/>
                  <w:vAlign w:val="center"/>
                </w:tcPr>
                <w:p w14:paraId="54F16939">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r>
                    <w:rPr>
                      <w:rFonts w:hint="default"/>
                      <w:color w:val="auto"/>
                      <w:kern w:val="0"/>
                    </w:rPr>
                    <w:t>取值时</w:t>
                  </w:r>
                </w:p>
              </w:tc>
              <w:tc>
                <w:tcPr>
                  <w:tcW w:w="994" w:type="pct"/>
                  <w:noWrap w:val="0"/>
                  <w:vAlign w:val="center"/>
                </w:tcPr>
                <w:p w14:paraId="330F71F2">
                  <w:pPr>
                    <w:keepNext w:val="0"/>
                    <w:keepLines w:val="0"/>
                    <w:suppressLineNumbers w:val="0"/>
                    <w:autoSpaceDE w:val="0"/>
                    <w:autoSpaceDN w:val="0"/>
                    <w:adjustRightInd w:val="0"/>
                    <w:spacing w:before="0" w:beforeAutospacing="0" w:after="0" w:afterAutospacing="0"/>
                    <w:ind w:left="0" w:right="0"/>
                    <w:jc w:val="center"/>
                    <w:rPr>
                      <w:rFonts w:hint="default"/>
                      <w:color w:val="auto"/>
                      <w:kern w:val="0"/>
                    </w:rPr>
                  </w:pPr>
                  <w:r>
                    <w:rPr>
                      <w:rFonts w:hint="default"/>
                      <w:color w:val="auto"/>
                      <w:kern w:val="0"/>
                    </w:rPr>
                    <w:t>浓度限值（二级标准）</w:t>
                  </w:r>
                </w:p>
              </w:tc>
              <w:tc>
                <w:tcPr>
                  <w:tcW w:w="1768" w:type="pct"/>
                  <w:noWrap w:val="0"/>
                  <w:vAlign w:val="center"/>
                </w:tcPr>
                <w:p w14:paraId="465FAB98">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r>
                    <w:rPr>
                      <w:rFonts w:hint="default"/>
                      <w:color w:val="auto"/>
                      <w:kern w:val="0"/>
                    </w:rPr>
                    <w:t>执行标准</w:t>
                  </w:r>
                </w:p>
              </w:tc>
            </w:tr>
            <w:tr w14:paraId="4E10D6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6" w:type="pct"/>
                  <w:vMerge w:val="restart"/>
                  <w:noWrap w:val="0"/>
                  <w:vAlign w:val="center"/>
                </w:tcPr>
                <w:p w14:paraId="205E7A10">
                  <w:pPr>
                    <w:keepNext w:val="0"/>
                    <w:keepLines w:val="0"/>
                    <w:suppressLineNumbers w:val="0"/>
                    <w:autoSpaceDE w:val="0"/>
                    <w:autoSpaceDN w:val="0"/>
                    <w:adjustRightInd w:val="0"/>
                    <w:spacing w:before="0" w:beforeAutospacing="0" w:after="0" w:afterAutospacing="0"/>
                    <w:ind w:left="0" w:right="0"/>
                    <w:jc w:val="center"/>
                    <w:rPr>
                      <w:rFonts w:hint="eastAsia"/>
                      <w:color w:val="auto"/>
                      <w:kern w:val="0"/>
                    </w:rPr>
                  </w:pPr>
                  <w:r>
                    <w:rPr>
                      <w:rFonts w:hint="default"/>
                      <w:color w:val="auto"/>
                      <w:kern w:val="0"/>
                    </w:rPr>
                    <w:t>PM</w:t>
                  </w:r>
                  <w:r>
                    <w:rPr>
                      <w:rFonts w:hint="default"/>
                      <w:color w:val="auto"/>
                      <w:kern w:val="0"/>
                      <w:vertAlign w:val="subscript"/>
                    </w:rPr>
                    <w:t>2.5</w:t>
                  </w:r>
                </w:p>
              </w:tc>
              <w:tc>
                <w:tcPr>
                  <w:tcW w:w="1210" w:type="pct"/>
                  <w:noWrap w:val="0"/>
                  <w:vAlign w:val="center"/>
                </w:tcPr>
                <w:p w14:paraId="42EF6164">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r>
                    <w:rPr>
                      <w:rFonts w:hint="default"/>
                      <w:color w:val="auto"/>
                      <w:kern w:val="0"/>
                    </w:rPr>
                    <w:t>年</w:t>
                  </w:r>
                  <w:r>
                    <w:rPr>
                      <w:rFonts w:hint="eastAsia"/>
                      <w:color w:val="auto"/>
                      <w:kern w:val="0"/>
                    </w:rPr>
                    <w:t>平</w:t>
                  </w:r>
                  <w:r>
                    <w:rPr>
                      <w:rFonts w:hint="default"/>
                      <w:color w:val="auto"/>
                      <w:kern w:val="0"/>
                    </w:rPr>
                    <w:t>均</w:t>
                  </w:r>
                </w:p>
              </w:tc>
              <w:tc>
                <w:tcPr>
                  <w:tcW w:w="994" w:type="pct"/>
                  <w:noWrap w:val="0"/>
                  <w:vAlign w:val="center"/>
                </w:tcPr>
                <w:p w14:paraId="4D0F61C1">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r>
                    <w:rPr>
                      <w:rFonts w:hint="default"/>
                      <w:color w:val="auto"/>
                      <w:kern w:val="0"/>
                    </w:rPr>
                    <w:t>35μg/Nm</w:t>
                  </w:r>
                  <w:r>
                    <w:rPr>
                      <w:rFonts w:hint="default"/>
                      <w:color w:val="auto"/>
                      <w:kern w:val="0"/>
                      <w:vertAlign w:val="superscript"/>
                    </w:rPr>
                    <w:t>3</w:t>
                  </w:r>
                </w:p>
              </w:tc>
              <w:tc>
                <w:tcPr>
                  <w:tcW w:w="1768" w:type="pct"/>
                  <w:vMerge w:val="restart"/>
                  <w:noWrap w:val="0"/>
                  <w:vAlign w:val="center"/>
                </w:tcPr>
                <w:p w14:paraId="021579F9">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r>
                    <w:rPr>
                      <w:rFonts w:hint="default"/>
                      <w:color w:val="auto"/>
                      <w:kern w:val="0"/>
                    </w:rPr>
                    <w:t>《环境空气质量标准</w:t>
                  </w:r>
                  <w:r>
                    <w:rPr>
                      <w:rFonts w:hint="eastAsia"/>
                      <w:color w:val="auto"/>
                      <w:kern w:val="0"/>
                    </w:rPr>
                    <w:t>》</w:t>
                  </w:r>
                  <w:r>
                    <w:rPr>
                      <w:rFonts w:hint="default"/>
                      <w:color w:val="auto"/>
                      <w:kern w:val="0"/>
                    </w:rPr>
                    <w:t>（GB3095-2012）二级标准及修改单</w:t>
                  </w:r>
                </w:p>
              </w:tc>
            </w:tr>
            <w:tr w14:paraId="7E2D0F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6" w:type="pct"/>
                  <w:vMerge w:val="continue"/>
                  <w:noWrap w:val="0"/>
                  <w:vAlign w:val="center"/>
                </w:tcPr>
                <w:p w14:paraId="2C8DBA71">
                  <w:pPr>
                    <w:keepNext w:val="0"/>
                    <w:keepLines w:val="0"/>
                    <w:suppressLineNumbers w:val="0"/>
                    <w:autoSpaceDE w:val="0"/>
                    <w:autoSpaceDN w:val="0"/>
                    <w:adjustRightInd w:val="0"/>
                    <w:spacing w:before="0" w:beforeAutospacing="0" w:after="0" w:afterAutospacing="0"/>
                    <w:ind w:left="0" w:right="0"/>
                    <w:jc w:val="center"/>
                    <w:rPr>
                      <w:rFonts w:hint="default"/>
                      <w:color w:val="auto"/>
                      <w:kern w:val="0"/>
                    </w:rPr>
                  </w:pPr>
                </w:p>
              </w:tc>
              <w:tc>
                <w:tcPr>
                  <w:tcW w:w="1993" w:type="dxa"/>
                  <w:noWrap w:val="0"/>
                  <w:vAlign w:val="center"/>
                </w:tcPr>
                <w:p w14:paraId="042C54A0">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r>
                    <w:rPr>
                      <w:rFonts w:hint="default"/>
                      <w:color w:val="auto"/>
                      <w:kern w:val="0"/>
                    </w:rPr>
                    <w:t>24小时平均</w:t>
                  </w:r>
                </w:p>
              </w:tc>
              <w:tc>
                <w:tcPr>
                  <w:tcW w:w="1638" w:type="dxa"/>
                  <w:noWrap w:val="0"/>
                  <w:vAlign w:val="center"/>
                </w:tcPr>
                <w:p w14:paraId="0787D5FA">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r>
                    <w:rPr>
                      <w:rFonts w:hint="eastAsia"/>
                      <w:color w:val="auto"/>
                      <w:kern w:val="0"/>
                      <w:lang w:val="en-US" w:eastAsia="zh-CN"/>
                    </w:rPr>
                    <w:t>75</w:t>
                  </w:r>
                  <w:r>
                    <w:rPr>
                      <w:rFonts w:hint="default"/>
                      <w:color w:val="auto"/>
                      <w:kern w:val="0"/>
                    </w:rPr>
                    <w:t>μg/Nm</w:t>
                  </w:r>
                  <w:r>
                    <w:rPr>
                      <w:rFonts w:hint="default"/>
                      <w:color w:val="auto"/>
                      <w:kern w:val="0"/>
                      <w:vertAlign w:val="superscript"/>
                    </w:rPr>
                    <w:t>3</w:t>
                  </w:r>
                </w:p>
              </w:tc>
              <w:tc>
                <w:tcPr>
                  <w:tcW w:w="1768" w:type="pct"/>
                  <w:vMerge w:val="continue"/>
                  <w:noWrap w:val="0"/>
                  <w:vAlign w:val="center"/>
                </w:tcPr>
                <w:p w14:paraId="79A76C02">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p>
              </w:tc>
            </w:tr>
            <w:tr w14:paraId="0DBD57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6" w:type="pct"/>
                  <w:vMerge w:val="restart"/>
                  <w:noWrap w:val="0"/>
                  <w:vAlign w:val="center"/>
                </w:tcPr>
                <w:p w14:paraId="5F1F0A71">
                  <w:pPr>
                    <w:keepNext w:val="0"/>
                    <w:keepLines w:val="0"/>
                    <w:suppressLineNumbers w:val="0"/>
                    <w:autoSpaceDE w:val="0"/>
                    <w:autoSpaceDN w:val="0"/>
                    <w:adjustRightInd w:val="0"/>
                    <w:spacing w:before="0" w:beforeAutospacing="0" w:after="0" w:afterAutospacing="0"/>
                    <w:ind w:left="0" w:right="0"/>
                    <w:jc w:val="center"/>
                    <w:rPr>
                      <w:rFonts w:hint="eastAsia"/>
                      <w:color w:val="auto"/>
                      <w:kern w:val="0"/>
                    </w:rPr>
                  </w:pPr>
                  <w:r>
                    <w:rPr>
                      <w:rFonts w:hint="default"/>
                      <w:color w:val="auto"/>
                      <w:kern w:val="0"/>
                    </w:rPr>
                    <w:t>PM</w:t>
                  </w:r>
                  <w:r>
                    <w:rPr>
                      <w:rFonts w:hint="default"/>
                      <w:color w:val="auto"/>
                      <w:kern w:val="0"/>
                      <w:vertAlign w:val="subscript"/>
                    </w:rPr>
                    <w:t>10</w:t>
                  </w:r>
                </w:p>
              </w:tc>
              <w:tc>
                <w:tcPr>
                  <w:tcW w:w="1210" w:type="pct"/>
                  <w:noWrap w:val="0"/>
                  <w:vAlign w:val="center"/>
                </w:tcPr>
                <w:p w14:paraId="5E8B0A79">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r>
                    <w:rPr>
                      <w:rFonts w:hint="default"/>
                      <w:color w:val="auto"/>
                      <w:kern w:val="0"/>
                    </w:rPr>
                    <w:t>年平均</w:t>
                  </w:r>
                </w:p>
              </w:tc>
              <w:tc>
                <w:tcPr>
                  <w:tcW w:w="994" w:type="pct"/>
                  <w:noWrap w:val="0"/>
                  <w:vAlign w:val="center"/>
                </w:tcPr>
                <w:p w14:paraId="11D79021">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r>
                    <w:rPr>
                      <w:rFonts w:hint="default"/>
                      <w:color w:val="auto"/>
                      <w:kern w:val="0"/>
                    </w:rPr>
                    <w:t>70μg/Nm</w:t>
                  </w:r>
                  <w:r>
                    <w:rPr>
                      <w:rFonts w:hint="default"/>
                      <w:color w:val="auto"/>
                      <w:kern w:val="0"/>
                      <w:vertAlign w:val="superscript"/>
                    </w:rPr>
                    <w:t>3</w:t>
                  </w:r>
                </w:p>
              </w:tc>
              <w:tc>
                <w:tcPr>
                  <w:tcW w:w="1768" w:type="pct"/>
                  <w:vMerge w:val="continue"/>
                  <w:noWrap w:val="0"/>
                  <w:vAlign w:val="center"/>
                </w:tcPr>
                <w:p w14:paraId="48AB0107">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p>
              </w:tc>
            </w:tr>
            <w:tr w14:paraId="42CE1F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6" w:type="pct"/>
                  <w:vMerge w:val="continue"/>
                  <w:noWrap w:val="0"/>
                  <w:vAlign w:val="center"/>
                </w:tcPr>
                <w:p w14:paraId="3BF75F79">
                  <w:pPr>
                    <w:keepNext w:val="0"/>
                    <w:keepLines w:val="0"/>
                    <w:suppressLineNumbers w:val="0"/>
                    <w:autoSpaceDE w:val="0"/>
                    <w:autoSpaceDN w:val="0"/>
                    <w:adjustRightInd w:val="0"/>
                    <w:spacing w:before="0" w:beforeAutospacing="0" w:after="0" w:afterAutospacing="0"/>
                    <w:ind w:left="0" w:right="0"/>
                    <w:jc w:val="center"/>
                    <w:rPr>
                      <w:rFonts w:hint="default"/>
                      <w:color w:val="auto"/>
                      <w:kern w:val="0"/>
                    </w:rPr>
                  </w:pPr>
                </w:p>
              </w:tc>
              <w:tc>
                <w:tcPr>
                  <w:tcW w:w="1993" w:type="dxa"/>
                  <w:noWrap w:val="0"/>
                  <w:vAlign w:val="center"/>
                </w:tcPr>
                <w:p w14:paraId="61760AA4">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r>
                    <w:rPr>
                      <w:rFonts w:hint="default"/>
                      <w:color w:val="auto"/>
                      <w:kern w:val="0"/>
                    </w:rPr>
                    <w:t>24小时平均</w:t>
                  </w:r>
                </w:p>
              </w:tc>
              <w:tc>
                <w:tcPr>
                  <w:tcW w:w="1638" w:type="dxa"/>
                  <w:noWrap w:val="0"/>
                  <w:vAlign w:val="center"/>
                </w:tcPr>
                <w:p w14:paraId="2A56AA5F">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r>
                    <w:rPr>
                      <w:rFonts w:hint="eastAsia"/>
                      <w:color w:val="auto"/>
                      <w:kern w:val="0"/>
                      <w:lang w:val="en-US" w:eastAsia="zh-CN"/>
                    </w:rPr>
                    <w:t>150</w:t>
                  </w:r>
                  <w:r>
                    <w:rPr>
                      <w:rFonts w:hint="default"/>
                      <w:color w:val="auto"/>
                      <w:kern w:val="0"/>
                    </w:rPr>
                    <w:t>μg/Nm</w:t>
                  </w:r>
                  <w:r>
                    <w:rPr>
                      <w:rFonts w:hint="default"/>
                      <w:color w:val="auto"/>
                      <w:kern w:val="0"/>
                      <w:vertAlign w:val="superscript"/>
                    </w:rPr>
                    <w:t>3</w:t>
                  </w:r>
                </w:p>
              </w:tc>
              <w:tc>
                <w:tcPr>
                  <w:tcW w:w="1768" w:type="pct"/>
                  <w:vMerge w:val="continue"/>
                  <w:noWrap w:val="0"/>
                  <w:vAlign w:val="center"/>
                </w:tcPr>
                <w:p w14:paraId="386424C0">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p>
              </w:tc>
            </w:tr>
            <w:tr w14:paraId="6925CB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6" w:type="pct"/>
                  <w:vMerge w:val="restart"/>
                  <w:noWrap w:val="0"/>
                  <w:vAlign w:val="center"/>
                </w:tcPr>
                <w:p w14:paraId="3E5F17FB">
                  <w:pPr>
                    <w:keepNext w:val="0"/>
                    <w:keepLines w:val="0"/>
                    <w:suppressLineNumbers w:val="0"/>
                    <w:autoSpaceDE w:val="0"/>
                    <w:autoSpaceDN w:val="0"/>
                    <w:adjustRightInd w:val="0"/>
                    <w:spacing w:before="0" w:beforeAutospacing="0" w:after="0" w:afterAutospacing="0"/>
                    <w:ind w:left="0" w:right="0"/>
                    <w:jc w:val="center"/>
                    <w:rPr>
                      <w:rFonts w:hint="eastAsia"/>
                      <w:color w:val="auto"/>
                      <w:kern w:val="0"/>
                    </w:rPr>
                  </w:pPr>
                  <w:r>
                    <w:rPr>
                      <w:rFonts w:hint="default"/>
                      <w:color w:val="auto"/>
                      <w:kern w:val="0"/>
                    </w:rPr>
                    <w:t>SO</w:t>
                  </w:r>
                  <w:r>
                    <w:rPr>
                      <w:rFonts w:hint="default"/>
                      <w:color w:val="auto"/>
                      <w:kern w:val="0"/>
                      <w:vertAlign w:val="subscript"/>
                    </w:rPr>
                    <w:t>2</w:t>
                  </w:r>
                </w:p>
              </w:tc>
              <w:tc>
                <w:tcPr>
                  <w:tcW w:w="1210" w:type="pct"/>
                  <w:noWrap w:val="0"/>
                  <w:vAlign w:val="center"/>
                </w:tcPr>
                <w:p w14:paraId="5FA72BC5">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r>
                    <w:rPr>
                      <w:rFonts w:hint="default"/>
                      <w:color w:val="auto"/>
                      <w:kern w:val="0"/>
                    </w:rPr>
                    <w:t>年平均</w:t>
                  </w:r>
                </w:p>
              </w:tc>
              <w:tc>
                <w:tcPr>
                  <w:tcW w:w="994" w:type="pct"/>
                  <w:noWrap w:val="0"/>
                  <w:vAlign w:val="center"/>
                </w:tcPr>
                <w:p w14:paraId="6BA38F28">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r>
                    <w:rPr>
                      <w:rFonts w:hint="default"/>
                      <w:color w:val="auto"/>
                      <w:kern w:val="0"/>
                    </w:rPr>
                    <w:t>60μg/Nm</w:t>
                  </w:r>
                  <w:r>
                    <w:rPr>
                      <w:rFonts w:hint="default"/>
                      <w:color w:val="auto"/>
                      <w:kern w:val="0"/>
                      <w:vertAlign w:val="superscript"/>
                    </w:rPr>
                    <w:t>3</w:t>
                  </w:r>
                </w:p>
              </w:tc>
              <w:tc>
                <w:tcPr>
                  <w:tcW w:w="1768" w:type="pct"/>
                  <w:vMerge w:val="continue"/>
                  <w:noWrap w:val="0"/>
                  <w:vAlign w:val="center"/>
                </w:tcPr>
                <w:p w14:paraId="4AE6B83D">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p>
              </w:tc>
            </w:tr>
            <w:tr w14:paraId="735B57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6" w:type="pct"/>
                  <w:vMerge w:val="continue"/>
                  <w:noWrap w:val="0"/>
                  <w:vAlign w:val="center"/>
                </w:tcPr>
                <w:p w14:paraId="1FEFFF03">
                  <w:pPr>
                    <w:keepNext w:val="0"/>
                    <w:keepLines w:val="0"/>
                    <w:suppressLineNumbers w:val="0"/>
                    <w:autoSpaceDE w:val="0"/>
                    <w:autoSpaceDN w:val="0"/>
                    <w:adjustRightInd w:val="0"/>
                    <w:spacing w:before="0" w:beforeAutospacing="0" w:after="0" w:afterAutospacing="0"/>
                    <w:ind w:left="0" w:right="0"/>
                    <w:jc w:val="center"/>
                    <w:rPr>
                      <w:rFonts w:hint="default"/>
                      <w:color w:val="auto"/>
                      <w:kern w:val="0"/>
                    </w:rPr>
                  </w:pPr>
                </w:p>
              </w:tc>
              <w:tc>
                <w:tcPr>
                  <w:tcW w:w="1210" w:type="pct"/>
                  <w:noWrap w:val="0"/>
                  <w:vAlign w:val="center"/>
                </w:tcPr>
                <w:p w14:paraId="7CAD4666">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r>
                    <w:rPr>
                      <w:rFonts w:hint="default"/>
                      <w:color w:val="auto"/>
                      <w:kern w:val="0"/>
                    </w:rPr>
                    <w:t>24小时平均</w:t>
                  </w:r>
                </w:p>
              </w:tc>
              <w:tc>
                <w:tcPr>
                  <w:tcW w:w="994" w:type="pct"/>
                  <w:noWrap w:val="0"/>
                  <w:vAlign w:val="center"/>
                </w:tcPr>
                <w:p w14:paraId="5B19A526">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r>
                    <w:rPr>
                      <w:rFonts w:hint="eastAsia"/>
                      <w:color w:val="auto"/>
                      <w:kern w:val="0"/>
                      <w:lang w:val="en-US" w:eastAsia="zh-CN"/>
                    </w:rPr>
                    <w:t>150</w:t>
                  </w:r>
                  <w:r>
                    <w:rPr>
                      <w:rFonts w:hint="default"/>
                      <w:color w:val="auto"/>
                      <w:kern w:val="0"/>
                    </w:rPr>
                    <w:t>μg/Nm</w:t>
                  </w:r>
                  <w:r>
                    <w:rPr>
                      <w:rFonts w:hint="default"/>
                      <w:color w:val="auto"/>
                      <w:kern w:val="0"/>
                      <w:vertAlign w:val="superscript"/>
                    </w:rPr>
                    <w:t>3</w:t>
                  </w:r>
                </w:p>
              </w:tc>
              <w:tc>
                <w:tcPr>
                  <w:tcW w:w="1768" w:type="pct"/>
                  <w:vMerge w:val="continue"/>
                  <w:noWrap w:val="0"/>
                  <w:vAlign w:val="center"/>
                </w:tcPr>
                <w:p w14:paraId="4F9006D0">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p>
              </w:tc>
            </w:tr>
            <w:tr w14:paraId="5871BF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6" w:type="pct"/>
                  <w:vMerge w:val="continue"/>
                  <w:noWrap w:val="0"/>
                  <w:vAlign w:val="center"/>
                </w:tcPr>
                <w:p w14:paraId="63A8F539">
                  <w:pPr>
                    <w:keepNext w:val="0"/>
                    <w:keepLines w:val="0"/>
                    <w:suppressLineNumbers w:val="0"/>
                    <w:autoSpaceDE w:val="0"/>
                    <w:autoSpaceDN w:val="0"/>
                    <w:adjustRightInd w:val="0"/>
                    <w:spacing w:before="0" w:beforeAutospacing="0" w:after="0" w:afterAutospacing="0"/>
                    <w:ind w:left="0" w:right="0"/>
                    <w:jc w:val="center"/>
                    <w:rPr>
                      <w:rFonts w:hint="default"/>
                      <w:color w:val="auto"/>
                      <w:kern w:val="0"/>
                    </w:rPr>
                  </w:pPr>
                </w:p>
              </w:tc>
              <w:tc>
                <w:tcPr>
                  <w:tcW w:w="1210" w:type="pct"/>
                  <w:noWrap w:val="0"/>
                  <w:vAlign w:val="center"/>
                </w:tcPr>
                <w:p w14:paraId="3BC7AD94">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r>
                    <w:rPr>
                      <w:rFonts w:hint="eastAsia"/>
                      <w:color w:val="auto"/>
                      <w:kern w:val="0"/>
                      <w:lang w:val="en-US" w:eastAsia="zh-CN"/>
                    </w:rPr>
                    <w:t>1小时平均</w:t>
                  </w:r>
                </w:p>
              </w:tc>
              <w:tc>
                <w:tcPr>
                  <w:tcW w:w="994" w:type="pct"/>
                  <w:noWrap w:val="0"/>
                  <w:vAlign w:val="center"/>
                </w:tcPr>
                <w:p w14:paraId="211F7FEF">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r>
                    <w:rPr>
                      <w:rFonts w:hint="eastAsia"/>
                      <w:color w:val="auto"/>
                      <w:kern w:val="0"/>
                      <w:lang w:val="en-US" w:eastAsia="zh-CN"/>
                    </w:rPr>
                    <w:t>500</w:t>
                  </w:r>
                  <w:r>
                    <w:rPr>
                      <w:rFonts w:hint="default"/>
                      <w:color w:val="auto"/>
                      <w:kern w:val="0"/>
                    </w:rPr>
                    <w:t>μg/Nm</w:t>
                  </w:r>
                  <w:r>
                    <w:rPr>
                      <w:rFonts w:hint="default"/>
                      <w:color w:val="auto"/>
                      <w:kern w:val="0"/>
                      <w:vertAlign w:val="superscript"/>
                    </w:rPr>
                    <w:t>3</w:t>
                  </w:r>
                </w:p>
              </w:tc>
              <w:tc>
                <w:tcPr>
                  <w:tcW w:w="1768" w:type="pct"/>
                  <w:vMerge w:val="continue"/>
                  <w:noWrap w:val="0"/>
                  <w:vAlign w:val="center"/>
                </w:tcPr>
                <w:p w14:paraId="7C183259">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p>
              </w:tc>
            </w:tr>
            <w:tr w14:paraId="5E3130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6" w:type="pct"/>
                  <w:vMerge w:val="restart"/>
                  <w:noWrap w:val="0"/>
                  <w:vAlign w:val="center"/>
                </w:tcPr>
                <w:p w14:paraId="5F591A2A">
                  <w:pPr>
                    <w:keepNext w:val="0"/>
                    <w:keepLines w:val="0"/>
                    <w:suppressLineNumbers w:val="0"/>
                    <w:autoSpaceDE w:val="0"/>
                    <w:autoSpaceDN w:val="0"/>
                    <w:adjustRightInd w:val="0"/>
                    <w:spacing w:before="0" w:beforeAutospacing="0" w:after="0" w:afterAutospacing="0"/>
                    <w:ind w:left="0" w:right="0"/>
                    <w:jc w:val="center"/>
                    <w:rPr>
                      <w:rFonts w:hint="eastAsia"/>
                      <w:color w:val="auto"/>
                      <w:kern w:val="0"/>
                    </w:rPr>
                  </w:pPr>
                  <w:r>
                    <w:rPr>
                      <w:rFonts w:hint="default"/>
                      <w:color w:val="auto"/>
                      <w:kern w:val="0"/>
                    </w:rPr>
                    <w:t>NO</w:t>
                  </w:r>
                  <w:r>
                    <w:rPr>
                      <w:rFonts w:hint="default"/>
                      <w:color w:val="auto"/>
                      <w:kern w:val="0"/>
                      <w:vertAlign w:val="subscript"/>
                    </w:rPr>
                    <w:t>2</w:t>
                  </w:r>
                </w:p>
              </w:tc>
              <w:tc>
                <w:tcPr>
                  <w:tcW w:w="1210" w:type="pct"/>
                  <w:noWrap w:val="0"/>
                  <w:vAlign w:val="center"/>
                </w:tcPr>
                <w:p w14:paraId="0C3E4A1D">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r>
                    <w:rPr>
                      <w:rFonts w:hint="default"/>
                      <w:color w:val="auto"/>
                      <w:kern w:val="0"/>
                    </w:rPr>
                    <w:t>年平均</w:t>
                  </w:r>
                </w:p>
              </w:tc>
              <w:tc>
                <w:tcPr>
                  <w:tcW w:w="994" w:type="pct"/>
                  <w:noWrap w:val="0"/>
                  <w:vAlign w:val="center"/>
                </w:tcPr>
                <w:p w14:paraId="253AB7C5">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r>
                    <w:rPr>
                      <w:rFonts w:hint="default"/>
                      <w:color w:val="auto"/>
                      <w:kern w:val="0"/>
                    </w:rPr>
                    <w:t>40μg/Nm</w:t>
                  </w:r>
                  <w:r>
                    <w:rPr>
                      <w:rFonts w:hint="default"/>
                      <w:color w:val="auto"/>
                      <w:kern w:val="0"/>
                      <w:vertAlign w:val="superscript"/>
                    </w:rPr>
                    <w:t>3</w:t>
                  </w:r>
                </w:p>
              </w:tc>
              <w:tc>
                <w:tcPr>
                  <w:tcW w:w="1768" w:type="pct"/>
                  <w:vMerge w:val="continue"/>
                  <w:noWrap w:val="0"/>
                  <w:vAlign w:val="center"/>
                </w:tcPr>
                <w:p w14:paraId="03575E30">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p>
              </w:tc>
            </w:tr>
            <w:tr w14:paraId="70505F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6" w:type="pct"/>
                  <w:vMerge w:val="continue"/>
                  <w:noWrap w:val="0"/>
                  <w:vAlign w:val="center"/>
                </w:tcPr>
                <w:p w14:paraId="026D6DF6">
                  <w:pPr>
                    <w:keepNext w:val="0"/>
                    <w:keepLines w:val="0"/>
                    <w:suppressLineNumbers w:val="0"/>
                    <w:autoSpaceDE w:val="0"/>
                    <w:autoSpaceDN w:val="0"/>
                    <w:adjustRightInd w:val="0"/>
                    <w:spacing w:before="0" w:beforeAutospacing="0" w:after="0" w:afterAutospacing="0"/>
                    <w:ind w:left="0" w:right="0"/>
                    <w:jc w:val="center"/>
                    <w:rPr>
                      <w:rFonts w:hint="default"/>
                      <w:color w:val="auto"/>
                      <w:kern w:val="0"/>
                    </w:rPr>
                  </w:pPr>
                </w:p>
              </w:tc>
              <w:tc>
                <w:tcPr>
                  <w:tcW w:w="1210" w:type="pct"/>
                  <w:noWrap w:val="0"/>
                  <w:vAlign w:val="center"/>
                </w:tcPr>
                <w:p w14:paraId="045A84A4">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r>
                    <w:rPr>
                      <w:rFonts w:hint="default"/>
                      <w:color w:val="auto"/>
                      <w:kern w:val="0"/>
                    </w:rPr>
                    <w:t>24小时平均</w:t>
                  </w:r>
                </w:p>
              </w:tc>
              <w:tc>
                <w:tcPr>
                  <w:tcW w:w="994" w:type="pct"/>
                  <w:noWrap w:val="0"/>
                  <w:vAlign w:val="center"/>
                </w:tcPr>
                <w:p w14:paraId="40AF3013">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r>
                    <w:rPr>
                      <w:rFonts w:hint="eastAsia"/>
                      <w:color w:val="auto"/>
                      <w:kern w:val="0"/>
                      <w:lang w:val="en-US" w:eastAsia="zh-CN"/>
                    </w:rPr>
                    <w:t>8</w:t>
                  </w:r>
                  <w:r>
                    <w:rPr>
                      <w:rFonts w:hint="default"/>
                      <w:color w:val="auto"/>
                      <w:kern w:val="0"/>
                    </w:rPr>
                    <w:t>0μg/Nm</w:t>
                  </w:r>
                  <w:r>
                    <w:rPr>
                      <w:rFonts w:hint="default"/>
                      <w:color w:val="auto"/>
                      <w:kern w:val="0"/>
                      <w:vertAlign w:val="superscript"/>
                    </w:rPr>
                    <w:t>3</w:t>
                  </w:r>
                </w:p>
              </w:tc>
              <w:tc>
                <w:tcPr>
                  <w:tcW w:w="1768" w:type="pct"/>
                  <w:vMerge w:val="continue"/>
                  <w:noWrap w:val="0"/>
                  <w:vAlign w:val="center"/>
                </w:tcPr>
                <w:p w14:paraId="40A4AC6E">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p>
              </w:tc>
            </w:tr>
            <w:tr w14:paraId="29D3A8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6" w:type="pct"/>
                  <w:vMerge w:val="continue"/>
                  <w:noWrap w:val="0"/>
                  <w:vAlign w:val="center"/>
                </w:tcPr>
                <w:p w14:paraId="7F30502A">
                  <w:pPr>
                    <w:keepNext w:val="0"/>
                    <w:keepLines w:val="0"/>
                    <w:suppressLineNumbers w:val="0"/>
                    <w:autoSpaceDE w:val="0"/>
                    <w:autoSpaceDN w:val="0"/>
                    <w:adjustRightInd w:val="0"/>
                    <w:spacing w:before="0" w:beforeAutospacing="0" w:after="0" w:afterAutospacing="0"/>
                    <w:ind w:left="0" w:right="0"/>
                    <w:jc w:val="center"/>
                    <w:rPr>
                      <w:rFonts w:hint="default"/>
                      <w:color w:val="auto"/>
                      <w:kern w:val="0"/>
                    </w:rPr>
                  </w:pPr>
                </w:p>
              </w:tc>
              <w:tc>
                <w:tcPr>
                  <w:tcW w:w="1210" w:type="pct"/>
                  <w:noWrap w:val="0"/>
                  <w:vAlign w:val="center"/>
                </w:tcPr>
                <w:p w14:paraId="37C4AC82">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r>
                    <w:rPr>
                      <w:rFonts w:hint="eastAsia"/>
                      <w:color w:val="auto"/>
                      <w:kern w:val="0"/>
                      <w:lang w:val="en-US" w:eastAsia="zh-CN"/>
                    </w:rPr>
                    <w:t>1小时平均</w:t>
                  </w:r>
                </w:p>
              </w:tc>
              <w:tc>
                <w:tcPr>
                  <w:tcW w:w="994" w:type="pct"/>
                  <w:noWrap w:val="0"/>
                  <w:vAlign w:val="center"/>
                </w:tcPr>
                <w:p w14:paraId="69764A4C">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r>
                    <w:rPr>
                      <w:rFonts w:hint="eastAsia"/>
                      <w:color w:val="auto"/>
                      <w:kern w:val="0"/>
                      <w:lang w:val="en-US" w:eastAsia="zh-CN"/>
                    </w:rPr>
                    <w:t>20</w:t>
                  </w:r>
                  <w:r>
                    <w:rPr>
                      <w:rFonts w:hint="default"/>
                      <w:color w:val="auto"/>
                      <w:kern w:val="0"/>
                    </w:rPr>
                    <w:t>0μg/Nm</w:t>
                  </w:r>
                  <w:r>
                    <w:rPr>
                      <w:rFonts w:hint="default"/>
                      <w:color w:val="auto"/>
                      <w:kern w:val="0"/>
                      <w:vertAlign w:val="superscript"/>
                    </w:rPr>
                    <w:t>3</w:t>
                  </w:r>
                </w:p>
              </w:tc>
              <w:tc>
                <w:tcPr>
                  <w:tcW w:w="1768" w:type="pct"/>
                  <w:vMerge w:val="continue"/>
                  <w:noWrap w:val="0"/>
                  <w:vAlign w:val="center"/>
                </w:tcPr>
                <w:p w14:paraId="56327324">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p>
              </w:tc>
            </w:tr>
            <w:tr w14:paraId="69B581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6" w:type="pct"/>
                  <w:vMerge w:val="restart"/>
                  <w:noWrap w:val="0"/>
                  <w:vAlign w:val="center"/>
                </w:tcPr>
                <w:p w14:paraId="34AB1CA0">
                  <w:pPr>
                    <w:keepNext w:val="0"/>
                    <w:keepLines w:val="0"/>
                    <w:suppressLineNumbers w:val="0"/>
                    <w:autoSpaceDE w:val="0"/>
                    <w:autoSpaceDN w:val="0"/>
                    <w:adjustRightInd w:val="0"/>
                    <w:spacing w:before="0" w:beforeAutospacing="0" w:after="0" w:afterAutospacing="0"/>
                    <w:ind w:left="0" w:right="0"/>
                    <w:jc w:val="center"/>
                    <w:rPr>
                      <w:rFonts w:hint="eastAsia"/>
                      <w:color w:val="auto"/>
                      <w:kern w:val="0"/>
                    </w:rPr>
                  </w:pPr>
                  <w:r>
                    <w:rPr>
                      <w:rFonts w:hint="default"/>
                      <w:color w:val="auto"/>
                      <w:kern w:val="0"/>
                    </w:rPr>
                    <w:t>CO</w:t>
                  </w:r>
                </w:p>
              </w:tc>
              <w:tc>
                <w:tcPr>
                  <w:tcW w:w="1210" w:type="pct"/>
                  <w:noWrap w:val="0"/>
                  <w:vAlign w:val="center"/>
                </w:tcPr>
                <w:p w14:paraId="560F647E">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r>
                    <w:rPr>
                      <w:rFonts w:hint="default"/>
                      <w:color w:val="auto"/>
                      <w:kern w:val="0"/>
                    </w:rPr>
                    <w:t>24小时平均</w:t>
                  </w:r>
                </w:p>
              </w:tc>
              <w:tc>
                <w:tcPr>
                  <w:tcW w:w="994" w:type="pct"/>
                  <w:noWrap w:val="0"/>
                  <w:vAlign w:val="center"/>
                </w:tcPr>
                <w:p w14:paraId="2603D51D">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r>
                    <w:rPr>
                      <w:rFonts w:hint="default"/>
                      <w:color w:val="auto"/>
                      <w:kern w:val="0"/>
                    </w:rPr>
                    <w:t>4mg/Nm</w:t>
                  </w:r>
                  <w:r>
                    <w:rPr>
                      <w:rFonts w:hint="default"/>
                      <w:color w:val="auto"/>
                      <w:kern w:val="0"/>
                      <w:vertAlign w:val="superscript"/>
                    </w:rPr>
                    <w:t>3</w:t>
                  </w:r>
                </w:p>
              </w:tc>
              <w:tc>
                <w:tcPr>
                  <w:tcW w:w="1768" w:type="pct"/>
                  <w:vMerge w:val="continue"/>
                  <w:noWrap w:val="0"/>
                  <w:vAlign w:val="center"/>
                </w:tcPr>
                <w:p w14:paraId="0D2328BD">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p>
              </w:tc>
            </w:tr>
            <w:tr w14:paraId="47464F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6" w:type="pct"/>
                  <w:vMerge w:val="continue"/>
                  <w:noWrap w:val="0"/>
                  <w:vAlign w:val="center"/>
                </w:tcPr>
                <w:p w14:paraId="6BDD0C01">
                  <w:pPr>
                    <w:keepNext w:val="0"/>
                    <w:keepLines w:val="0"/>
                    <w:suppressLineNumbers w:val="0"/>
                    <w:autoSpaceDE w:val="0"/>
                    <w:autoSpaceDN w:val="0"/>
                    <w:adjustRightInd w:val="0"/>
                    <w:spacing w:before="0" w:beforeAutospacing="0" w:after="0" w:afterAutospacing="0"/>
                    <w:ind w:left="0" w:right="0"/>
                    <w:jc w:val="center"/>
                    <w:rPr>
                      <w:rFonts w:hint="default"/>
                      <w:color w:val="auto"/>
                      <w:kern w:val="0"/>
                    </w:rPr>
                  </w:pPr>
                </w:p>
              </w:tc>
              <w:tc>
                <w:tcPr>
                  <w:tcW w:w="1210" w:type="pct"/>
                  <w:noWrap w:val="0"/>
                  <w:vAlign w:val="center"/>
                </w:tcPr>
                <w:p w14:paraId="0B805D98">
                  <w:pPr>
                    <w:keepNext w:val="0"/>
                    <w:keepLines w:val="0"/>
                    <w:suppressLineNumbers w:val="0"/>
                    <w:autoSpaceDE w:val="0"/>
                    <w:autoSpaceDN w:val="0"/>
                    <w:adjustRightInd w:val="0"/>
                    <w:spacing w:before="0" w:beforeAutospacing="0" w:after="0" w:afterAutospacing="0" w:line="360" w:lineRule="exact"/>
                    <w:ind w:left="0" w:right="0"/>
                    <w:jc w:val="center"/>
                    <w:rPr>
                      <w:rFonts w:hint="eastAsia" w:eastAsia="宋体"/>
                      <w:color w:val="auto"/>
                      <w:kern w:val="0"/>
                      <w:lang w:val="en-US" w:eastAsia="zh-CN"/>
                    </w:rPr>
                  </w:pPr>
                  <w:r>
                    <w:rPr>
                      <w:rFonts w:hint="eastAsia"/>
                      <w:color w:val="auto"/>
                      <w:kern w:val="0"/>
                      <w:lang w:val="en-US" w:eastAsia="zh-CN"/>
                    </w:rPr>
                    <w:t>1小时平均</w:t>
                  </w:r>
                </w:p>
              </w:tc>
              <w:tc>
                <w:tcPr>
                  <w:tcW w:w="994" w:type="pct"/>
                  <w:noWrap w:val="0"/>
                  <w:vAlign w:val="center"/>
                </w:tcPr>
                <w:p w14:paraId="53387A61">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r>
                    <w:rPr>
                      <w:rFonts w:hint="eastAsia"/>
                      <w:color w:val="auto"/>
                      <w:kern w:val="0"/>
                      <w:lang w:val="en-US" w:eastAsia="zh-CN"/>
                    </w:rPr>
                    <w:t>10</w:t>
                  </w:r>
                  <w:r>
                    <w:rPr>
                      <w:rFonts w:hint="default"/>
                      <w:color w:val="auto"/>
                      <w:kern w:val="0"/>
                    </w:rPr>
                    <w:t>mg/Nm</w:t>
                  </w:r>
                  <w:r>
                    <w:rPr>
                      <w:rFonts w:hint="default"/>
                      <w:color w:val="auto"/>
                      <w:kern w:val="0"/>
                      <w:vertAlign w:val="superscript"/>
                    </w:rPr>
                    <w:t>3</w:t>
                  </w:r>
                </w:p>
              </w:tc>
              <w:tc>
                <w:tcPr>
                  <w:tcW w:w="1768" w:type="pct"/>
                  <w:vMerge w:val="continue"/>
                  <w:noWrap w:val="0"/>
                  <w:vAlign w:val="center"/>
                </w:tcPr>
                <w:p w14:paraId="25592011">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p>
              </w:tc>
            </w:tr>
            <w:tr w14:paraId="693355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6" w:type="pct"/>
                  <w:vMerge w:val="restart"/>
                  <w:noWrap w:val="0"/>
                  <w:vAlign w:val="center"/>
                </w:tcPr>
                <w:p w14:paraId="06364B9B">
                  <w:pPr>
                    <w:keepNext w:val="0"/>
                    <w:keepLines w:val="0"/>
                    <w:suppressLineNumbers w:val="0"/>
                    <w:autoSpaceDE w:val="0"/>
                    <w:autoSpaceDN w:val="0"/>
                    <w:adjustRightInd w:val="0"/>
                    <w:spacing w:before="0" w:beforeAutospacing="0" w:after="0" w:afterAutospacing="0"/>
                    <w:ind w:left="0" w:right="0"/>
                    <w:jc w:val="center"/>
                    <w:rPr>
                      <w:rFonts w:hint="eastAsia"/>
                      <w:color w:val="auto"/>
                      <w:kern w:val="0"/>
                    </w:rPr>
                  </w:pPr>
                  <w:r>
                    <w:rPr>
                      <w:rFonts w:hint="default"/>
                      <w:color w:val="auto"/>
                      <w:kern w:val="0"/>
                    </w:rPr>
                    <w:t>O</w:t>
                  </w:r>
                  <w:r>
                    <w:rPr>
                      <w:rFonts w:hint="default"/>
                      <w:color w:val="auto"/>
                      <w:kern w:val="0"/>
                      <w:vertAlign w:val="subscript"/>
                    </w:rPr>
                    <w:t>3</w:t>
                  </w:r>
                </w:p>
              </w:tc>
              <w:tc>
                <w:tcPr>
                  <w:tcW w:w="1210" w:type="pct"/>
                  <w:noWrap w:val="0"/>
                  <w:vAlign w:val="center"/>
                </w:tcPr>
                <w:p w14:paraId="714F19B9">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r>
                    <w:rPr>
                      <w:rFonts w:hint="default"/>
                      <w:color w:val="auto"/>
                      <w:kern w:val="0"/>
                    </w:rPr>
                    <w:t>日最大8小时平均</w:t>
                  </w:r>
                </w:p>
              </w:tc>
              <w:tc>
                <w:tcPr>
                  <w:tcW w:w="994" w:type="pct"/>
                  <w:noWrap w:val="0"/>
                  <w:vAlign w:val="center"/>
                </w:tcPr>
                <w:p w14:paraId="30D60809">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r>
                    <w:rPr>
                      <w:rFonts w:hint="default"/>
                      <w:color w:val="auto"/>
                      <w:kern w:val="0"/>
                    </w:rPr>
                    <w:t>160μg/Nm</w:t>
                  </w:r>
                  <w:r>
                    <w:rPr>
                      <w:rFonts w:hint="default"/>
                      <w:color w:val="auto"/>
                      <w:kern w:val="0"/>
                      <w:vertAlign w:val="superscript"/>
                    </w:rPr>
                    <w:t>3</w:t>
                  </w:r>
                </w:p>
              </w:tc>
              <w:tc>
                <w:tcPr>
                  <w:tcW w:w="1768" w:type="pct"/>
                  <w:vMerge w:val="continue"/>
                  <w:noWrap w:val="0"/>
                  <w:vAlign w:val="center"/>
                </w:tcPr>
                <w:p w14:paraId="2FEF534A">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p>
              </w:tc>
            </w:tr>
            <w:tr w14:paraId="3BAAC7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6" w:type="pct"/>
                  <w:vMerge w:val="continue"/>
                  <w:noWrap w:val="0"/>
                  <w:vAlign w:val="center"/>
                </w:tcPr>
                <w:p w14:paraId="54D8FF93">
                  <w:pPr>
                    <w:keepNext w:val="0"/>
                    <w:keepLines w:val="0"/>
                    <w:suppressLineNumbers w:val="0"/>
                    <w:autoSpaceDE w:val="0"/>
                    <w:autoSpaceDN w:val="0"/>
                    <w:adjustRightInd w:val="0"/>
                    <w:spacing w:before="0" w:beforeAutospacing="0" w:after="0" w:afterAutospacing="0"/>
                    <w:ind w:left="0" w:right="0"/>
                    <w:jc w:val="center"/>
                    <w:rPr>
                      <w:rFonts w:hint="default"/>
                      <w:color w:val="auto"/>
                      <w:kern w:val="0"/>
                    </w:rPr>
                  </w:pPr>
                </w:p>
              </w:tc>
              <w:tc>
                <w:tcPr>
                  <w:tcW w:w="1210" w:type="pct"/>
                  <w:noWrap w:val="0"/>
                  <w:vAlign w:val="center"/>
                </w:tcPr>
                <w:p w14:paraId="05F86632">
                  <w:pPr>
                    <w:keepNext w:val="0"/>
                    <w:keepLines w:val="0"/>
                    <w:suppressLineNumbers w:val="0"/>
                    <w:autoSpaceDE w:val="0"/>
                    <w:autoSpaceDN w:val="0"/>
                    <w:adjustRightInd w:val="0"/>
                    <w:spacing w:before="0" w:beforeAutospacing="0" w:after="0" w:afterAutospacing="0" w:line="360" w:lineRule="exact"/>
                    <w:ind w:left="0" w:right="0"/>
                    <w:jc w:val="center"/>
                    <w:rPr>
                      <w:rFonts w:hint="eastAsia" w:eastAsia="宋体"/>
                      <w:color w:val="auto"/>
                      <w:kern w:val="0"/>
                      <w:lang w:val="en-US" w:eastAsia="zh-CN"/>
                    </w:rPr>
                  </w:pPr>
                  <w:r>
                    <w:rPr>
                      <w:rFonts w:hint="eastAsia"/>
                      <w:color w:val="auto"/>
                      <w:kern w:val="0"/>
                      <w:lang w:val="en-US" w:eastAsia="zh-CN"/>
                    </w:rPr>
                    <w:t>1小时平均</w:t>
                  </w:r>
                </w:p>
              </w:tc>
              <w:tc>
                <w:tcPr>
                  <w:tcW w:w="994" w:type="pct"/>
                  <w:noWrap w:val="0"/>
                  <w:vAlign w:val="center"/>
                </w:tcPr>
                <w:p w14:paraId="201223D8">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Times New Roman" w:hAnsi="Times New Roman" w:eastAsia="宋体" w:cs="Times New Roman"/>
                      <w:color w:val="auto"/>
                      <w:kern w:val="0"/>
                    </w:rPr>
                  </w:pPr>
                  <w:r>
                    <w:rPr>
                      <w:rFonts w:hint="eastAsia" w:ascii="Times New Roman" w:hAnsi="Times New Roman" w:eastAsia="宋体" w:cs="Times New Roman"/>
                      <w:color w:val="auto"/>
                      <w:kern w:val="0"/>
                      <w:lang w:val="en-US" w:eastAsia="zh-CN"/>
                    </w:rPr>
                    <w:t>200</w:t>
                  </w:r>
                  <w:r>
                    <w:rPr>
                      <w:rFonts w:hint="default" w:ascii="Times New Roman" w:hAnsi="Times New Roman" w:eastAsia="宋体" w:cs="Times New Roman"/>
                      <w:color w:val="auto"/>
                      <w:kern w:val="0"/>
                    </w:rPr>
                    <w:t>μg/Nm</w:t>
                  </w:r>
                  <w:r>
                    <w:rPr>
                      <w:rFonts w:hint="default" w:ascii="Times New Roman" w:hAnsi="Times New Roman" w:eastAsia="宋体" w:cs="Times New Roman"/>
                      <w:color w:val="auto"/>
                      <w:kern w:val="0"/>
                      <w:vertAlign w:val="superscript"/>
                    </w:rPr>
                    <w:t>3</w:t>
                  </w:r>
                </w:p>
              </w:tc>
              <w:tc>
                <w:tcPr>
                  <w:tcW w:w="1768" w:type="pct"/>
                  <w:vMerge w:val="continue"/>
                  <w:noWrap w:val="0"/>
                  <w:vAlign w:val="center"/>
                </w:tcPr>
                <w:p w14:paraId="06B9D5A8">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p>
              </w:tc>
            </w:tr>
            <w:tr w14:paraId="5285E9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6" w:type="pct"/>
                  <w:vMerge w:val="restart"/>
                  <w:noWrap w:val="0"/>
                  <w:vAlign w:val="center"/>
                </w:tcPr>
                <w:p w14:paraId="680950E0">
                  <w:pPr>
                    <w:keepNext w:val="0"/>
                    <w:keepLines w:val="0"/>
                    <w:suppressLineNumbers w:val="0"/>
                    <w:autoSpaceDE w:val="0"/>
                    <w:autoSpaceDN w:val="0"/>
                    <w:adjustRightInd w:val="0"/>
                    <w:spacing w:before="0" w:beforeAutospacing="0" w:after="0" w:afterAutospacing="0"/>
                    <w:ind w:left="0" w:right="0"/>
                    <w:jc w:val="center"/>
                    <w:rPr>
                      <w:rFonts w:hint="default"/>
                      <w:color w:val="auto"/>
                      <w:kern w:val="0"/>
                    </w:rPr>
                  </w:pPr>
                  <w:r>
                    <w:rPr>
                      <w:rFonts w:hint="eastAsia"/>
                      <w:color w:val="auto"/>
                      <w:kern w:val="0"/>
                    </w:rPr>
                    <w:t>TSP</w:t>
                  </w:r>
                </w:p>
              </w:tc>
              <w:tc>
                <w:tcPr>
                  <w:tcW w:w="1210" w:type="pct"/>
                  <w:noWrap w:val="0"/>
                  <w:vAlign w:val="center"/>
                </w:tcPr>
                <w:p w14:paraId="5C3BC486">
                  <w:pPr>
                    <w:keepNext w:val="0"/>
                    <w:keepLines w:val="0"/>
                    <w:suppressLineNumbers w:val="0"/>
                    <w:autoSpaceDE w:val="0"/>
                    <w:autoSpaceDN w:val="0"/>
                    <w:adjustRightInd w:val="0"/>
                    <w:spacing w:before="0" w:beforeAutospacing="0" w:after="0" w:afterAutospacing="0" w:line="360" w:lineRule="exact"/>
                    <w:ind w:left="0" w:right="0"/>
                    <w:jc w:val="center"/>
                    <w:rPr>
                      <w:rFonts w:hint="eastAsia"/>
                      <w:color w:val="auto"/>
                      <w:kern w:val="0"/>
                      <w:lang w:val="en-US" w:eastAsia="zh-CN"/>
                    </w:rPr>
                  </w:pPr>
                  <w:r>
                    <w:rPr>
                      <w:rFonts w:hint="eastAsia"/>
                      <w:color w:val="auto"/>
                      <w:kern w:val="0"/>
                      <w:lang w:eastAsia="zh-CN"/>
                    </w:rPr>
                    <w:t>年平均</w:t>
                  </w:r>
                </w:p>
              </w:tc>
              <w:tc>
                <w:tcPr>
                  <w:tcW w:w="994" w:type="pct"/>
                  <w:noWrap w:val="0"/>
                  <w:vAlign w:val="center"/>
                </w:tcPr>
                <w:p w14:paraId="0849B760">
                  <w:pPr>
                    <w:keepNext w:val="0"/>
                    <w:keepLines w:val="0"/>
                    <w:suppressLineNumbers w:val="0"/>
                    <w:autoSpaceDE w:val="0"/>
                    <w:autoSpaceDN w:val="0"/>
                    <w:adjustRightInd w:val="0"/>
                    <w:spacing w:before="0" w:beforeAutospacing="0" w:after="0" w:afterAutospacing="0" w:line="360" w:lineRule="exact"/>
                    <w:ind w:left="0" w:right="0"/>
                    <w:jc w:val="center"/>
                    <w:rPr>
                      <w:rFonts w:hint="eastAsia"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200</w:t>
                  </w:r>
                  <w:r>
                    <w:rPr>
                      <w:rFonts w:hint="default" w:ascii="Times New Roman" w:hAnsi="Times New Roman" w:eastAsia="宋体" w:cs="Times New Roman"/>
                      <w:color w:val="auto"/>
                      <w:kern w:val="0"/>
                    </w:rPr>
                    <w:t>μg/Nm</w:t>
                  </w:r>
                  <w:r>
                    <w:rPr>
                      <w:rFonts w:hint="default" w:ascii="Times New Roman" w:hAnsi="Times New Roman" w:eastAsia="宋体" w:cs="Times New Roman"/>
                      <w:color w:val="auto"/>
                      <w:kern w:val="0"/>
                      <w:vertAlign w:val="superscript"/>
                    </w:rPr>
                    <w:t>3</w:t>
                  </w:r>
                </w:p>
              </w:tc>
              <w:tc>
                <w:tcPr>
                  <w:tcW w:w="1768" w:type="pct"/>
                  <w:vMerge w:val="continue"/>
                  <w:noWrap w:val="0"/>
                  <w:vAlign w:val="center"/>
                </w:tcPr>
                <w:p w14:paraId="52B8AA8F">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p>
              </w:tc>
            </w:tr>
            <w:tr w14:paraId="73BEA1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6" w:type="pct"/>
                  <w:vMerge w:val="continue"/>
                  <w:noWrap w:val="0"/>
                  <w:vAlign w:val="center"/>
                </w:tcPr>
                <w:p w14:paraId="602C83CB">
                  <w:pPr>
                    <w:keepNext w:val="0"/>
                    <w:keepLines w:val="0"/>
                    <w:suppressLineNumbers w:val="0"/>
                    <w:autoSpaceDE w:val="0"/>
                    <w:autoSpaceDN w:val="0"/>
                    <w:adjustRightInd w:val="0"/>
                    <w:spacing w:before="0" w:beforeAutospacing="0" w:after="0" w:afterAutospacing="0"/>
                    <w:ind w:left="0" w:right="0"/>
                    <w:jc w:val="center"/>
                    <w:rPr>
                      <w:rFonts w:hint="default"/>
                      <w:color w:val="auto"/>
                      <w:kern w:val="0"/>
                    </w:rPr>
                  </w:pPr>
                </w:p>
              </w:tc>
              <w:tc>
                <w:tcPr>
                  <w:tcW w:w="1210" w:type="pct"/>
                  <w:noWrap w:val="0"/>
                  <w:vAlign w:val="center"/>
                </w:tcPr>
                <w:p w14:paraId="72189310">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r>
                    <w:rPr>
                      <w:rFonts w:hint="default"/>
                      <w:color w:val="auto"/>
                      <w:kern w:val="0"/>
                    </w:rPr>
                    <w:t>24小时平均</w:t>
                  </w:r>
                </w:p>
              </w:tc>
              <w:tc>
                <w:tcPr>
                  <w:tcW w:w="994" w:type="pct"/>
                  <w:noWrap w:val="0"/>
                  <w:vAlign w:val="center"/>
                </w:tcPr>
                <w:p w14:paraId="332BDBFB">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lang w:val="en-US" w:eastAsia="zh-CN"/>
                    </w:rPr>
                    <w:t>300</w:t>
                  </w:r>
                  <w:r>
                    <w:rPr>
                      <w:rFonts w:hint="default" w:ascii="Times New Roman" w:hAnsi="Times New Roman" w:eastAsia="宋体" w:cs="Times New Roman"/>
                      <w:color w:val="auto"/>
                      <w:kern w:val="0"/>
                    </w:rPr>
                    <w:t>μg/Nm</w:t>
                  </w:r>
                  <w:r>
                    <w:rPr>
                      <w:rFonts w:hint="default" w:ascii="Times New Roman" w:hAnsi="Times New Roman" w:eastAsia="宋体" w:cs="Times New Roman"/>
                      <w:color w:val="auto"/>
                      <w:kern w:val="0"/>
                      <w:vertAlign w:val="superscript"/>
                    </w:rPr>
                    <w:t>3</w:t>
                  </w:r>
                </w:p>
              </w:tc>
              <w:tc>
                <w:tcPr>
                  <w:tcW w:w="1768" w:type="pct"/>
                  <w:vMerge w:val="continue"/>
                  <w:noWrap w:val="0"/>
                  <w:vAlign w:val="center"/>
                </w:tcPr>
                <w:p w14:paraId="5A23A4DB">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p>
              </w:tc>
            </w:tr>
            <w:tr w14:paraId="7A2A78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026" w:type="pct"/>
                  <w:noWrap w:val="0"/>
                  <w:vAlign w:val="center"/>
                </w:tcPr>
                <w:p w14:paraId="68AFCE34">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r>
                    <w:rPr>
                      <w:rFonts w:hint="default"/>
                      <w:color w:val="auto"/>
                      <w:kern w:val="0"/>
                    </w:rPr>
                    <w:t>非甲烷总烃</w:t>
                  </w:r>
                </w:p>
              </w:tc>
              <w:tc>
                <w:tcPr>
                  <w:tcW w:w="1210" w:type="pct"/>
                  <w:noWrap w:val="0"/>
                  <w:vAlign w:val="center"/>
                </w:tcPr>
                <w:p w14:paraId="352988C2">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r>
                    <w:rPr>
                      <w:rFonts w:hint="default"/>
                      <w:color w:val="auto"/>
                      <w:kern w:val="0"/>
                    </w:rPr>
                    <w:t>1小时平均</w:t>
                  </w:r>
                </w:p>
              </w:tc>
              <w:tc>
                <w:tcPr>
                  <w:tcW w:w="994" w:type="pct"/>
                  <w:noWrap w:val="0"/>
                  <w:vAlign w:val="center"/>
                </w:tcPr>
                <w:p w14:paraId="237120E5">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rPr>
                  </w:pPr>
                  <w:r>
                    <w:rPr>
                      <w:rFonts w:hint="default"/>
                      <w:color w:val="auto"/>
                      <w:kern w:val="0"/>
                    </w:rPr>
                    <w:t>2.0mg/m</w:t>
                  </w:r>
                  <w:r>
                    <w:rPr>
                      <w:rFonts w:hint="default"/>
                      <w:color w:val="auto"/>
                      <w:kern w:val="0"/>
                      <w:vertAlign w:val="superscript"/>
                    </w:rPr>
                    <w:t>3</w:t>
                  </w:r>
                </w:p>
              </w:tc>
              <w:tc>
                <w:tcPr>
                  <w:tcW w:w="1768" w:type="pct"/>
                  <w:noWrap w:val="0"/>
                  <w:vAlign w:val="center"/>
                </w:tcPr>
                <w:p w14:paraId="68387791">
                  <w:pPr>
                    <w:keepNext w:val="0"/>
                    <w:keepLines w:val="0"/>
                    <w:suppressLineNumbers w:val="0"/>
                    <w:autoSpaceDE w:val="0"/>
                    <w:autoSpaceDN w:val="0"/>
                    <w:adjustRightInd w:val="0"/>
                    <w:spacing w:before="0" w:beforeAutospacing="0" w:after="0" w:afterAutospacing="0"/>
                    <w:ind w:left="0" w:right="0"/>
                    <w:jc w:val="center"/>
                    <w:rPr>
                      <w:rFonts w:hint="default"/>
                      <w:color w:val="auto"/>
                      <w:kern w:val="0"/>
                    </w:rPr>
                  </w:pPr>
                  <w:r>
                    <w:rPr>
                      <w:rFonts w:hint="default"/>
                      <w:color w:val="auto"/>
                      <w:kern w:val="0"/>
                    </w:rPr>
                    <w:t>《环境空气质量非甲烷总烃限值》（DB13/1577-2012）二级标准</w:t>
                  </w:r>
                </w:p>
              </w:tc>
            </w:tr>
          </w:tbl>
          <w:p w14:paraId="151477DA">
            <w:pPr>
              <w:keepNext w:val="0"/>
              <w:keepLines w:val="0"/>
              <w:suppressLineNumbers w:val="0"/>
              <w:spacing w:before="120" w:beforeLines="50" w:beforeAutospacing="0" w:after="0" w:afterAutospacing="0" w:line="360" w:lineRule="auto"/>
              <w:ind w:left="0" w:right="0" w:firstLine="456" w:firstLineChars="200"/>
              <w:rPr>
                <w:rFonts w:hint="default"/>
                <w:color w:val="auto"/>
                <w:sz w:val="24"/>
              </w:rPr>
            </w:pPr>
            <w:r>
              <w:rPr>
                <w:rFonts w:hint="default"/>
                <w:color w:val="auto"/>
                <w:spacing w:val="-6"/>
                <w:sz w:val="24"/>
              </w:rPr>
              <w:t>2、声环境质量执行《</w:t>
            </w:r>
            <w:r>
              <w:rPr>
                <w:rFonts w:hint="default"/>
                <w:color w:val="auto"/>
                <w:sz w:val="24"/>
              </w:rPr>
              <w:t>声环境质量标准》（GB3096-2008）</w:t>
            </w:r>
            <w:r>
              <w:rPr>
                <w:rFonts w:hint="eastAsia"/>
                <w:color w:val="auto"/>
                <w:sz w:val="24"/>
              </w:rPr>
              <w:t>2</w:t>
            </w:r>
            <w:r>
              <w:rPr>
                <w:rFonts w:hint="default"/>
                <w:color w:val="auto"/>
                <w:sz w:val="24"/>
              </w:rPr>
              <w:t>类区标准，具体限值见下表。</w:t>
            </w:r>
          </w:p>
          <w:p w14:paraId="46121085">
            <w:pPr>
              <w:keepNext w:val="0"/>
              <w:keepLines w:val="0"/>
              <w:suppressLineNumbers w:val="0"/>
              <w:adjustRightInd w:val="0"/>
              <w:snapToGrid w:val="0"/>
              <w:spacing w:before="0" w:beforeAutospacing="0" w:after="0" w:afterAutospacing="0" w:line="360" w:lineRule="exact"/>
              <w:ind w:left="0" w:right="0"/>
              <w:jc w:val="center"/>
              <w:rPr>
                <w:rFonts w:hint="default"/>
                <w:b/>
                <w:color w:val="auto"/>
                <w:sz w:val="24"/>
              </w:rPr>
            </w:pPr>
            <w:r>
              <w:rPr>
                <w:rFonts w:hint="default"/>
                <w:b/>
                <w:color w:val="auto"/>
                <w:sz w:val="24"/>
              </w:rPr>
              <w:t>表3-</w:t>
            </w:r>
            <w:r>
              <w:rPr>
                <w:rFonts w:hint="eastAsia"/>
                <w:b/>
                <w:color w:val="auto"/>
                <w:sz w:val="24"/>
              </w:rPr>
              <w:t xml:space="preserve">8 </w:t>
            </w:r>
            <w:r>
              <w:rPr>
                <w:rFonts w:hint="default"/>
                <w:b/>
                <w:color w:val="auto"/>
                <w:sz w:val="24"/>
              </w:rPr>
              <w:t>声</w:t>
            </w:r>
            <w:r>
              <w:rPr>
                <w:rFonts w:hint="eastAsia"/>
                <w:b/>
                <w:color w:val="auto"/>
                <w:sz w:val="24"/>
                <w:lang w:eastAsia="zh-CN"/>
              </w:rPr>
              <w:t>环境</w:t>
            </w:r>
            <w:r>
              <w:rPr>
                <w:rFonts w:hint="default"/>
                <w:b/>
                <w:color w:val="auto"/>
                <w:sz w:val="24"/>
              </w:rPr>
              <w:t>质量标准</w:t>
            </w:r>
            <w:r>
              <w:rPr>
                <w:rFonts w:hint="eastAsia"/>
                <w:b/>
                <w:color w:val="auto"/>
                <w:sz w:val="24"/>
              </w:rPr>
              <w:t xml:space="preserve"> </w:t>
            </w:r>
            <w:r>
              <w:rPr>
                <w:rFonts w:hint="default"/>
                <w:b/>
                <w:color w:val="auto"/>
                <w:sz w:val="24"/>
              </w:rPr>
              <w:t>单位：dB（A）</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58"/>
              <w:gridCol w:w="2058"/>
              <w:gridCol w:w="2059"/>
              <w:gridCol w:w="2059"/>
            </w:tblGrid>
            <w:tr w14:paraId="48A9DF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250" w:type="pct"/>
                  <w:noWrap w:val="0"/>
                  <w:vAlign w:val="center"/>
                </w:tcPr>
                <w:p w14:paraId="4BF5738B">
                  <w:pPr>
                    <w:keepNext w:val="0"/>
                    <w:keepLines w:val="0"/>
                    <w:suppressLineNumbers w:val="0"/>
                    <w:spacing w:before="0" w:beforeAutospacing="0" w:after="0" w:afterAutospacing="0" w:line="360" w:lineRule="exact"/>
                    <w:ind w:left="0" w:right="0"/>
                    <w:jc w:val="center"/>
                    <w:rPr>
                      <w:rFonts w:hint="default"/>
                      <w:color w:val="auto"/>
                    </w:rPr>
                  </w:pPr>
                  <w:r>
                    <w:rPr>
                      <w:rFonts w:hint="default"/>
                      <w:color w:val="auto"/>
                    </w:rPr>
                    <w:t>点位</w:t>
                  </w:r>
                </w:p>
              </w:tc>
              <w:tc>
                <w:tcPr>
                  <w:tcW w:w="1250" w:type="pct"/>
                  <w:noWrap w:val="0"/>
                  <w:vAlign w:val="center"/>
                </w:tcPr>
                <w:p w14:paraId="3544F70E">
                  <w:pPr>
                    <w:keepNext w:val="0"/>
                    <w:keepLines w:val="0"/>
                    <w:suppressLineNumbers w:val="0"/>
                    <w:spacing w:before="0" w:beforeAutospacing="0" w:after="0" w:afterAutospacing="0" w:line="360" w:lineRule="exact"/>
                    <w:ind w:left="0" w:right="0"/>
                    <w:jc w:val="center"/>
                    <w:rPr>
                      <w:rFonts w:hint="default"/>
                      <w:color w:val="auto"/>
                    </w:rPr>
                  </w:pPr>
                  <w:r>
                    <w:rPr>
                      <w:rFonts w:hint="default"/>
                      <w:color w:val="auto"/>
                    </w:rPr>
                    <w:t>类别</w:t>
                  </w:r>
                </w:p>
              </w:tc>
              <w:tc>
                <w:tcPr>
                  <w:tcW w:w="1250" w:type="pct"/>
                  <w:noWrap w:val="0"/>
                  <w:vAlign w:val="center"/>
                </w:tcPr>
                <w:p w14:paraId="4D645EBC">
                  <w:pPr>
                    <w:keepNext w:val="0"/>
                    <w:keepLines w:val="0"/>
                    <w:suppressLineNumbers w:val="0"/>
                    <w:spacing w:before="0" w:beforeAutospacing="0" w:after="0" w:afterAutospacing="0" w:line="360" w:lineRule="exact"/>
                    <w:ind w:left="0" w:right="0"/>
                    <w:jc w:val="center"/>
                    <w:rPr>
                      <w:rFonts w:hint="default"/>
                      <w:color w:val="auto"/>
                    </w:rPr>
                  </w:pPr>
                  <w:r>
                    <w:rPr>
                      <w:rFonts w:hint="default"/>
                      <w:color w:val="auto"/>
                    </w:rPr>
                    <w:t>昼间</w:t>
                  </w:r>
                </w:p>
              </w:tc>
              <w:tc>
                <w:tcPr>
                  <w:tcW w:w="1250" w:type="pct"/>
                  <w:noWrap w:val="0"/>
                  <w:vAlign w:val="center"/>
                </w:tcPr>
                <w:p w14:paraId="4C6275F0">
                  <w:pPr>
                    <w:keepNext w:val="0"/>
                    <w:keepLines w:val="0"/>
                    <w:suppressLineNumbers w:val="0"/>
                    <w:spacing w:before="0" w:beforeAutospacing="0" w:after="0" w:afterAutospacing="0" w:line="360" w:lineRule="exact"/>
                    <w:ind w:left="0" w:right="0"/>
                    <w:jc w:val="center"/>
                    <w:rPr>
                      <w:rFonts w:hint="default"/>
                      <w:color w:val="auto"/>
                    </w:rPr>
                  </w:pPr>
                  <w:r>
                    <w:rPr>
                      <w:rFonts w:hint="default"/>
                      <w:color w:val="auto"/>
                    </w:rPr>
                    <w:t>夜间</w:t>
                  </w:r>
                </w:p>
              </w:tc>
            </w:tr>
            <w:tr w14:paraId="661093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250" w:type="pct"/>
                  <w:noWrap w:val="0"/>
                  <w:vAlign w:val="center"/>
                </w:tcPr>
                <w:p w14:paraId="4B28A32E">
                  <w:pPr>
                    <w:keepNext w:val="0"/>
                    <w:keepLines w:val="0"/>
                    <w:suppressLineNumbers w:val="0"/>
                    <w:spacing w:before="0" w:beforeAutospacing="0" w:after="0" w:afterAutospacing="0" w:line="360" w:lineRule="exact"/>
                    <w:ind w:left="0" w:right="0"/>
                    <w:jc w:val="center"/>
                    <w:rPr>
                      <w:rFonts w:hint="default"/>
                      <w:bCs/>
                      <w:color w:val="auto"/>
                    </w:rPr>
                  </w:pPr>
                  <w:r>
                    <w:rPr>
                      <w:rFonts w:hint="default"/>
                      <w:bCs/>
                      <w:color w:val="auto"/>
                    </w:rPr>
                    <w:t>区域声环境</w:t>
                  </w:r>
                </w:p>
              </w:tc>
              <w:tc>
                <w:tcPr>
                  <w:tcW w:w="1250" w:type="pct"/>
                  <w:noWrap w:val="0"/>
                  <w:vAlign w:val="center"/>
                </w:tcPr>
                <w:p w14:paraId="7D73DD43">
                  <w:pPr>
                    <w:keepNext w:val="0"/>
                    <w:keepLines w:val="0"/>
                    <w:suppressLineNumbers w:val="0"/>
                    <w:spacing w:before="0" w:beforeAutospacing="0" w:after="0" w:afterAutospacing="0" w:line="360" w:lineRule="exact"/>
                    <w:ind w:left="0" w:right="0"/>
                    <w:jc w:val="center"/>
                    <w:rPr>
                      <w:rFonts w:hint="default"/>
                      <w:color w:val="auto"/>
                    </w:rPr>
                  </w:pPr>
                  <w:r>
                    <w:rPr>
                      <w:rFonts w:hint="eastAsia"/>
                      <w:color w:val="auto"/>
                    </w:rPr>
                    <w:t>2</w:t>
                  </w:r>
                </w:p>
              </w:tc>
              <w:tc>
                <w:tcPr>
                  <w:tcW w:w="1250" w:type="pct"/>
                  <w:noWrap w:val="0"/>
                  <w:vAlign w:val="center"/>
                </w:tcPr>
                <w:p w14:paraId="2B0A5883">
                  <w:pPr>
                    <w:keepNext w:val="0"/>
                    <w:keepLines w:val="0"/>
                    <w:suppressLineNumbers w:val="0"/>
                    <w:spacing w:before="0" w:beforeAutospacing="0" w:after="0" w:afterAutospacing="0" w:line="360" w:lineRule="exact"/>
                    <w:ind w:left="0" w:right="0"/>
                    <w:jc w:val="center"/>
                    <w:rPr>
                      <w:rFonts w:hint="default"/>
                      <w:color w:val="auto"/>
                    </w:rPr>
                  </w:pPr>
                  <w:r>
                    <w:rPr>
                      <w:rFonts w:hint="eastAsia"/>
                      <w:color w:val="auto"/>
                    </w:rPr>
                    <w:t>60</w:t>
                  </w:r>
                </w:p>
              </w:tc>
              <w:tc>
                <w:tcPr>
                  <w:tcW w:w="1250" w:type="pct"/>
                  <w:noWrap w:val="0"/>
                  <w:vAlign w:val="center"/>
                </w:tcPr>
                <w:p w14:paraId="6EDE54E7">
                  <w:pPr>
                    <w:keepNext w:val="0"/>
                    <w:keepLines w:val="0"/>
                    <w:suppressLineNumbers w:val="0"/>
                    <w:spacing w:before="0" w:beforeAutospacing="0" w:after="0" w:afterAutospacing="0" w:line="360" w:lineRule="exact"/>
                    <w:ind w:left="0" w:right="0"/>
                    <w:jc w:val="center"/>
                    <w:rPr>
                      <w:rFonts w:hint="default"/>
                      <w:color w:val="auto"/>
                    </w:rPr>
                  </w:pPr>
                  <w:r>
                    <w:rPr>
                      <w:rFonts w:hint="eastAsia"/>
                      <w:color w:val="auto"/>
                    </w:rPr>
                    <w:t>50</w:t>
                  </w:r>
                </w:p>
              </w:tc>
            </w:tr>
          </w:tbl>
          <w:p w14:paraId="31F24989">
            <w:pPr>
              <w:keepNext w:val="0"/>
              <w:keepLines w:val="0"/>
              <w:suppressLineNumbers w:val="0"/>
              <w:spacing w:before="120" w:beforeLines="50" w:beforeAutospacing="0" w:after="0" w:afterAutospacing="0" w:line="360" w:lineRule="auto"/>
              <w:ind w:left="0" w:right="0" w:firstLine="482" w:firstLineChars="200"/>
              <w:rPr>
                <w:rFonts w:hint="eastAsia"/>
                <w:b/>
                <w:color w:val="auto"/>
                <w:sz w:val="24"/>
              </w:rPr>
            </w:pPr>
            <w:r>
              <w:rPr>
                <w:rFonts w:hint="eastAsia"/>
                <w:b/>
                <w:color w:val="auto"/>
                <w:sz w:val="24"/>
              </w:rPr>
              <w:t>二、污染物排放标准</w:t>
            </w:r>
          </w:p>
          <w:p w14:paraId="4329C35B">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color w:val="auto"/>
                <w:sz w:val="24"/>
              </w:rPr>
              <w:t>1、</w:t>
            </w:r>
            <w:r>
              <w:rPr>
                <w:rFonts w:hint="default"/>
                <w:color w:val="auto"/>
                <w:sz w:val="24"/>
              </w:rPr>
              <w:t>项目产生的扬尘排放执行《大气污染物综合排放标准》（GB16297-1996）表2</w:t>
            </w:r>
            <w:r>
              <w:rPr>
                <w:rFonts w:hint="eastAsia"/>
                <w:color w:val="auto"/>
                <w:sz w:val="24"/>
              </w:rPr>
              <w:t>新污染源大气污染物排放限值中的颗粒物无组织排放监控浓度限值</w:t>
            </w:r>
            <w:r>
              <w:rPr>
                <w:rFonts w:hint="default"/>
                <w:color w:val="auto"/>
                <w:sz w:val="24"/>
              </w:rPr>
              <w:t>，非甲烷总烃执行</w:t>
            </w:r>
            <w:r>
              <w:rPr>
                <w:rFonts w:hint="eastAsia"/>
                <w:color w:val="auto"/>
                <w:sz w:val="24"/>
              </w:rPr>
              <w:t>《陆上石油天然气开采工业大气污染物排放标准》（</w:t>
            </w:r>
            <w:r>
              <w:rPr>
                <w:rFonts w:hint="default"/>
                <w:color w:val="auto"/>
                <w:sz w:val="24"/>
              </w:rPr>
              <w:t>GB 39728</w:t>
            </w:r>
            <w:r>
              <w:rPr>
                <w:rFonts w:hint="eastAsia"/>
                <w:color w:val="auto"/>
                <w:sz w:val="24"/>
              </w:rPr>
              <w:t>-</w:t>
            </w:r>
            <w:r>
              <w:rPr>
                <w:rFonts w:hint="default"/>
                <w:color w:val="auto"/>
                <w:sz w:val="24"/>
              </w:rPr>
              <w:t>2020</w:t>
            </w:r>
            <w:r>
              <w:rPr>
                <w:rFonts w:hint="eastAsia"/>
                <w:color w:val="auto"/>
                <w:sz w:val="24"/>
              </w:rPr>
              <w:t>）企业边界污染物控制要求；根据国家环境保护总局《关于柴油发电机排气执行标准的复函》（环函</w:t>
            </w:r>
            <w:r>
              <w:rPr>
                <w:rFonts w:hint="eastAsia"/>
                <w:color w:val="auto"/>
                <w:sz w:val="24"/>
                <w:lang w:eastAsia="zh-CN"/>
              </w:rPr>
              <w:t>〔</w:t>
            </w:r>
            <w:r>
              <w:rPr>
                <w:rFonts w:hint="eastAsia"/>
                <w:color w:val="auto"/>
                <w:sz w:val="24"/>
              </w:rPr>
              <w:t>2005</w:t>
            </w:r>
            <w:r>
              <w:rPr>
                <w:rFonts w:hint="eastAsia"/>
                <w:color w:val="auto"/>
                <w:sz w:val="24"/>
                <w:lang w:eastAsia="zh-CN"/>
              </w:rPr>
              <w:t>〕</w:t>
            </w:r>
            <w:r>
              <w:rPr>
                <w:rFonts w:hint="eastAsia"/>
                <w:color w:val="auto"/>
                <w:sz w:val="24"/>
              </w:rPr>
              <w:t>350号），发电机</w:t>
            </w:r>
            <w:r>
              <w:rPr>
                <w:rFonts w:hint="eastAsia"/>
                <w:color w:val="auto"/>
                <w:sz w:val="24"/>
                <w:lang w:eastAsia="zh-CN"/>
              </w:rPr>
              <w:t>废气</w:t>
            </w:r>
            <w:r>
              <w:rPr>
                <w:rFonts w:hint="eastAsia"/>
                <w:color w:val="auto"/>
                <w:sz w:val="24"/>
              </w:rPr>
              <w:t>排放执行《大气污染物综合排放标准》（GB16297-1996）中表2最高允许排放浓度限值</w:t>
            </w:r>
            <w:r>
              <w:rPr>
                <w:rFonts w:hint="default"/>
                <w:color w:val="auto"/>
                <w:sz w:val="24"/>
              </w:rPr>
              <w:t>，</w:t>
            </w:r>
            <w:r>
              <w:rPr>
                <w:rFonts w:hint="eastAsia"/>
                <w:color w:val="auto"/>
                <w:sz w:val="24"/>
              </w:rPr>
              <w:t>对排气筒高度和排放速率暂不作要求</w:t>
            </w:r>
            <w:r>
              <w:rPr>
                <w:rFonts w:hint="default"/>
                <w:color w:val="auto"/>
                <w:sz w:val="24"/>
              </w:rPr>
              <w:t>，具体数值见下表。</w:t>
            </w:r>
          </w:p>
          <w:p w14:paraId="45F5EFF3">
            <w:pPr>
              <w:keepNext w:val="0"/>
              <w:keepLines w:val="0"/>
              <w:suppressLineNumbers w:val="0"/>
              <w:autoSpaceDE w:val="0"/>
              <w:autoSpaceDN w:val="0"/>
              <w:adjustRightInd w:val="0"/>
              <w:spacing w:before="0" w:beforeAutospacing="0" w:after="0" w:afterAutospacing="0"/>
              <w:ind w:left="0" w:right="0"/>
              <w:jc w:val="center"/>
              <w:rPr>
                <w:rFonts w:hint="default"/>
                <w:b/>
                <w:color w:val="auto"/>
                <w:kern w:val="0"/>
                <w:sz w:val="24"/>
              </w:rPr>
            </w:pPr>
            <w:r>
              <w:rPr>
                <w:rFonts w:hint="default"/>
                <w:b/>
                <w:color w:val="auto"/>
                <w:kern w:val="0"/>
                <w:sz w:val="24"/>
              </w:rPr>
              <w:t>表</w:t>
            </w:r>
            <w:r>
              <w:rPr>
                <w:rFonts w:hint="eastAsia"/>
                <w:b/>
                <w:color w:val="auto"/>
                <w:kern w:val="0"/>
                <w:sz w:val="24"/>
              </w:rPr>
              <w:t>3-9</w:t>
            </w:r>
            <w:r>
              <w:rPr>
                <w:rFonts w:hint="default"/>
                <w:b/>
                <w:color w:val="auto"/>
                <w:kern w:val="0"/>
                <w:sz w:val="24"/>
              </w:rPr>
              <w:t xml:space="preserve"> 污染物排放标准</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9"/>
              <w:gridCol w:w="1181"/>
              <w:gridCol w:w="1403"/>
              <w:gridCol w:w="4751"/>
            </w:tblGrid>
            <w:tr w14:paraId="02DDD2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546" w:type="pct"/>
                  <w:noWrap w:val="0"/>
                  <w:vAlign w:val="center"/>
                </w:tcPr>
                <w:p w14:paraId="78CD0A0F">
                  <w:pPr>
                    <w:pStyle w:val="7"/>
                    <w:keepNext w:val="0"/>
                    <w:keepLines w:val="0"/>
                    <w:suppressLineNumbers w:val="0"/>
                    <w:adjustRightInd w:val="0"/>
                    <w:snapToGrid w:val="0"/>
                    <w:spacing w:before="0" w:beforeAutospacing="0" w:after="0" w:afterAutospacing="0"/>
                    <w:ind w:left="0" w:right="0" w:firstLine="0" w:firstLineChars="0"/>
                    <w:jc w:val="center"/>
                    <w:rPr>
                      <w:rFonts w:hint="default"/>
                      <w:color w:val="auto"/>
                      <w:szCs w:val="21"/>
                    </w:rPr>
                  </w:pPr>
                  <w:r>
                    <w:rPr>
                      <w:rFonts w:hint="default"/>
                      <w:color w:val="auto"/>
                      <w:szCs w:val="21"/>
                    </w:rPr>
                    <w:t>污染物名称</w:t>
                  </w:r>
                </w:p>
              </w:tc>
              <w:tc>
                <w:tcPr>
                  <w:tcW w:w="717" w:type="pct"/>
                  <w:noWrap w:val="0"/>
                  <w:vAlign w:val="center"/>
                </w:tcPr>
                <w:p w14:paraId="366D1B3E">
                  <w:pPr>
                    <w:pStyle w:val="7"/>
                    <w:keepNext w:val="0"/>
                    <w:keepLines w:val="0"/>
                    <w:suppressLineNumbers w:val="0"/>
                    <w:adjustRightInd w:val="0"/>
                    <w:snapToGrid w:val="0"/>
                    <w:spacing w:before="0" w:beforeAutospacing="0" w:after="0" w:afterAutospacing="0"/>
                    <w:ind w:left="0" w:right="0" w:firstLine="0" w:firstLineChars="0"/>
                    <w:jc w:val="center"/>
                    <w:rPr>
                      <w:rFonts w:hint="default"/>
                      <w:color w:val="auto"/>
                      <w:szCs w:val="21"/>
                    </w:rPr>
                  </w:pPr>
                  <w:r>
                    <w:rPr>
                      <w:rFonts w:hint="eastAsia"/>
                      <w:color w:val="auto"/>
                      <w:szCs w:val="21"/>
                    </w:rPr>
                    <w:t>取值</w:t>
                  </w:r>
                  <w:r>
                    <w:rPr>
                      <w:rFonts w:hint="default"/>
                      <w:color w:val="auto"/>
                      <w:szCs w:val="21"/>
                    </w:rPr>
                    <w:t>时</w:t>
                  </w:r>
                </w:p>
              </w:tc>
              <w:tc>
                <w:tcPr>
                  <w:tcW w:w="852" w:type="pct"/>
                  <w:noWrap w:val="0"/>
                  <w:vAlign w:val="center"/>
                </w:tcPr>
                <w:p w14:paraId="0C1E356B">
                  <w:pPr>
                    <w:pStyle w:val="7"/>
                    <w:keepNext w:val="0"/>
                    <w:keepLines w:val="0"/>
                    <w:suppressLineNumbers w:val="0"/>
                    <w:adjustRightInd w:val="0"/>
                    <w:snapToGrid w:val="0"/>
                    <w:spacing w:before="0" w:beforeAutospacing="0" w:after="0" w:afterAutospacing="0"/>
                    <w:ind w:left="0" w:right="0" w:firstLine="0" w:firstLineChars="0"/>
                    <w:jc w:val="center"/>
                    <w:rPr>
                      <w:rFonts w:hint="eastAsia"/>
                      <w:color w:val="auto"/>
                      <w:szCs w:val="21"/>
                    </w:rPr>
                  </w:pPr>
                  <w:r>
                    <w:rPr>
                      <w:rFonts w:hint="default"/>
                      <w:color w:val="auto"/>
                      <w:szCs w:val="21"/>
                    </w:rPr>
                    <w:t>浓度限值</w:t>
                  </w:r>
                </w:p>
                <w:p w14:paraId="0EADACB8">
                  <w:pPr>
                    <w:pStyle w:val="7"/>
                    <w:keepNext w:val="0"/>
                    <w:keepLines w:val="0"/>
                    <w:suppressLineNumbers w:val="0"/>
                    <w:adjustRightInd w:val="0"/>
                    <w:snapToGrid w:val="0"/>
                    <w:spacing w:before="0" w:beforeAutospacing="0" w:after="0" w:afterAutospacing="0"/>
                    <w:ind w:left="0" w:right="0" w:firstLine="0" w:firstLineChars="0"/>
                    <w:jc w:val="center"/>
                    <w:rPr>
                      <w:rFonts w:hint="default"/>
                      <w:color w:val="auto"/>
                      <w:szCs w:val="21"/>
                    </w:rPr>
                  </w:pPr>
                  <w:r>
                    <w:rPr>
                      <w:rFonts w:hint="default"/>
                      <w:color w:val="auto"/>
                      <w:szCs w:val="21"/>
                      <w:highlight w:val="none"/>
                    </w:rPr>
                    <w:t>（</w:t>
                  </w:r>
                  <w:r>
                    <w:rPr>
                      <w:rFonts w:hint="default"/>
                      <w:color w:val="auto"/>
                      <w:szCs w:val="21"/>
                    </w:rPr>
                    <w:t>mg/</w:t>
                  </w:r>
                  <w:r>
                    <w:rPr>
                      <w:rFonts w:hint="eastAsia"/>
                      <w:color w:val="auto"/>
                      <w:szCs w:val="21"/>
                    </w:rPr>
                    <w:t>m</w:t>
                  </w:r>
                  <w:r>
                    <w:rPr>
                      <w:rFonts w:hint="default"/>
                      <w:color w:val="auto"/>
                      <w:szCs w:val="21"/>
                      <w:vertAlign w:val="superscript"/>
                    </w:rPr>
                    <w:t>3</w:t>
                  </w:r>
                  <w:r>
                    <w:rPr>
                      <w:rFonts w:hint="default"/>
                      <w:color w:val="auto"/>
                      <w:szCs w:val="21"/>
                      <w:highlight w:val="none"/>
                    </w:rPr>
                    <w:t>）</w:t>
                  </w:r>
                </w:p>
              </w:tc>
              <w:tc>
                <w:tcPr>
                  <w:tcW w:w="2886" w:type="pct"/>
                  <w:noWrap w:val="0"/>
                  <w:vAlign w:val="center"/>
                </w:tcPr>
                <w:p w14:paraId="3289F06F">
                  <w:pPr>
                    <w:pStyle w:val="7"/>
                    <w:keepNext w:val="0"/>
                    <w:keepLines w:val="0"/>
                    <w:suppressLineNumbers w:val="0"/>
                    <w:adjustRightInd w:val="0"/>
                    <w:snapToGrid w:val="0"/>
                    <w:spacing w:before="0" w:beforeAutospacing="0" w:after="0" w:afterAutospacing="0"/>
                    <w:ind w:left="0" w:right="0" w:firstLine="0" w:firstLineChars="0"/>
                    <w:jc w:val="center"/>
                    <w:rPr>
                      <w:rFonts w:hint="default"/>
                      <w:color w:val="auto"/>
                      <w:szCs w:val="21"/>
                    </w:rPr>
                  </w:pPr>
                  <w:r>
                    <w:rPr>
                      <w:rFonts w:hint="default"/>
                      <w:color w:val="auto"/>
                      <w:szCs w:val="21"/>
                    </w:rPr>
                    <w:t>执行标准</w:t>
                  </w:r>
                </w:p>
              </w:tc>
            </w:tr>
            <w:tr w14:paraId="01E7DB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4" w:hRule="atLeast"/>
                <w:jc w:val="center"/>
              </w:trPr>
              <w:tc>
                <w:tcPr>
                  <w:tcW w:w="546" w:type="pct"/>
                  <w:noWrap w:val="0"/>
                  <w:vAlign w:val="center"/>
                </w:tcPr>
                <w:p w14:paraId="1323C6CF">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szCs w:val="21"/>
                    </w:rPr>
                  </w:pPr>
                  <w:r>
                    <w:rPr>
                      <w:rFonts w:hint="default"/>
                      <w:color w:val="auto"/>
                      <w:szCs w:val="21"/>
                    </w:rPr>
                    <w:t>颗粒物</w:t>
                  </w:r>
                </w:p>
              </w:tc>
              <w:tc>
                <w:tcPr>
                  <w:tcW w:w="717" w:type="pct"/>
                  <w:noWrap w:val="0"/>
                  <w:vAlign w:val="center"/>
                </w:tcPr>
                <w:p w14:paraId="1EAE3622">
                  <w:pPr>
                    <w:pStyle w:val="7"/>
                    <w:keepNext w:val="0"/>
                    <w:keepLines w:val="0"/>
                    <w:suppressLineNumbers w:val="0"/>
                    <w:adjustRightInd w:val="0"/>
                    <w:snapToGrid w:val="0"/>
                    <w:spacing w:before="0" w:beforeAutospacing="0" w:after="0" w:afterAutospacing="0"/>
                    <w:ind w:left="0" w:right="0" w:firstLine="0" w:firstLineChars="0"/>
                    <w:jc w:val="center"/>
                    <w:rPr>
                      <w:rFonts w:hint="default"/>
                      <w:color w:val="auto"/>
                      <w:szCs w:val="21"/>
                    </w:rPr>
                  </w:pPr>
                  <w:r>
                    <w:rPr>
                      <w:rFonts w:hint="default"/>
                      <w:color w:val="auto"/>
                      <w:szCs w:val="21"/>
                    </w:rPr>
                    <w:t>周界外浓度最高点</w:t>
                  </w:r>
                </w:p>
              </w:tc>
              <w:tc>
                <w:tcPr>
                  <w:tcW w:w="852" w:type="pct"/>
                  <w:noWrap w:val="0"/>
                  <w:vAlign w:val="center"/>
                </w:tcPr>
                <w:p w14:paraId="2388BC96">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szCs w:val="21"/>
                    </w:rPr>
                  </w:pPr>
                  <w:r>
                    <w:rPr>
                      <w:rFonts w:hint="default"/>
                      <w:color w:val="auto"/>
                      <w:szCs w:val="21"/>
                    </w:rPr>
                    <w:t>1.0</w:t>
                  </w:r>
                </w:p>
              </w:tc>
              <w:tc>
                <w:tcPr>
                  <w:tcW w:w="2886" w:type="pct"/>
                  <w:noWrap w:val="0"/>
                  <w:vAlign w:val="center"/>
                </w:tcPr>
                <w:p w14:paraId="7DEEAC32">
                  <w:pPr>
                    <w:keepNext w:val="0"/>
                    <w:keepLines w:val="0"/>
                    <w:suppressLineNumbers w:val="0"/>
                    <w:autoSpaceDE w:val="0"/>
                    <w:autoSpaceDN w:val="0"/>
                    <w:adjustRightInd w:val="0"/>
                    <w:spacing w:before="0" w:beforeAutospacing="0" w:after="0" w:afterAutospacing="0"/>
                    <w:ind w:left="0" w:right="0"/>
                    <w:jc w:val="center"/>
                    <w:rPr>
                      <w:rFonts w:hint="default"/>
                      <w:color w:val="auto"/>
                      <w:szCs w:val="21"/>
                    </w:rPr>
                  </w:pPr>
                  <w:r>
                    <w:rPr>
                      <w:rFonts w:hint="default"/>
                      <w:color w:val="auto"/>
                      <w:szCs w:val="21"/>
                    </w:rPr>
                    <w:t>《大气污染物综合排放标准》（GB16297-1996）表2新污染源大气污染物排放限值中</w:t>
                  </w:r>
                  <w:r>
                    <w:rPr>
                      <w:rFonts w:hint="default"/>
                      <w:color w:val="auto"/>
                      <w:szCs w:val="21"/>
                      <w:highlight w:val="none"/>
                    </w:rPr>
                    <w:t>的颗粒物</w:t>
                  </w:r>
                  <w:r>
                    <w:rPr>
                      <w:rFonts w:hint="eastAsia"/>
                      <w:color w:val="auto"/>
                      <w:szCs w:val="21"/>
                    </w:rPr>
                    <w:t>无组织排放监控浓度限值</w:t>
                  </w:r>
                </w:p>
              </w:tc>
            </w:tr>
            <w:tr w14:paraId="7822D1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85" w:hRule="atLeast"/>
                <w:jc w:val="center"/>
              </w:trPr>
              <w:tc>
                <w:tcPr>
                  <w:tcW w:w="546" w:type="pct"/>
                  <w:noWrap w:val="0"/>
                  <w:vAlign w:val="center"/>
                </w:tcPr>
                <w:p w14:paraId="7F48F8F2">
                  <w:pPr>
                    <w:pStyle w:val="7"/>
                    <w:keepNext w:val="0"/>
                    <w:keepLines w:val="0"/>
                    <w:suppressLineNumbers w:val="0"/>
                    <w:adjustRightInd w:val="0"/>
                    <w:snapToGrid w:val="0"/>
                    <w:spacing w:before="0" w:beforeAutospacing="0" w:after="0" w:afterAutospacing="0"/>
                    <w:ind w:left="0" w:right="0" w:firstLine="0" w:firstLineChars="0"/>
                    <w:jc w:val="center"/>
                    <w:rPr>
                      <w:rFonts w:hint="default"/>
                      <w:color w:val="auto"/>
                      <w:kern w:val="0"/>
                      <w:szCs w:val="21"/>
                    </w:rPr>
                  </w:pPr>
                  <w:r>
                    <w:rPr>
                      <w:rFonts w:hint="default"/>
                      <w:color w:val="auto"/>
                      <w:szCs w:val="21"/>
                    </w:rPr>
                    <w:t>非甲烷</w:t>
                  </w:r>
                  <w:r>
                    <w:rPr>
                      <w:rFonts w:hint="eastAsia"/>
                      <w:color w:val="auto"/>
                      <w:szCs w:val="21"/>
                    </w:rPr>
                    <w:t>总</w:t>
                  </w:r>
                  <w:r>
                    <w:rPr>
                      <w:rFonts w:hint="default"/>
                      <w:color w:val="auto"/>
                      <w:szCs w:val="21"/>
                    </w:rPr>
                    <w:t>烃</w:t>
                  </w:r>
                </w:p>
              </w:tc>
              <w:tc>
                <w:tcPr>
                  <w:tcW w:w="717" w:type="pct"/>
                  <w:noWrap w:val="0"/>
                  <w:vAlign w:val="center"/>
                </w:tcPr>
                <w:p w14:paraId="45C0463C">
                  <w:pPr>
                    <w:pStyle w:val="7"/>
                    <w:keepNext w:val="0"/>
                    <w:keepLines w:val="0"/>
                    <w:suppressLineNumbers w:val="0"/>
                    <w:adjustRightInd w:val="0"/>
                    <w:snapToGrid w:val="0"/>
                    <w:spacing w:before="0" w:beforeAutospacing="0" w:after="0" w:afterAutospacing="0"/>
                    <w:ind w:left="0" w:right="0" w:firstLine="0" w:firstLineChars="0"/>
                    <w:jc w:val="center"/>
                    <w:rPr>
                      <w:rFonts w:hint="eastAsia" w:eastAsia="宋体"/>
                      <w:color w:val="auto"/>
                      <w:kern w:val="0"/>
                      <w:szCs w:val="21"/>
                      <w:lang w:eastAsia="zh-CN"/>
                    </w:rPr>
                  </w:pPr>
                  <w:r>
                    <w:rPr>
                      <w:rFonts w:hint="eastAsia"/>
                      <w:color w:val="auto"/>
                      <w:szCs w:val="21"/>
                      <w:lang w:eastAsia="zh-CN"/>
                    </w:rPr>
                    <w:t>井场场界</w:t>
                  </w:r>
                </w:p>
              </w:tc>
              <w:tc>
                <w:tcPr>
                  <w:tcW w:w="852" w:type="pct"/>
                  <w:noWrap w:val="0"/>
                  <w:vAlign w:val="center"/>
                </w:tcPr>
                <w:p w14:paraId="12957CF5">
                  <w:pPr>
                    <w:keepNext w:val="0"/>
                    <w:keepLines w:val="0"/>
                    <w:suppressLineNumbers w:val="0"/>
                    <w:autoSpaceDE w:val="0"/>
                    <w:autoSpaceDN w:val="0"/>
                    <w:adjustRightInd w:val="0"/>
                    <w:spacing w:before="0" w:beforeAutospacing="0" w:after="0" w:afterAutospacing="0" w:line="360" w:lineRule="exact"/>
                    <w:ind w:left="0" w:right="0"/>
                    <w:jc w:val="center"/>
                    <w:rPr>
                      <w:rFonts w:hint="default"/>
                      <w:color w:val="auto"/>
                      <w:kern w:val="0"/>
                      <w:szCs w:val="21"/>
                    </w:rPr>
                  </w:pPr>
                  <w:r>
                    <w:rPr>
                      <w:rFonts w:hint="eastAsia"/>
                      <w:color w:val="auto"/>
                      <w:szCs w:val="21"/>
                    </w:rPr>
                    <w:t>4.0</w:t>
                  </w:r>
                </w:p>
              </w:tc>
              <w:tc>
                <w:tcPr>
                  <w:tcW w:w="2886" w:type="pct"/>
                  <w:noWrap w:val="0"/>
                  <w:tcMar>
                    <w:left w:w="0" w:type="dxa"/>
                    <w:right w:w="0" w:type="dxa"/>
                  </w:tcMar>
                  <w:vAlign w:val="center"/>
                </w:tcPr>
                <w:p w14:paraId="28B95D20">
                  <w:pPr>
                    <w:keepNext w:val="0"/>
                    <w:keepLines w:val="0"/>
                    <w:suppressLineNumbers w:val="0"/>
                    <w:autoSpaceDE w:val="0"/>
                    <w:autoSpaceDN w:val="0"/>
                    <w:adjustRightInd w:val="0"/>
                    <w:spacing w:before="0" w:beforeAutospacing="0" w:after="0" w:afterAutospacing="0"/>
                    <w:ind w:left="0" w:right="0"/>
                    <w:jc w:val="center"/>
                    <w:rPr>
                      <w:rFonts w:hint="default"/>
                      <w:color w:val="auto"/>
                      <w:kern w:val="0"/>
                    </w:rPr>
                  </w:pPr>
                  <w:r>
                    <w:rPr>
                      <w:rFonts w:hint="eastAsia"/>
                      <w:color w:val="auto"/>
                      <w:szCs w:val="21"/>
                    </w:rPr>
                    <w:t>《陆上石油天然气开采工业大气污染物排放标准》（GB39728-2020）企业边界污染物控制要求</w:t>
                  </w:r>
                </w:p>
              </w:tc>
            </w:tr>
          </w:tbl>
          <w:p w14:paraId="6E50A889">
            <w:pPr>
              <w:keepNext w:val="0"/>
              <w:keepLines w:val="0"/>
              <w:suppressLineNumbers w:val="0"/>
              <w:autoSpaceDE w:val="0"/>
              <w:autoSpaceDN w:val="0"/>
              <w:adjustRightInd w:val="0"/>
              <w:spacing w:before="0" w:beforeAutospacing="0" w:after="0" w:afterAutospacing="0"/>
              <w:ind w:left="0" w:right="0"/>
              <w:jc w:val="center"/>
              <w:rPr>
                <w:rFonts w:hint="eastAsia"/>
                <w:b/>
                <w:color w:val="auto"/>
                <w:kern w:val="0"/>
                <w:sz w:val="24"/>
              </w:rPr>
            </w:pPr>
            <w:r>
              <w:rPr>
                <w:rFonts w:hint="default"/>
                <w:b/>
                <w:color w:val="auto"/>
                <w:kern w:val="0"/>
                <w:sz w:val="24"/>
              </w:rPr>
              <w:t>表</w:t>
            </w:r>
            <w:r>
              <w:rPr>
                <w:rFonts w:hint="eastAsia"/>
                <w:b/>
                <w:color w:val="auto"/>
                <w:kern w:val="0"/>
                <w:sz w:val="24"/>
              </w:rPr>
              <w:t xml:space="preserve">3-10 </w:t>
            </w:r>
            <w:r>
              <w:rPr>
                <w:rFonts w:hint="default"/>
                <w:b/>
                <w:color w:val="auto"/>
                <w:kern w:val="0"/>
                <w:sz w:val="24"/>
              </w:rPr>
              <w:t>柴油发电机废气排放标准</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30"/>
              <w:gridCol w:w="2661"/>
              <w:gridCol w:w="4343"/>
            </w:tblGrid>
            <w:tr w14:paraId="2084E7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747" w:type="pct"/>
                  <w:noWrap w:val="0"/>
                  <w:vAlign w:val="center"/>
                </w:tcPr>
                <w:p w14:paraId="028123F2">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color w:val="auto"/>
                      <w:szCs w:val="21"/>
                    </w:rPr>
                    <w:t>污染物</w:t>
                  </w:r>
                </w:p>
              </w:tc>
              <w:tc>
                <w:tcPr>
                  <w:tcW w:w="1616" w:type="pct"/>
                  <w:noWrap w:val="0"/>
                  <w:vAlign w:val="center"/>
                </w:tcPr>
                <w:p w14:paraId="5075BB33">
                  <w:pPr>
                    <w:keepNext w:val="0"/>
                    <w:keepLines w:val="0"/>
                    <w:suppressLineNumbers w:val="0"/>
                    <w:autoSpaceDE w:val="0"/>
                    <w:autoSpaceDN w:val="0"/>
                    <w:adjustRightInd w:val="0"/>
                    <w:spacing w:before="0" w:beforeAutospacing="0" w:after="0" w:afterAutospacing="0" w:line="240" w:lineRule="exact"/>
                    <w:ind w:left="0" w:right="0"/>
                    <w:jc w:val="center"/>
                    <w:rPr>
                      <w:rFonts w:hint="default"/>
                      <w:color w:val="auto"/>
                      <w:szCs w:val="21"/>
                    </w:rPr>
                  </w:pPr>
                  <w:r>
                    <w:rPr>
                      <w:rFonts w:hint="default"/>
                      <w:color w:val="auto"/>
                      <w:szCs w:val="21"/>
                    </w:rPr>
                    <w:t>最高允许排放浓度（mg/m</w:t>
                  </w:r>
                  <w:r>
                    <w:rPr>
                      <w:rFonts w:hint="default"/>
                      <w:color w:val="auto"/>
                      <w:szCs w:val="21"/>
                      <w:vertAlign w:val="superscript"/>
                    </w:rPr>
                    <w:t>3</w:t>
                  </w:r>
                  <w:r>
                    <w:rPr>
                      <w:rFonts w:hint="eastAsia"/>
                      <w:color w:val="auto"/>
                      <w:szCs w:val="21"/>
                    </w:rPr>
                    <w:t>）</w:t>
                  </w:r>
                </w:p>
              </w:tc>
              <w:tc>
                <w:tcPr>
                  <w:tcW w:w="2637" w:type="pct"/>
                  <w:noWrap w:val="0"/>
                  <w:vAlign w:val="center"/>
                </w:tcPr>
                <w:p w14:paraId="787E5836">
                  <w:pPr>
                    <w:keepNext w:val="0"/>
                    <w:keepLines w:val="0"/>
                    <w:suppressLineNumbers w:val="0"/>
                    <w:autoSpaceDE w:val="0"/>
                    <w:autoSpaceDN w:val="0"/>
                    <w:adjustRightInd w:val="0"/>
                    <w:spacing w:before="0" w:beforeAutospacing="0" w:after="0" w:afterAutospacing="0" w:line="240" w:lineRule="exact"/>
                    <w:ind w:left="0" w:right="0"/>
                    <w:jc w:val="center"/>
                    <w:rPr>
                      <w:rFonts w:hint="default"/>
                      <w:color w:val="auto"/>
                      <w:szCs w:val="21"/>
                    </w:rPr>
                  </w:pPr>
                  <w:r>
                    <w:rPr>
                      <w:rFonts w:hint="eastAsia"/>
                      <w:color w:val="auto"/>
                      <w:szCs w:val="21"/>
                    </w:rPr>
                    <w:t>执行标准</w:t>
                  </w:r>
                </w:p>
              </w:tc>
            </w:tr>
            <w:tr w14:paraId="68B7C1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7" w:type="pct"/>
                  <w:noWrap w:val="0"/>
                  <w:vAlign w:val="center"/>
                </w:tcPr>
                <w:p w14:paraId="50C45D1E">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color w:val="auto"/>
                      <w:szCs w:val="21"/>
                    </w:rPr>
                    <w:t>SO</w:t>
                  </w:r>
                  <w:r>
                    <w:rPr>
                      <w:rFonts w:hint="default"/>
                      <w:color w:val="auto"/>
                      <w:szCs w:val="21"/>
                      <w:vertAlign w:val="subscript"/>
                    </w:rPr>
                    <w:t>2</w:t>
                  </w:r>
                </w:p>
              </w:tc>
              <w:tc>
                <w:tcPr>
                  <w:tcW w:w="1616" w:type="pct"/>
                  <w:noWrap w:val="0"/>
                  <w:vAlign w:val="center"/>
                </w:tcPr>
                <w:p w14:paraId="06B8D318">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color w:val="auto"/>
                      <w:szCs w:val="21"/>
                    </w:rPr>
                    <w:t>550</w:t>
                  </w:r>
                </w:p>
              </w:tc>
              <w:tc>
                <w:tcPr>
                  <w:tcW w:w="2637" w:type="pct"/>
                  <w:vMerge w:val="restart"/>
                  <w:noWrap w:val="0"/>
                  <w:tcMar>
                    <w:left w:w="0" w:type="dxa"/>
                    <w:right w:w="0" w:type="dxa"/>
                  </w:tcMar>
                  <w:vAlign w:val="center"/>
                </w:tcPr>
                <w:p w14:paraId="486CCA6A">
                  <w:pPr>
                    <w:keepNext w:val="0"/>
                    <w:keepLines w:val="0"/>
                    <w:suppressLineNumbers w:val="0"/>
                    <w:spacing w:before="0" w:beforeAutospacing="0" w:after="0" w:afterAutospacing="0" w:line="240" w:lineRule="exact"/>
                    <w:ind w:left="0" w:right="0"/>
                    <w:jc w:val="center"/>
                    <w:rPr>
                      <w:rFonts w:hint="default"/>
                      <w:color w:val="auto"/>
                      <w:szCs w:val="21"/>
                    </w:rPr>
                  </w:pPr>
                  <w:r>
                    <w:rPr>
                      <w:rFonts w:hint="eastAsia"/>
                      <w:color w:val="auto"/>
                      <w:szCs w:val="21"/>
                    </w:rPr>
                    <w:t>《大气污染物综合排放标准》（GB16297-1996）中表2最高允许排放浓度限值</w:t>
                  </w:r>
                </w:p>
              </w:tc>
            </w:tr>
            <w:tr w14:paraId="713B08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7" w:type="pct"/>
                  <w:noWrap w:val="0"/>
                  <w:vAlign w:val="center"/>
                </w:tcPr>
                <w:p w14:paraId="341116C4">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color w:val="auto"/>
                      <w:szCs w:val="21"/>
                    </w:rPr>
                    <w:t>NO</w:t>
                  </w:r>
                  <w:r>
                    <w:rPr>
                      <w:rFonts w:hint="default"/>
                      <w:color w:val="auto"/>
                      <w:szCs w:val="21"/>
                      <w:vertAlign w:val="subscript"/>
                    </w:rPr>
                    <w:t>X</w:t>
                  </w:r>
                </w:p>
              </w:tc>
              <w:tc>
                <w:tcPr>
                  <w:tcW w:w="1616" w:type="pct"/>
                  <w:noWrap w:val="0"/>
                  <w:vAlign w:val="center"/>
                </w:tcPr>
                <w:p w14:paraId="7ABC451B">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color w:val="auto"/>
                      <w:szCs w:val="21"/>
                    </w:rPr>
                    <w:t>240</w:t>
                  </w:r>
                </w:p>
              </w:tc>
              <w:tc>
                <w:tcPr>
                  <w:tcW w:w="2637" w:type="pct"/>
                  <w:vMerge w:val="continue"/>
                  <w:noWrap w:val="0"/>
                  <w:vAlign w:val="center"/>
                </w:tcPr>
                <w:p w14:paraId="3130A7E2">
                  <w:pPr>
                    <w:keepNext w:val="0"/>
                    <w:keepLines w:val="0"/>
                    <w:suppressLineNumbers w:val="0"/>
                    <w:spacing w:before="0" w:beforeAutospacing="0" w:after="0" w:afterAutospacing="0" w:line="240" w:lineRule="exact"/>
                    <w:ind w:left="0" w:right="0"/>
                    <w:rPr>
                      <w:rFonts w:hint="default"/>
                      <w:color w:val="auto"/>
                      <w:szCs w:val="21"/>
                    </w:rPr>
                  </w:pPr>
                </w:p>
              </w:tc>
            </w:tr>
            <w:tr w14:paraId="31096F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7" w:type="pct"/>
                  <w:noWrap w:val="0"/>
                  <w:vAlign w:val="center"/>
                </w:tcPr>
                <w:p w14:paraId="1DA3E195">
                  <w:pPr>
                    <w:keepNext w:val="0"/>
                    <w:keepLines w:val="0"/>
                    <w:suppressLineNumbers w:val="0"/>
                    <w:spacing w:before="0" w:beforeAutospacing="0" w:after="0" w:afterAutospacing="0" w:line="240" w:lineRule="exact"/>
                    <w:ind w:left="0" w:right="0"/>
                    <w:jc w:val="center"/>
                    <w:rPr>
                      <w:rFonts w:hint="eastAsia" w:eastAsia="宋体"/>
                      <w:color w:val="auto"/>
                      <w:szCs w:val="21"/>
                      <w:lang w:eastAsia="zh-CN"/>
                    </w:rPr>
                  </w:pPr>
                  <w:r>
                    <w:rPr>
                      <w:rFonts w:hint="eastAsia"/>
                      <w:color w:val="auto"/>
                      <w:szCs w:val="21"/>
                      <w:lang w:eastAsia="zh-CN"/>
                    </w:rPr>
                    <w:t>颗粒物</w:t>
                  </w:r>
                </w:p>
              </w:tc>
              <w:tc>
                <w:tcPr>
                  <w:tcW w:w="1616" w:type="pct"/>
                  <w:noWrap w:val="0"/>
                  <w:vAlign w:val="center"/>
                </w:tcPr>
                <w:p w14:paraId="7120D590">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color w:val="auto"/>
                      <w:szCs w:val="21"/>
                    </w:rPr>
                    <w:t>120</w:t>
                  </w:r>
                </w:p>
              </w:tc>
              <w:tc>
                <w:tcPr>
                  <w:tcW w:w="2637" w:type="pct"/>
                  <w:vMerge w:val="continue"/>
                  <w:noWrap w:val="0"/>
                  <w:vAlign w:val="center"/>
                </w:tcPr>
                <w:p w14:paraId="2478B3F0">
                  <w:pPr>
                    <w:keepNext w:val="0"/>
                    <w:keepLines w:val="0"/>
                    <w:suppressLineNumbers w:val="0"/>
                    <w:spacing w:before="0" w:beforeAutospacing="0" w:after="0" w:afterAutospacing="0" w:line="240" w:lineRule="exact"/>
                    <w:ind w:left="0" w:right="0"/>
                    <w:rPr>
                      <w:rFonts w:hint="default"/>
                      <w:color w:val="auto"/>
                      <w:szCs w:val="21"/>
                    </w:rPr>
                  </w:pPr>
                </w:p>
              </w:tc>
            </w:tr>
          </w:tbl>
          <w:p w14:paraId="6B59AB5C">
            <w:pPr>
              <w:keepNext w:val="0"/>
              <w:keepLines w:val="0"/>
              <w:suppressLineNumbers w:val="0"/>
              <w:adjustRightInd w:val="0"/>
              <w:snapToGrid w:val="0"/>
              <w:spacing w:before="120" w:beforeLines="50" w:beforeAutospacing="0" w:after="0" w:afterAutospacing="0" w:line="360" w:lineRule="auto"/>
              <w:ind w:left="0" w:right="0" w:firstLine="480" w:firstLineChars="200"/>
              <w:rPr>
                <w:rFonts w:hint="default"/>
                <w:color w:val="auto"/>
                <w:sz w:val="24"/>
              </w:rPr>
            </w:pPr>
            <w:r>
              <w:rPr>
                <w:rFonts w:hint="default"/>
                <w:color w:val="auto"/>
                <w:sz w:val="24"/>
              </w:rPr>
              <w:t>2、钻</w:t>
            </w:r>
            <w:r>
              <w:rPr>
                <w:rFonts w:hint="eastAsia"/>
                <w:color w:val="auto"/>
                <w:sz w:val="24"/>
              </w:rPr>
              <w:t>井</w:t>
            </w:r>
            <w:r>
              <w:rPr>
                <w:rFonts w:hint="default"/>
                <w:color w:val="auto"/>
                <w:sz w:val="24"/>
              </w:rPr>
              <w:t>工程期间噪声执行《建筑施工场界环境噪声排放标准》（GB12523-2011）中各施工时间段的作业噪声限值。</w:t>
            </w:r>
            <w:r>
              <w:rPr>
                <w:rFonts w:hint="eastAsia"/>
                <w:color w:val="auto"/>
                <w:sz w:val="24"/>
                <w:lang w:eastAsia="zh-CN"/>
              </w:rPr>
              <w:t>具体</w:t>
            </w:r>
            <w:r>
              <w:rPr>
                <w:rFonts w:hint="default"/>
                <w:color w:val="auto"/>
                <w:sz w:val="24"/>
              </w:rPr>
              <w:t>见下表。</w:t>
            </w:r>
          </w:p>
          <w:p w14:paraId="5DE825B9">
            <w:pPr>
              <w:keepNext w:val="0"/>
              <w:keepLines w:val="0"/>
              <w:suppressLineNumbers w:val="0"/>
              <w:autoSpaceDE w:val="0"/>
              <w:autoSpaceDN w:val="0"/>
              <w:adjustRightInd w:val="0"/>
              <w:spacing w:before="0" w:beforeAutospacing="0" w:after="0" w:afterAutospacing="0"/>
              <w:ind w:left="0" w:right="0"/>
              <w:jc w:val="center"/>
              <w:rPr>
                <w:rFonts w:hint="default"/>
                <w:b/>
                <w:color w:val="auto"/>
                <w:kern w:val="0"/>
                <w:sz w:val="24"/>
              </w:rPr>
            </w:pPr>
            <w:r>
              <w:rPr>
                <w:rFonts w:hint="default"/>
                <w:b/>
                <w:color w:val="auto"/>
                <w:kern w:val="0"/>
                <w:sz w:val="24"/>
              </w:rPr>
              <w:t>表</w:t>
            </w:r>
            <w:r>
              <w:rPr>
                <w:rFonts w:hint="eastAsia"/>
                <w:b/>
                <w:color w:val="auto"/>
                <w:kern w:val="0"/>
                <w:sz w:val="24"/>
              </w:rPr>
              <w:t>3-11</w:t>
            </w:r>
            <w:r>
              <w:rPr>
                <w:rFonts w:hint="default"/>
                <w:b/>
                <w:color w:val="auto"/>
                <w:kern w:val="0"/>
                <w:sz w:val="24"/>
              </w:rPr>
              <w:t xml:space="preserve"> 噪声排放限值 单位：dB（A）</w:t>
            </w:r>
          </w:p>
          <w:tbl>
            <w:tblPr>
              <w:tblStyle w:val="30"/>
              <w:tblW w:w="5000" w:type="pct"/>
              <w:jc w:val="center"/>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31"/>
              <w:gridCol w:w="741"/>
              <w:gridCol w:w="700"/>
              <w:gridCol w:w="5462"/>
            </w:tblGrid>
            <w:tr w14:paraId="2BA7AD56">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8" w:type="pct"/>
                  <w:noWrap w:val="0"/>
                  <w:vAlign w:val="center"/>
                </w:tcPr>
                <w:p w14:paraId="29ED5726">
                  <w:pPr>
                    <w:keepNext w:val="0"/>
                    <w:keepLines w:val="0"/>
                    <w:suppressLineNumbers w:val="0"/>
                    <w:adjustRightInd w:val="0"/>
                    <w:snapToGrid w:val="0"/>
                    <w:spacing w:before="0" w:beforeAutospacing="0" w:after="0" w:afterAutospacing="0" w:line="320" w:lineRule="exact"/>
                    <w:ind w:left="0" w:right="0"/>
                    <w:jc w:val="center"/>
                    <w:textAlignment w:val="baseline"/>
                    <w:rPr>
                      <w:rFonts w:hint="default"/>
                      <w:color w:val="auto"/>
                      <w:szCs w:val="21"/>
                    </w:rPr>
                  </w:pPr>
                  <w:r>
                    <w:rPr>
                      <w:rFonts w:hint="eastAsia"/>
                      <w:color w:val="auto"/>
                      <w:szCs w:val="21"/>
                    </w:rPr>
                    <w:t>污染工序</w:t>
                  </w:r>
                </w:p>
              </w:tc>
              <w:tc>
                <w:tcPr>
                  <w:tcW w:w="450" w:type="pct"/>
                  <w:noWrap w:val="0"/>
                  <w:vAlign w:val="center"/>
                </w:tcPr>
                <w:p w14:paraId="557839B5">
                  <w:pPr>
                    <w:keepNext w:val="0"/>
                    <w:keepLines w:val="0"/>
                    <w:suppressLineNumbers w:val="0"/>
                    <w:adjustRightInd w:val="0"/>
                    <w:snapToGrid w:val="0"/>
                    <w:spacing w:before="0" w:beforeAutospacing="0" w:after="0" w:afterAutospacing="0" w:line="320" w:lineRule="exact"/>
                    <w:ind w:left="0" w:right="0"/>
                    <w:jc w:val="center"/>
                    <w:textAlignment w:val="baseline"/>
                    <w:rPr>
                      <w:rFonts w:hint="default"/>
                      <w:color w:val="auto"/>
                      <w:szCs w:val="21"/>
                    </w:rPr>
                  </w:pPr>
                  <w:r>
                    <w:rPr>
                      <w:rFonts w:hint="eastAsia"/>
                      <w:color w:val="auto"/>
                      <w:szCs w:val="21"/>
                    </w:rPr>
                    <w:t>昼间</w:t>
                  </w:r>
                </w:p>
              </w:tc>
              <w:tc>
                <w:tcPr>
                  <w:tcW w:w="425" w:type="pct"/>
                  <w:noWrap w:val="0"/>
                  <w:vAlign w:val="center"/>
                </w:tcPr>
                <w:p w14:paraId="2F2C65EE">
                  <w:pPr>
                    <w:keepNext w:val="0"/>
                    <w:keepLines w:val="0"/>
                    <w:suppressLineNumbers w:val="0"/>
                    <w:adjustRightInd w:val="0"/>
                    <w:snapToGrid w:val="0"/>
                    <w:spacing w:before="0" w:beforeAutospacing="0" w:after="0" w:afterAutospacing="0" w:line="320" w:lineRule="exact"/>
                    <w:ind w:left="0" w:right="0"/>
                    <w:jc w:val="center"/>
                    <w:textAlignment w:val="baseline"/>
                    <w:rPr>
                      <w:rFonts w:hint="default"/>
                      <w:color w:val="auto"/>
                      <w:szCs w:val="21"/>
                    </w:rPr>
                  </w:pPr>
                  <w:r>
                    <w:rPr>
                      <w:rFonts w:hint="eastAsia"/>
                      <w:color w:val="auto"/>
                      <w:szCs w:val="21"/>
                    </w:rPr>
                    <w:t>夜间</w:t>
                  </w:r>
                </w:p>
              </w:tc>
              <w:tc>
                <w:tcPr>
                  <w:tcW w:w="3317" w:type="pct"/>
                  <w:noWrap w:val="0"/>
                  <w:vAlign w:val="center"/>
                </w:tcPr>
                <w:p w14:paraId="49DF2275">
                  <w:pPr>
                    <w:keepNext w:val="0"/>
                    <w:keepLines w:val="0"/>
                    <w:suppressLineNumbers w:val="0"/>
                    <w:adjustRightInd w:val="0"/>
                    <w:snapToGrid w:val="0"/>
                    <w:spacing w:before="0" w:beforeAutospacing="0" w:after="0" w:afterAutospacing="0" w:line="320" w:lineRule="exact"/>
                    <w:ind w:left="0" w:right="0"/>
                    <w:jc w:val="center"/>
                    <w:textAlignment w:val="baseline"/>
                    <w:rPr>
                      <w:rFonts w:hint="default"/>
                      <w:color w:val="auto"/>
                      <w:szCs w:val="21"/>
                    </w:rPr>
                  </w:pPr>
                  <w:r>
                    <w:rPr>
                      <w:rFonts w:hint="eastAsia"/>
                      <w:color w:val="auto"/>
                      <w:szCs w:val="21"/>
                    </w:rPr>
                    <w:t>标准</w:t>
                  </w:r>
                </w:p>
              </w:tc>
            </w:tr>
            <w:tr w14:paraId="0E65117B">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8" w:type="pct"/>
                  <w:noWrap w:val="0"/>
                  <w:vAlign w:val="center"/>
                </w:tcPr>
                <w:p w14:paraId="170F1479">
                  <w:pPr>
                    <w:keepNext w:val="0"/>
                    <w:keepLines w:val="0"/>
                    <w:suppressLineNumbers w:val="0"/>
                    <w:snapToGrid w:val="0"/>
                    <w:spacing w:before="0" w:beforeAutospacing="0" w:after="0" w:afterAutospacing="0" w:line="320" w:lineRule="exact"/>
                    <w:ind w:left="0" w:right="0"/>
                    <w:jc w:val="center"/>
                    <w:rPr>
                      <w:rFonts w:hint="default"/>
                      <w:color w:val="auto"/>
                      <w:szCs w:val="21"/>
                    </w:rPr>
                  </w:pPr>
                  <w:r>
                    <w:rPr>
                      <w:rFonts w:hint="default"/>
                      <w:color w:val="auto"/>
                      <w:szCs w:val="21"/>
                    </w:rPr>
                    <w:t>钻井期</w:t>
                  </w:r>
                </w:p>
              </w:tc>
              <w:tc>
                <w:tcPr>
                  <w:tcW w:w="450" w:type="pct"/>
                  <w:noWrap w:val="0"/>
                  <w:vAlign w:val="center"/>
                </w:tcPr>
                <w:p w14:paraId="7841DAF9">
                  <w:pPr>
                    <w:keepNext w:val="0"/>
                    <w:keepLines w:val="0"/>
                    <w:suppressLineNumbers w:val="0"/>
                    <w:adjustRightInd w:val="0"/>
                    <w:snapToGrid w:val="0"/>
                    <w:spacing w:before="0" w:beforeAutospacing="0" w:after="0" w:afterAutospacing="0" w:line="320" w:lineRule="exact"/>
                    <w:ind w:left="0" w:right="0"/>
                    <w:jc w:val="center"/>
                    <w:textAlignment w:val="baseline"/>
                    <w:rPr>
                      <w:rFonts w:hint="default"/>
                      <w:color w:val="auto"/>
                      <w:szCs w:val="21"/>
                    </w:rPr>
                  </w:pPr>
                  <w:r>
                    <w:rPr>
                      <w:rFonts w:hint="default"/>
                      <w:color w:val="auto"/>
                      <w:szCs w:val="21"/>
                    </w:rPr>
                    <w:t>70</w:t>
                  </w:r>
                </w:p>
              </w:tc>
              <w:tc>
                <w:tcPr>
                  <w:tcW w:w="425" w:type="pct"/>
                  <w:noWrap w:val="0"/>
                  <w:vAlign w:val="center"/>
                </w:tcPr>
                <w:p w14:paraId="2DDBC9D5">
                  <w:pPr>
                    <w:keepNext w:val="0"/>
                    <w:keepLines w:val="0"/>
                    <w:suppressLineNumbers w:val="0"/>
                    <w:adjustRightInd w:val="0"/>
                    <w:snapToGrid w:val="0"/>
                    <w:spacing w:before="0" w:beforeAutospacing="0" w:after="0" w:afterAutospacing="0" w:line="320" w:lineRule="exact"/>
                    <w:ind w:left="0" w:right="0"/>
                    <w:jc w:val="center"/>
                    <w:textAlignment w:val="baseline"/>
                    <w:rPr>
                      <w:rFonts w:hint="default"/>
                      <w:color w:val="auto"/>
                      <w:szCs w:val="21"/>
                    </w:rPr>
                  </w:pPr>
                  <w:r>
                    <w:rPr>
                      <w:rFonts w:hint="default"/>
                      <w:color w:val="auto"/>
                      <w:szCs w:val="21"/>
                    </w:rPr>
                    <w:t>55</w:t>
                  </w:r>
                </w:p>
              </w:tc>
              <w:tc>
                <w:tcPr>
                  <w:tcW w:w="3317" w:type="pct"/>
                  <w:noWrap w:val="0"/>
                  <w:vAlign w:val="center"/>
                </w:tcPr>
                <w:p w14:paraId="3A90F469">
                  <w:pPr>
                    <w:keepNext w:val="0"/>
                    <w:keepLines w:val="0"/>
                    <w:suppressLineNumbers w:val="0"/>
                    <w:adjustRightInd w:val="0"/>
                    <w:snapToGrid w:val="0"/>
                    <w:spacing w:before="0" w:beforeAutospacing="0" w:after="0" w:afterAutospacing="0" w:line="320" w:lineRule="exact"/>
                    <w:ind w:left="0" w:right="0"/>
                    <w:jc w:val="center"/>
                    <w:textAlignment w:val="baseline"/>
                    <w:rPr>
                      <w:rFonts w:hint="default"/>
                      <w:color w:val="auto"/>
                      <w:szCs w:val="21"/>
                    </w:rPr>
                  </w:pPr>
                  <w:r>
                    <w:rPr>
                      <w:rFonts w:hint="default"/>
                      <w:color w:val="auto"/>
                      <w:szCs w:val="21"/>
                    </w:rPr>
                    <w:t>《建筑施工场界环境噪声排放标准》（GB12523-2011）</w:t>
                  </w:r>
                </w:p>
              </w:tc>
            </w:tr>
          </w:tbl>
          <w:p w14:paraId="79859E84">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lang w:eastAsia="zh-CN"/>
              </w:rPr>
              <w:t>本工程</w:t>
            </w:r>
            <w:r>
              <w:rPr>
                <w:rFonts w:hint="eastAsia"/>
                <w:color w:val="auto"/>
                <w:sz w:val="24"/>
              </w:rPr>
              <w:t>为油井勘探项目，不包括运营期，因此无运营期噪声污染。</w:t>
            </w:r>
          </w:p>
          <w:p w14:paraId="4CCFABF2">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3、</w:t>
            </w:r>
            <w:r>
              <w:rPr>
                <w:rFonts w:hint="eastAsia"/>
                <w:color w:val="auto"/>
                <w:sz w:val="24"/>
                <w:lang w:eastAsia="zh-CN"/>
              </w:rPr>
              <w:t>本工程</w:t>
            </w:r>
            <w:r>
              <w:rPr>
                <w:rFonts w:hint="default"/>
                <w:color w:val="auto"/>
                <w:sz w:val="24"/>
              </w:rPr>
              <w:t>固体废物执行《一般工业固体废物贮存</w:t>
            </w:r>
            <w:r>
              <w:rPr>
                <w:rFonts w:hint="eastAsia"/>
                <w:color w:val="auto"/>
                <w:sz w:val="24"/>
              </w:rPr>
              <w:t>和填埋污染控制标准</w:t>
            </w:r>
            <w:r>
              <w:rPr>
                <w:rFonts w:hint="default"/>
                <w:color w:val="auto"/>
                <w:sz w:val="24"/>
              </w:rPr>
              <w:t>》（GB18599-20</w:t>
            </w:r>
            <w:r>
              <w:rPr>
                <w:rFonts w:hint="eastAsia"/>
                <w:color w:val="auto"/>
                <w:sz w:val="24"/>
              </w:rPr>
              <w:t>20）、</w:t>
            </w:r>
            <w:r>
              <w:rPr>
                <w:rFonts w:hint="default"/>
                <w:color w:val="auto"/>
                <w:sz w:val="24"/>
              </w:rPr>
              <w:t>《中华人民共和国固体废物污染环境防治法》以及《危险废物贮存污染控制标准》（GB185</w:t>
            </w:r>
            <w:r>
              <w:rPr>
                <w:rFonts w:hint="eastAsia"/>
                <w:color w:val="auto"/>
                <w:sz w:val="24"/>
              </w:rPr>
              <w:t>97</w:t>
            </w:r>
            <w:r>
              <w:rPr>
                <w:rFonts w:hint="default"/>
                <w:color w:val="auto"/>
                <w:sz w:val="24"/>
              </w:rPr>
              <w:t>-20</w:t>
            </w:r>
            <w:r>
              <w:rPr>
                <w:rFonts w:hint="eastAsia"/>
                <w:color w:val="auto"/>
                <w:sz w:val="24"/>
              </w:rPr>
              <w:t>23</w:t>
            </w:r>
            <w:r>
              <w:rPr>
                <w:rFonts w:hint="default"/>
                <w:color w:val="auto"/>
                <w:sz w:val="24"/>
              </w:rPr>
              <w:t>）有关规定。</w:t>
            </w:r>
          </w:p>
        </w:tc>
      </w:tr>
      <w:tr w14:paraId="647DFB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457" w:type="dxa"/>
            <w:noWrap w:val="0"/>
            <w:vAlign w:val="center"/>
          </w:tcPr>
          <w:p w14:paraId="04481008">
            <w:pPr>
              <w:keepNext w:val="0"/>
              <w:keepLines w:val="0"/>
              <w:suppressLineNumbers w:val="0"/>
              <w:adjustRightInd w:val="0"/>
              <w:snapToGrid w:val="0"/>
              <w:spacing w:before="0" w:beforeAutospacing="0" w:after="0" w:afterAutospacing="0"/>
              <w:ind w:left="0" w:right="0"/>
              <w:jc w:val="center"/>
              <w:rPr>
                <w:rFonts w:hint="default"/>
                <w:b/>
                <w:color w:val="auto"/>
                <w:kern w:val="0"/>
                <w:sz w:val="24"/>
              </w:rPr>
            </w:pPr>
            <w:r>
              <w:rPr>
                <w:rFonts w:hint="default"/>
                <w:b/>
                <w:color w:val="auto"/>
                <w:kern w:val="0"/>
                <w:sz w:val="24"/>
              </w:rPr>
              <w:t>其他</w:t>
            </w:r>
          </w:p>
        </w:tc>
        <w:tc>
          <w:tcPr>
            <w:tcW w:w="8450" w:type="dxa"/>
            <w:noWrap w:val="0"/>
            <w:vAlign w:val="center"/>
          </w:tcPr>
          <w:p w14:paraId="0EC5CF3F">
            <w:pPr>
              <w:keepNext w:val="0"/>
              <w:keepLines w:val="0"/>
              <w:suppressLineNumbers w:val="0"/>
              <w:spacing w:before="0" w:beforeAutospacing="0" w:after="0" w:afterAutospacing="0" w:line="360" w:lineRule="auto"/>
              <w:ind w:left="0" w:right="0" w:firstLine="480" w:firstLineChars="200"/>
              <w:jc w:val="left"/>
              <w:rPr>
                <w:rFonts w:hint="default"/>
                <w:color w:val="auto"/>
                <w:sz w:val="24"/>
              </w:rPr>
            </w:pPr>
            <w:r>
              <w:rPr>
                <w:rFonts w:hint="default"/>
                <w:color w:val="auto"/>
                <w:sz w:val="24"/>
              </w:rPr>
              <w:t>本次评价仅对勘探过程中对环境的影响进行分析，不包括开采。因勘探期较短，该项目在满足达标排放和环境功能区划达标的前提下，</w:t>
            </w:r>
            <w:r>
              <w:rPr>
                <w:rFonts w:hint="eastAsia"/>
                <w:color w:val="auto"/>
                <w:sz w:val="24"/>
                <w:lang w:eastAsia="zh-CN"/>
              </w:rPr>
              <w:t>本工程</w:t>
            </w:r>
            <w:r>
              <w:rPr>
                <w:rFonts w:hint="default"/>
                <w:color w:val="auto"/>
                <w:sz w:val="24"/>
              </w:rPr>
              <w:t>不</w:t>
            </w:r>
            <w:r>
              <w:rPr>
                <w:rFonts w:hint="eastAsia"/>
                <w:color w:val="auto"/>
                <w:sz w:val="24"/>
                <w:lang w:eastAsia="zh-CN"/>
              </w:rPr>
              <w:t>涉及</w:t>
            </w:r>
            <w:r>
              <w:rPr>
                <w:rFonts w:hint="default"/>
                <w:color w:val="auto"/>
                <w:sz w:val="24"/>
              </w:rPr>
              <w:t>总量指标。</w:t>
            </w:r>
          </w:p>
          <w:p w14:paraId="119332DC">
            <w:pPr>
              <w:keepNext w:val="0"/>
              <w:keepLines w:val="0"/>
              <w:suppressLineNumbers w:val="0"/>
              <w:spacing w:before="0" w:beforeAutospacing="0" w:after="0" w:afterAutospacing="0" w:line="360" w:lineRule="auto"/>
              <w:ind w:left="0" w:right="0"/>
              <w:jc w:val="left"/>
              <w:rPr>
                <w:rFonts w:hint="default"/>
                <w:color w:val="auto"/>
                <w:sz w:val="24"/>
              </w:rPr>
            </w:pPr>
          </w:p>
          <w:p w14:paraId="6A2D4511">
            <w:pPr>
              <w:keepNext w:val="0"/>
              <w:keepLines w:val="0"/>
              <w:suppressLineNumbers w:val="0"/>
              <w:spacing w:before="0" w:beforeAutospacing="0" w:after="0" w:afterAutospacing="0" w:line="360" w:lineRule="auto"/>
              <w:ind w:left="0" w:right="0"/>
              <w:jc w:val="left"/>
              <w:rPr>
                <w:rFonts w:hint="default"/>
                <w:color w:val="auto"/>
                <w:sz w:val="24"/>
              </w:rPr>
            </w:pPr>
          </w:p>
          <w:p w14:paraId="6CF96407">
            <w:pPr>
              <w:keepNext w:val="0"/>
              <w:keepLines w:val="0"/>
              <w:suppressLineNumbers w:val="0"/>
              <w:spacing w:before="0" w:beforeAutospacing="0" w:after="0" w:afterAutospacing="0" w:line="360" w:lineRule="auto"/>
              <w:ind w:left="0" w:right="0"/>
              <w:jc w:val="left"/>
              <w:rPr>
                <w:rFonts w:hint="default"/>
                <w:color w:val="auto"/>
                <w:sz w:val="24"/>
              </w:rPr>
            </w:pPr>
          </w:p>
          <w:p w14:paraId="6C2FAF29">
            <w:pPr>
              <w:keepNext w:val="0"/>
              <w:keepLines w:val="0"/>
              <w:suppressLineNumbers w:val="0"/>
              <w:spacing w:before="0" w:beforeAutospacing="0" w:after="0" w:afterAutospacing="0" w:line="360" w:lineRule="auto"/>
              <w:ind w:left="0" w:right="0"/>
              <w:jc w:val="left"/>
              <w:rPr>
                <w:rFonts w:hint="default"/>
                <w:color w:val="auto"/>
                <w:sz w:val="24"/>
              </w:rPr>
            </w:pPr>
          </w:p>
          <w:p w14:paraId="40B32BC5">
            <w:pPr>
              <w:keepNext w:val="0"/>
              <w:keepLines w:val="0"/>
              <w:suppressLineNumbers w:val="0"/>
              <w:spacing w:before="0" w:beforeAutospacing="0" w:after="0" w:afterAutospacing="0" w:line="360" w:lineRule="auto"/>
              <w:ind w:left="0" w:right="0"/>
              <w:jc w:val="left"/>
              <w:rPr>
                <w:rFonts w:hint="default"/>
                <w:color w:val="auto"/>
                <w:sz w:val="24"/>
              </w:rPr>
            </w:pPr>
          </w:p>
          <w:p w14:paraId="09F97A6D">
            <w:pPr>
              <w:keepNext w:val="0"/>
              <w:keepLines w:val="0"/>
              <w:suppressLineNumbers w:val="0"/>
              <w:spacing w:before="0" w:beforeAutospacing="0" w:after="0" w:afterAutospacing="0" w:line="360" w:lineRule="auto"/>
              <w:ind w:left="0" w:right="0"/>
              <w:jc w:val="left"/>
              <w:rPr>
                <w:rFonts w:hint="default"/>
                <w:color w:val="auto"/>
                <w:sz w:val="24"/>
              </w:rPr>
            </w:pPr>
          </w:p>
          <w:p w14:paraId="6087484A">
            <w:pPr>
              <w:keepNext w:val="0"/>
              <w:keepLines w:val="0"/>
              <w:suppressLineNumbers w:val="0"/>
              <w:spacing w:before="0" w:beforeAutospacing="0" w:after="0" w:afterAutospacing="0" w:line="360" w:lineRule="auto"/>
              <w:ind w:left="0" w:right="0"/>
              <w:jc w:val="left"/>
              <w:rPr>
                <w:rFonts w:hint="default"/>
                <w:color w:val="auto"/>
                <w:sz w:val="24"/>
              </w:rPr>
            </w:pPr>
          </w:p>
          <w:p w14:paraId="22485C45">
            <w:pPr>
              <w:keepNext w:val="0"/>
              <w:keepLines w:val="0"/>
              <w:suppressLineNumbers w:val="0"/>
              <w:spacing w:before="0" w:beforeAutospacing="0" w:after="0" w:afterAutospacing="0" w:line="360" w:lineRule="auto"/>
              <w:ind w:left="0" w:right="0"/>
              <w:jc w:val="left"/>
              <w:rPr>
                <w:rFonts w:hint="default"/>
                <w:color w:val="auto"/>
                <w:sz w:val="24"/>
              </w:rPr>
            </w:pPr>
          </w:p>
          <w:p w14:paraId="43B7FCCA">
            <w:pPr>
              <w:keepNext w:val="0"/>
              <w:keepLines w:val="0"/>
              <w:suppressLineNumbers w:val="0"/>
              <w:spacing w:before="0" w:beforeAutospacing="0" w:after="0" w:afterAutospacing="0" w:line="360" w:lineRule="auto"/>
              <w:ind w:left="0" w:right="0"/>
              <w:jc w:val="left"/>
              <w:rPr>
                <w:rFonts w:hint="default"/>
                <w:color w:val="auto"/>
                <w:sz w:val="24"/>
              </w:rPr>
            </w:pPr>
          </w:p>
          <w:p w14:paraId="2642D4A5">
            <w:pPr>
              <w:keepNext w:val="0"/>
              <w:keepLines w:val="0"/>
              <w:suppressLineNumbers w:val="0"/>
              <w:spacing w:before="0" w:beforeAutospacing="0" w:after="0" w:afterAutospacing="0" w:line="360" w:lineRule="auto"/>
              <w:ind w:left="0" w:right="0"/>
              <w:jc w:val="left"/>
              <w:rPr>
                <w:rFonts w:hint="default"/>
                <w:color w:val="auto"/>
                <w:sz w:val="24"/>
              </w:rPr>
            </w:pPr>
          </w:p>
          <w:p w14:paraId="04A73806">
            <w:pPr>
              <w:keepNext w:val="0"/>
              <w:keepLines w:val="0"/>
              <w:suppressLineNumbers w:val="0"/>
              <w:spacing w:before="0" w:beforeAutospacing="0" w:after="0" w:afterAutospacing="0" w:line="360" w:lineRule="auto"/>
              <w:ind w:left="0" w:right="0"/>
              <w:jc w:val="left"/>
              <w:rPr>
                <w:rFonts w:hint="default"/>
                <w:color w:val="auto"/>
                <w:sz w:val="24"/>
              </w:rPr>
            </w:pPr>
          </w:p>
          <w:p w14:paraId="012B4410">
            <w:pPr>
              <w:keepNext w:val="0"/>
              <w:keepLines w:val="0"/>
              <w:suppressLineNumbers w:val="0"/>
              <w:spacing w:before="0" w:beforeAutospacing="0" w:after="0" w:afterAutospacing="0" w:line="360" w:lineRule="auto"/>
              <w:ind w:left="0" w:right="0"/>
              <w:jc w:val="left"/>
              <w:rPr>
                <w:rFonts w:hint="default"/>
                <w:color w:val="auto"/>
                <w:sz w:val="24"/>
              </w:rPr>
            </w:pPr>
          </w:p>
          <w:p w14:paraId="5B364733">
            <w:pPr>
              <w:keepNext w:val="0"/>
              <w:keepLines w:val="0"/>
              <w:suppressLineNumbers w:val="0"/>
              <w:spacing w:before="0" w:beforeAutospacing="0" w:after="0" w:afterAutospacing="0" w:line="360" w:lineRule="auto"/>
              <w:ind w:left="0" w:right="0"/>
              <w:jc w:val="left"/>
              <w:rPr>
                <w:rFonts w:hint="default"/>
                <w:color w:val="auto"/>
                <w:sz w:val="24"/>
              </w:rPr>
            </w:pPr>
          </w:p>
          <w:p w14:paraId="2AAB1D36">
            <w:pPr>
              <w:keepNext w:val="0"/>
              <w:keepLines w:val="0"/>
              <w:suppressLineNumbers w:val="0"/>
              <w:spacing w:before="0" w:beforeAutospacing="0" w:after="0" w:afterAutospacing="0" w:line="360" w:lineRule="auto"/>
              <w:ind w:left="0" w:right="0"/>
              <w:jc w:val="left"/>
              <w:rPr>
                <w:rFonts w:hint="default"/>
                <w:color w:val="auto"/>
                <w:sz w:val="24"/>
              </w:rPr>
            </w:pPr>
          </w:p>
          <w:p w14:paraId="21890C21">
            <w:pPr>
              <w:keepNext w:val="0"/>
              <w:keepLines w:val="0"/>
              <w:suppressLineNumbers w:val="0"/>
              <w:spacing w:before="0" w:beforeAutospacing="0" w:after="0" w:afterAutospacing="0" w:line="360" w:lineRule="auto"/>
              <w:ind w:left="0" w:right="0"/>
              <w:jc w:val="left"/>
              <w:rPr>
                <w:rFonts w:hint="default"/>
                <w:color w:val="auto"/>
                <w:sz w:val="24"/>
              </w:rPr>
            </w:pPr>
          </w:p>
          <w:p w14:paraId="50C7E388">
            <w:pPr>
              <w:keepNext w:val="0"/>
              <w:keepLines w:val="0"/>
              <w:suppressLineNumbers w:val="0"/>
              <w:spacing w:before="0" w:beforeAutospacing="0" w:after="0" w:afterAutospacing="0" w:line="360" w:lineRule="auto"/>
              <w:ind w:left="0" w:right="0"/>
              <w:jc w:val="left"/>
              <w:rPr>
                <w:rFonts w:hint="default"/>
                <w:color w:val="auto"/>
                <w:sz w:val="24"/>
              </w:rPr>
            </w:pPr>
          </w:p>
          <w:p w14:paraId="379BE7F4">
            <w:pPr>
              <w:keepNext w:val="0"/>
              <w:keepLines w:val="0"/>
              <w:suppressLineNumbers w:val="0"/>
              <w:spacing w:before="0" w:beforeAutospacing="0" w:after="0" w:afterAutospacing="0" w:line="360" w:lineRule="auto"/>
              <w:ind w:left="0" w:right="0"/>
              <w:jc w:val="left"/>
              <w:rPr>
                <w:rFonts w:hint="default"/>
                <w:color w:val="auto"/>
                <w:sz w:val="24"/>
              </w:rPr>
            </w:pPr>
          </w:p>
          <w:p w14:paraId="197E6666">
            <w:pPr>
              <w:keepNext w:val="0"/>
              <w:keepLines w:val="0"/>
              <w:suppressLineNumbers w:val="0"/>
              <w:spacing w:before="0" w:beforeAutospacing="0" w:after="0" w:afterAutospacing="0" w:line="360" w:lineRule="auto"/>
              <w:ind w:left="0" w:right="0"/>
              <w:jc w:val="left"/>
              <w:rPr>
                <w:rFonts w:hint="default"/>
                <w:color w:val="auto"/>
                <w:sz w:val="24"/>
              </w:rPr>
            </w:pPr>
          </w:p>
          <w:p w14:paraId="2B368132">
            <w:pPr>
              <w:keepNext w:val="0"/>
              <w:keepLines w:val="0"/>
              <w:suppressLineNumbers w:val="0"/>
              <w:spacing w:before="0" w:beforeAutospacing="0" w:after="0" w:afterAutospacing="0" w:line="360" w:lineRule="auto"/>
              <w:ind w:left="0" w:right="0"/>
              <w:jc w:val="left"/>
              <w:rPr>
                <w:rFonts w:hint="default"/>
                <w:color w:val="auto"/>
                <w:sz w:val="24"/>
              </w:rPr>
            </w:pPr>
          </w:p>
          <w:p w14:paraId="71D6B823">
            <w:pPr>
              <w:keepNext w:val="0"/>
              <w:keepLines w:val="0"/>
              <w:suppressLineNumbers w:val="0"/>
              <w:spacing w:before="0" w:beforeAutospacing="0" w:after="0" w:afterAutospacing="0" w:line="360" w:lineRule="auto"/>
              <w:ind w:left="0" w:right="0"/>
              <w:jc w:val="left"/>
              <w:rPr>
                <w:rFonts w:hint="default"/>
                <w:color w:val="auto"/>
                <w:sz w:val="24"/>
              </w:rPr>
            </w:pPr>
          </w:p>
          <w:p w14:paraId="7D0613C7">
            <w:pPr>
              <w:keepNext w:val="0"/>
              <w:keepLines w:val="0"/>
              <w:suppressLineNumbers w:val="0"/>
              <w:spacing w:before="0" w:beforeAutospacing="0" w:after="0" w:afterAutospacing="0" w:line="360" w:lineRule="auto"/>
              <w:ind w:left="0" w:right="0"/>
              <w:jc w:val="left"/>
              <w:rPr>
                <w:rFonts w:hint="default"/>
                <w:color w:val="auto"/>
                <w:sz w:val="24"/>
              </w:rPr>
            </w:pPr>
          </w:p>
          <w:p w14:paraId="261220F9">
            <w:pPr>
              <w:keepNext w:val="0"/>
              <w:keepLines w:val="0"/>
              <w:suppressLineNumbers w:val="0"/>
              <w:spacing w:before="0" w:beforeAutospacing="0" w:after="0" w:afterAutospacing="0" w:line="360" w:lineRule="auto"/>
              <w:ind w:left="0" w:right="0"/>
              <w:jc w:val="left"/>
              <w:rPr>
                <w:rFonts w:hint="default"/>
                <w:color w:val="auto"/>
                <w:sz w:val="24"/>
              </w:rPr>
            </w:pPr>
          </w:p>
          <w:p w14:paraId="13621FA9">
            <w:pPr>
              <w:keepNext w:val="0"/>
              <w:keepLines w:val="0"/>
              <w:suppressLineNumbers w:val="0"/>
              <w:spacing w:before="0" w:beforeAutospacing="0" w:after="0" w:afterAutospacing="0" w:line="360" w:lineRule="auto"/>
              <w:ind w:left="0" w:right="0"/>
              <w:jc w:val="left"/>
              <w:rPr>
                <w:rFonts w:hint="default"/>
                <w:color w:val="auto"/>
                <w:sz w:val="24"/>
              </w:rPr>
            </w:pPr>
          </w:p>
          <w:p w14:paraId="13233950">
            <w:pPr>
              <w:keepNext w:val="0"/>
              <w:keepLines w:val="0"/>
              <w:suppressLineNumbers w:val="0"/>
              <w:spacing w:before="0" w:beforeAutospacing="0" w:after="0" w:afterAutospacing="0" w:line="360" w:lineRule="auto"/>
              <w:ind w:left="0" w:right="0"/>
              <w:jc w:val="left"/>
              <w:rPr>
                <w:rFonts w:hint="default"/>
                <w:color w:val="auto"/>
                <w:sz w:val="24"/>
              </w:rPr>
            </w:pPr>
          </w:p>
        </w:tc>
      </w:tr>
    </w:tbl>
    <w:p w14:paraId="048BC6E2">
      <w:pPr>
        <w:pStyle w:val="25"/>
        <w:spacing w:before="0" w:beforeAutospacing="0" w:after="0" w:afterAutospacing="0"/>
        <w:jc w:val="center"/>
        <w:outlineLvl w:val="0"/>
        <w:rPr>
          <w:b/>
          <w:snapToGrid w:val="0"/>
          <w:color w:val="auto"/>
          <w:kern w:val="2"/>
          <w:sz w:val="30"/>
          <w:szCs w:val="30"/>
        </w:rPr>
        <w:sectPr>
          <w:pgSz w:w="11906" w:h="16838"/>
          <w:pgMar w:top="1588" w:right="1418" w:bottom="1418" w:left="1588" w:header="851" w:footer="1077" w:gutter="0"/>
          <w:pgBorders>
            <w:top w:val="none" w:sz="0" w:space="0"/>
            <w:left w:val="none" w:sz="0" w:space="0"/>
            <w:bottom w:val="none" w:sz="0" w:space="0"/>
            <w:right w:val="none" w:sz="0" w:space="0"/>
          </w:pgBorders>
          <w:cols w:space="720" w:num="1"/>
          <w:docGrid w:linePitch="312" w:charSpace="0"/>
        </w:sectPr>
      </w:pPr>
    </w:p>
    <w:p w14:paraId="16743483">
      <w:pPr>
        <w:pStyle w:val="25"/>
        <w:spacing w:before="0" w:beforeAutospacing="0" w:after="0" w:afterAutospacing="0"/>
        <w:jc w:val="center"/>
        <w:outlineLvl w:val="0"/>
        <w:rPr>
          <w:b/>
          <w:snapToGrid w:val="0"/>
          <w:color w:val="auto"/>
          <w:kern w:val="2"/>
          <w:sz w:val="30"/>
          <w:szCs w:val="30"/>
        </w:rPr>
      </w:pPr>
      <w:bookmarkStart w:id="7" w:name="_Toc103325978"/>
      <w:r>
        <w:rPr>
          <w:b/>
          <w:snapToGrid w:val="0"/>
          <w:color w:val="auto"/>
          <w:kern w:val="2"/>
          <w:sz w:val="30"/>
          <w:szCs w:val="30"/>
        </w:rPr>
        <w:t>四、生态环境影响分析</w:t>
      </w:r>
      <w:bookmarkEnd w:id="7"/>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86"/>
        <w:gridCol w:w="8411"/>
      </w:tblGrid>
      <w:tr w14:paraId="7C0CD5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6" w:type="dxa"/>
            <w:noWrap w:val="0"/>
            <w:tcMar>
              <w:left w:w="28" w:type="dxa"/>
              <w:right w:w="28" w:type="dxa"/>
            </w:tcMar>
            <w:vAlign w:val="center"/>
          </w:tcPr>
          <w:p w14:paraId="6082B055">
            <w:pPr>
              <w:pStyle w:val="25"/>
              <w:keepNext w:val="0"/>
              <w:keepLines w:val="0"/>
              <w:suppressLineNumbers w:val="0"/>
              <w:adjustRightInd w:val="0"/>
              <w:snapToGrid w:val="0"/>
              <w:spacing w:before="0" w:beforeAutospacing="0" w:after="0" w:afterAutospacing="0"/>
              <w:ind w:left="0" w:right="0"/>
              <w:jc w:val="center"/>
              <w:rPr>
                <w:rFonts w:hint="default" w:ascii="Times New Roman" w:hAnsi="Times New Roman"/>
                <w:b/>
                <w:bCs/>
                <w:color w:val="auto"/>
                <w:kern w:val="2"/>
              </w:rPr>
            </w:pPr>
            <w:bookmarkStart w:id="8" w:name="_Hlk49796138"/>
            <w:r>
              <w:rPr>
                <w:rFonts w:hint="default" w:ascii="Times New Roman" w:hAnsi="Times New Roman"/>
                <w:b/>
                <w:bCs/>
                <w:color w:val="auto"/>
                <w:spacing w:val="10"/>
                <w:kern w:val="2"/>
              </w:rPr>
              <w:t>施工期生态环境影响分析</w:t>
            </w:r>
            <w:bookmarkEnd w:id="8"/>
          </w:p>
        </w:tc>
        <w:tc>
          <w:tcPr>
            <w:tcW w:w="8411" w:type="dxa"/>
            <w:noWrap w:val="0"/>
            <w:vAlign w:val="top"/>
          </w:tcPr>
          <w:p w14:paraId="6020477E">
            <w:pPr>
              <w:keepNext w:val="0"/>
              <w:keepLines w:val="0"/>
              <w:suppressLineNumbers w:val="0"/>
              <w:spacing w:before="0" w:beforeAutospacing="0" w:after="0" w:afterAutospacing="0" w:line="360" w:lineRule="auto"/>
              <w:ind w:left="0" w:right="0" w:firstLine="482" w:firstLineChars="200"/>
              <w:jc w:val="left"/>
              <w:rPr>
                <w:rFonts w:hint="eastAsia"/>
                <w:b/>
                <w:color w:val="auto"/>
                <w:sz w:val="24"/>
              </w:rPr>
            </w:pPr>
            <w:r>
              <w:rPr>
                <w:rFonts w:hint="eastAsia"/>
                <w:b/>
                <w:color w:val="auto"/>
                <w:sz w:val="24"/>
              </w:rPr>
              <w:t>施工期污染源分析</w:t>
            </w:r>
          </w:p>
          <w:p w14:paraId="60741A8D">
            <w:pPr>
              <w:keepNext w:val="0"/>
              <w:keepLines w:val="0"/>
              <w:suppressLineNumbers w:val="0"/>
              <w:spacing w:before="0" w:beforeAutospacing="0" w:after="0" w:afterAutospacing="0" w:line="360" w:lineRule="auto"/>
              <w:ind w:left="0" w:right="0" w:firstLine="480"/>
              <w:rPr>
                <w:rFonts w:hint="default"/>
                <w:b/>
                <w:color w:val="auto"/>
                <w:sz w:val="24"/>
              </w:rPr>
            </w:pPr>
            <w:r>
              <w:rPr>
                <w:rFonts w:hint="eastAsia"/>
                <w:b/>
                <w:color w:val="auto"/>
                <w:sz w:val="24"/>
              </w:rPr>
              <w:t>一、大气环境</w:t>
            </w:r>
            <w:r>
              <w:rPr>
                <w:rFonts w:hint="default"/>
                <w:b/>
                <w:color w:val="auto"/>
                <w:sz w:val="24"/>
              </w:rPr>
              <w:t>影响分析</w:t>
            </w:r>
          </w:p>
          <w:p w14:paraId="03F72C95">
            <w:pPr>
              <w:keepNext w:val="0"/>
              <w:keepLines w:val="0"/>
              <w:suppressLineNumbers w:val="0"/>
              <w:spacing w:before="0" w:beforeAutospacing="0" w:after="0" w:afterAutospacing="0" w:line="360" w:lineRule="auto"/>
              <w:ind w:left="0" w:right="0" w:firstLine="480"/>
              <w:rPr>
                <w:rFonts w:hint="default"/>
                <w:color w:val="auto"/>
                <w:sz w:val="24"/>
              </w:rPr>
            </w:pPr>
            <w:r>
              <w:rPr>
                <w:rFonts w:hint="default"/>
                <w:color w:val="auto"/>
                <w:sz w:val="24"/>
              </w:rPr>
              <w:t>1、</w:t>
            </w:r>
            <w:r>
              <w:rPr>
                <w:rFonts w:hint="eastAsia"/>
                <w:color w:val="auto"/>
                <w:sz w:val="24"/>
              </w:rPr>
              <w:t>扬尘</w:t>
            </w:r>
          </w:p>
          <w:p w14:paraId="14F50DC8">
            <w:pPr>
              <w:keepNext w:val="0"/>
              <w:keepLines w:val="0"/>
              <w:suppressLineNumbers w:val="0"/>
              <w:spacing w:before="0" w:beforeAutospacing="0" w:after="0" w:afterAutospacing="0" w:line="360" w:lineRule="auto"/>
              <w:ind w:left="0" w:right="0" w:firstLine="480"/>
              <w:rPr>
                <w:rFonts w:hint="eastAsia"/>
                <w:color w:val="auto"/>
                <w:sz w:val="24"/>
              </w:rPr>
            </w:pPr>
            <w:r>
              <w:rPr>
                <w:rFonts w:hint="default"/>
                <w:color w:val="auto"/>
                <w:sz w:val="24"/>
              </w:rPr>
              <w:t>施工扬尘主要产生于</w:t>
            </w:r>
            <w:r>
              <w:rPr>
                <w:rFonts w:hint="eastAsia"/>
                <w:color w:val="auto"/>
                <w:sz w:val="24"/>
                <w:lang w:eastAsia="zh-CN"/>
              </w:rPr>
              <w:t>钻前</w:t>
            </w:r>
            <w:r>
              <w:rPr>
                <w:rFonts w:hint="default"/>
                <w:color w:val="auto"/>
                <w:sz w:val="24"/>
              </w:rPr>
              <w:t>工程</w:t>
            </w:r>
            <w:r>
              <w:rPr>
                <w:rFonts w:hint="eastAsia"/>
                <w:color w:val="auto"/>
                <w:sz w:val="24"/>
                <w:lang w:eastAsia="zh-CN"/>
              </w:rPr>
              <w:t>、钻井工程</w:t>
            </w:r>
            <w:r>
              <w:rPr>
                <w:rFonts w:hint="default"/>
                <w:color w:val="auto"/>
                <w:sz w:val="24"/>
              </w:rPr>
              <w:t>过程中场地平整、地面开挖、填埋、土石方堆放以及车辆运输过程</w:t>
            </w:r>
            <w:r>
              <w:rPr>
                <w:rFonts w:hint="eastAsia"/>
                <w:color w:val="auto"/>
                <w:sz w:val="24"/>
                <w:lang w:eastAsia="zh-CN"/>
              </w:rPr>
              <w:t>等</w:t>
            </w:r>
            <w:r>
              <w:rPr>
                <w:rFonts w:hint="default"/>
                <w:color w:val="auto"/>
                <w:sz w:val="24"/>
              </w:rPr>
              <w:t>，污染因子为TSP。勘探期扬尘属无组织排放，施工扬尘的</w:t>
            </w:r>
            <w:r>
              <w:rPr>
                <w:rFonts w:hint="default"/>
                <w:color w:val="auto"/>
                <w:sz w:val="24"/>
                <w:highlight w:val="none"/>
              </w:rPr>
              <w:t>源强</w:t>
            </w:r>
            <w:r>
              <w:rPr>
                <w:rFonts w:hint="default"/>
                <w:color w:val="auto"/>
                <w:sz w:val="24"/>
              </w:rPr>
              <w:t>与施工的时间、地点、施工现场条件、管理水平、机械化程度及天气诸多因素有关，是一个复杂、较难定量的问题。类比北京市环科院及石家庄市环境监测中心对施工场地扬尘进行的监测数据，建筑工地内TSP浓度相当于环境空气质量标准2级标准的1.4~2.5倍，施工及运输车辆引起的扬尘主要为天然土颗粒，粒径较大，在当地平均风速较小的情况下，扬尘飞扬距离较小。针对施工扬尘污染问题，</w:t>
            </w:r>
            <w:r>
              <w:rPr>
                <w:rFonts w:hint="eastAsia"/>
                <w:color w:val="auto"/>
                <w:sz w:val="24"/>
                <w:lang w:eastAsia="zh-CN"/>
              </w:rPr>
              <w:t>本工程</w:t>
            </w:r>
            <w:r>
              <w:rPr>
                <w:rFonts w:hint="default"/>
                <w:color w:val="auto"/>
                <w:sz w:val="24"/>
              </w:rPr>
              <w:t>勘探期间采取洒水</w:t>
            </w:r>
            <w:r>
              <w:rPr>
                <w:rFonts w:hint="eastAsia"/>
                <w:color w:val="auto"/>
                <w:sz w:val="24"/>
              </w:rPr>
              <w:t>抑尘</w:t>
            </w:r>
            <w:r>
              <w:rPr>
                <w:rFonts w:hint="default"/>
                <w:color w:val="auto"/>
                <w:sz w:val="24"/>
              </w:rPr>
              <w:t>措施，洒水抑尘范围为进场道路和</w:t>
            </w:r>
            <w:r>
              <w:rPr>
                <w:rFonts w:hint="eastAsia"/>
                <w:color w:val="auto"/>
                <w:sz w:val="24"/>
              </w:rPr>
              <w:t>井场</w:t>
            </w:r>
            <w:r>
              <w:rPr>
                <w:rFonts w:hint="default"/>
                <w:color w:val="auto"/>
                <w:sz w:val="24"/>
              </w:rPr>
              <w:t>。另外，为了</w:t>
            </w:r>
            <w:r>
              <w:rPr>
                <w:rFonts w:hint="eastAsia"/>
                <w:color w:val="auto"/>
                <w:sz w:val="24"/>
              </w:rPr>
              <w:t>抑制</w:t>
            </w:r>
            <w:r>
              <w:rPr>
                <w:rFonts w:hint="default"/>
                <w:color w:val="auto"/>
                <w:sz w:val="24"/>
              </w:rPr>
              <w:t>表土堆场产生扬尘，防止水力与风力的侵蚀，采用</w:t>
            </w:r>
            <w:r>
              <w:rPr>
                <w:rFonts w:hint="eastAsia"/>
                <w:color w:val="auto"/>
                <w:sz w:val="24"/>
                <w:lang w:eastAsia="zh-CN"/>
              </w:rPr>
              <w:t>盖土网</w:t>
            </w:r>
            <w:r>
              <w:rPr>
                <w:rFonts w:hint="default"/>
                <w:color w:val="auto"/>
                <w:sz w:val="24"/>
              </w:rPr>
              <w:t>覆盖，以抑制无组织扬尘的产生。通过上述措施后污染物排放情况满足《大气污染物综合排放标准》（GB16297-1996）中</w:t>
            </w:r>
            <w:r>
              <w:rPr>
                <w:rFonts w:hint="eastAsia"/>
                <w:color w:val="auto"/>
                <w:sz w:val="24"/>
              </w:rPr>
              <w:t>表2新污染源大气污染物排放限值中的颗粒物无组织排放监控浓度限值</w:t>
            </w:r>
            <w:r>
              <w:rPr>
                <w:rFonts w:hint="default"/>
                <w:color w:val="auto"/>
                <w:sz w:val="24"/>
              </w:rPr>
              <w:t>。</w:t>
            </w:r>
          </w:p>
          <w:p w14:paraId="2456E2C2">
            <w:pPr>
              <w:keepNext w:val="0"/>
              <w:keepLines w:val="0"/>
              <w:suppressLineNumbers w:val="0"/>
              <w:spacing w:before="0" w:beforeAutospacing="0" w:after="0" w:afterAutospacing="0" w:line="360" w:lineRule="auto"/>
              <w:ind w:left="0" w:right="0" w:firstLine="480"/>
              <w:rPr>
                <w:rFonts w:hint="default"/>
                <w:color w:val="auto"/>
                <w:sz w:val="24"/>
              </w:rPr>
            </w:pPr>
            <w:r>
              <w:rPr>
                <w:rFonts w:hint="default"/>
                <w:color w:val="auto"/>
                <w:sz w:val="24"/>
              </w:rPr>
              <w:t>2、</w:t>
            </w:r>
            <w:r>
              <w:rPr>
                <w:rFonts w:hint="eastAsia"/>
                <w:color w:val="auto"/>
                <w:sz w:val="24"/>
              </w:rPr>
              <w:t>柴油发电机尾气</w:t>
            </w:r>
          </w:p>
          <w:p w14:paraId="0BDCBCF0">
            <w:pPr>
              <w:keepNext w:val="0"/>
              <w:keepLines w:val="0"/>
              <w:suppressLineNumbers w:val="0"/>
              <w:spacing w:before="0" w:beforeAutospacing="0" w:after="0" w:afterAutospacing="0" w:line="360" w:lineRule="auto"/>
              <w:ind w:left="0" w:right="0" w:firstLine="480"/>
              <w:rPr>
                <w:rFonts w:hint="default"/>
                <w:color w:val="auto"/>
                <w:sz w:val="24"/>
              </w:rPr>
            </w:pPr>
            <w:r>
              <w:rPr>
                <w:rFonts w:hint="default"/>
                <w:color w:val="auto"/>
                <w:sz w:val="24"/>
              </w:rPr>
              <w:t>勘探井建设开发过程由柴油发电机提供动力，使用符合国标的0#或-35#轻质柴油，使用过程产生燃烧废气，污染因子为SO</w:t>
            </w:r>
            <w:r>
              <w:rPr>
                <w:rFonts w:hint="default"/>
                <w:color w:val="auto"/>
                <w:sz w:val="24"/>
                <w:vertAlign w:val="subscript"/>
              </w:rPr>
              <w:t>2</w:t>
            </w:r>
            <w:r>
              <w:rPr>
                <w:rFonts w:hint="default"/>
                <w:color w:val="auto"/>
                <w:sz w:val="24"/>
              </w:rPr>
              <w:t>、NO</w:t>
            </w:r>
            <w:r>
              <w:rPr>
                <w:rFonts w:hint="default"/>
                <w:color w:val="auto"/>
                <w:sz w:val="24"/>
                <w:vertAlign w:val="subscript"/>
              </w:rPr>
              <w:t>x</w:t>
            </w:r>
            <w:r>
              <w:rPr>
                <w:rFonts w:hint="default"/>
                <w:color w:val="auto"/>
                <w:sz w:val="24"/>
              </w:rPr>
              <w:t>、</w:t>
            </w:r>
            <w:r>
              <w:rPr>
                <w:rFonts w:hint="eastAsia"/>
                <w:color w:val="auto"/>
                <w:sz w:val="24"/>
                <w:lang w:eastAsia="zh-CN"/>
              </w:rPr>
              <w:t>颗粒物</w:t>
            </w:r>
            <w:r>
              <w:rPr>
                <w:rFonts w:hint="default"/>
                <w:color w:val="auto"/>
                <w:sz w:val="24"/>
              </w:rPr>
              <w:t>等。</w:t>
            </w:r>
          </w:p>
          <w:p w14:paraId="6B23C833">
            <w:pPr>
              <w:keepNext w:val="0"/>
              <w:keepLines w:val="0"/>
              <w:suppressLineNumbers w:val="0"/>
              <w:spacing w:before="0" w:beforeAutospacing="0" w:after="0" w:afterAutospacing="0" w:line="360" w:lineRule="auto"/>
              <w:ind w:left="0" w:right="0" w:firstLine="480"/>
              <w:rPr>
                <w:rFonts w:hint="eastAsia"/>
                <w:color w:val="auto"/>
                <w:sz w:val="24"/>
              </w:rPr>
            </w:pPr>
            <w:r>
              <w:rPr>
                <w:rFonts w:hint="default"/>
                <w:color w:val="auto"/>
                <w:sz w:val="24"/>
              </w:rPr>
              <w:t>依据华北油田生产统计资料，</w:t>
            </w:r>
            <w:r>
              <w:rPr>
                <w:rFonts w:hint="eastAsia"/>
                <w:color w:val="auto"/>
                <w:sz w:val="24"/>
              </w:rPr>
              <w:t>正常</w:t>
            </w:r>
            <w:r>
              <w:rPr>
                <w:rFonts w:hint="default"/>
                <w:color w:val="auto"/>
                <w:sz w:val="24"/>
              </w:rPr>
              <w:t>钻进时</w:t>
            </w:r>
            <w:r>
              <w:rPr>
                <w:rFonts w:hint="eastAsia"/>
                <w:color w:val="auto"/>
                <w:sz w:val="24"/>
              </w:rPr>
              <w:t>，</w:t>
            </w:r>
            <w:r>
              <w:rPr>
                <w:rFonts w:hint="default"/>
                <w:color w:val="auto"/>
                <w:sz w:val="24"/>
              </w:rPr>
              <w:t>平均每天消耗柴油量为</w:t>
            </w:r>
            <w:r>
              <w:rPr>
                <w:rFonts w:hint="eastAsia"/>
                <w:color w:val="auto"/>
                <w:sz w:val="24"/>
              </w:rPr>
              <w:t>4</w:t>
            </w:r>
            <w:r>
              <w:rPr>
                <w:rFonts w:hint="default"/>
                <w:color w:val="auto"/>
                <w:sz w:val="24"/>
              </w:rPr>
              <w:t>t/</w:t>
            </w:r>
            <w:r>
              <w:rPr>
                <w:rFonts w:hint="eastAsia"/>
                <w:color w:val="auto"/>
                <w:sz w:val="24"/>
              </w:rPr>
              <w:t>d</w:t>
            </w:r>
            <w:r>
              <w:rPr>
                <w:rFonts w:hint="default"/>
                <w:color w:val="auto"/>
                <w:sz w:val="24"/>
              </w:rPr>
              <w:t>，</w:t>
            </w:r>
            <w:r>
              <w:rPr>
                <w:rFonts w:hint="eastAsia"/>
                <w:color w:val="auto"/>
                <w:sz w:val="24"/>
              </w:rPr>
              <w:t>柴油密度约为0</w:t>
            </w:r>
            <w:r>
              <w:rPr>
                <w:rFonts w:hint="default"/>
                <w:color w:val="auto"/>
                <w:sz w:val="24"/>
              </w:rPr>
              <w:t>.85</w:t>
            </w:r>
            <w:r>
              <w:rPr>
                <w:rFonts w:hint="eastAsia"/>
                <w:color w:val="auto"/>
                <w:sz w:val="24"/>
              </w:rPr>
              <w:t>t</w:t>
            </w:r>
            <w:r>
              <w:rPr>
                <w:rFonts w:hint="default"/>
                <w:color w:val="auto"/>
                <w:sz w:val="24"/>
              </w:rPr>
              <w:t>/</w:t>
            </w:r>
            <w:r>
              <w:rPr>
                <w:rFonts w:hint="eastAsia"/>
                <w:color w:val="auto"/>
                <w:sz w:val="24"/>
              </w:rPr>
              <w:t>m</w:t>
            </w:r>
            <w:r>
              <w:rPr>
                <w:rFonts w:hint="default"/>
                <w:color w:val="auto"/>
                <w:sz w:val="24"/>
                <w:vertAlign w:val="superscript"/>
              </w:rPr>
              <w:t>3</w:t>
            </w:r>
            <w:r>
              <w:rPr>
                <w:rFonts w:hint="eastAsia"/>
                <w:color w:val="auto"/>
                <w:sz w:val="24"/>
              </w:rPr>
              <w:t>，</w:t>
            </w:r>
            <w:r>
              <w:rPr>
                <w:rFonts w:hint="eastAsia"/>
                <w:color w:val="auto"/>
                <w:sz w:val="24"/>
                <w:lang w:eastAsia="zh-CN"/>
              </w:rPr>
              <w:t>本工程</w:t>
            </w:r>
            <w:r>
              <w:rPr>
                <w:rFonts w:hint="default"/>
                <w:color w:val="auto"/>
                <w:sz w:val="24"/>
              </w:rPr>
              <w:t>勘探期总计消耗柴油量</w:t>
            </w:r>
            <w:r>
              <w:rPr>
                <w:rFonts w:hint="eastAsia"/>
                <w:color w:val="auto"/>
                <w:sz w:val="24"/>
              </w:rPr>
              <w:t>240</w:t>
            </w:r>
            <w:r>
              <w:rPr>
                <w:rFonts w:hint="default"/>
                <w:color w:val="auto"/>
                <w:sz w:val="24"/>
              </w:rPr>
              <w:t>t（</w:t>
            </w:r>
            <w:r>
              <w:rPr>
                <w:rFonts w:hint="eastAsia"/>
                <w:color w:val="auto"/>
                <w:sz w:val="24"/>
              </w:rPr>
              <w:t>282</w:t>
            </w:r>
            <w:r>
              <w:rPr>
                <w:rFonts w:hint="default"/>
                <w:color w:val="auto"/>
                <w:sz w:val="24"/>
              </w:rPr>
              <w:t>m</w:t>
            </w:r>
            <w:r>
              <w:rPr>
                <w:rFonts w:hint="default"/>
                <w:color w:val="auto"/>
                <w:sz w:val="24"/>
                <w:vertAlign w:val="superscript"/>
              </w:rPr>
              <w:t>3</w:t>
            </w:r>
            <w:r>
              <w:rPr>
                <w:rFonts w:hint="default"/>
                <w:color w:val="auto"/>
                <w:sz w:val="24"/>
              </w:rPr>
              <w:t>）</w:t>
            </w:r>
            <w:r>
              <w:rPr>
                <w:rFonts w:hint="eastAsia"/>
                <w:color w:val="auto"/>
                <w:sz w:val="24"/>
              </w:rPr>
              <w:t>。</w:t>
            </w:r>
            <w:r>
              <w:rPr>
                <w:rFonts w:hint="default"/>
                <w:color w:val="auto"/>
                <w:sz w:val="24"/>
              </w:rPr>
              <w:t>根据环评工程师注册培训教材《社会区域》给出的计算参数：发电机运行污染物排放系数为：SO</w:t>
            </w:r>
            <w:r>
              <w:rPr>
                <w:rFonts w:hint="default"/>
                <w:color w:val="auto"/>
                <w:sz w:val="24"/>
                <w:vertAlign w:val="subscript"/>
              </w:rPr>
              <w:t>2</w:t>
            </w:r>
            <w:r>
              <w:rPr>
                <w:rFonts w:hint="eastAsia"/>
                <w:color w:val="auto"/>
                <w:sz w:val="24"/>
                <w:vertAlign w:val="subscript"/>
              </w:rPr>
              <w:t xml:space="preserve"> </w:t>
            </w:r>
            <w:r>
              <w:rPr>
                <w:rFonts w:hint="default"/>
                <w:color w:val="auto"/>
                <w:sz w:val="24"/>
              </w:rPr>
              <w:t>4g/L，NO</w:t>
            </w:r>
            <w:r>
              <w:rPr>
                <w:rFonts w:hint="default"/>
                <w:color w:val="auto"/>
                <w:sz w:val="24"/>
                <w:vertAlign w:val="subscript"/>
              </w:rPr>
              <w:t>X</w:t>
            </w:r>
            <w:r>
              <w:rPr>
                <w:rFonts w:hint="default"/>
                <w:color w:val="auto"/>
                <w:sz w:val="24"/>
              </w:rPr>
              <w:t xml:space="preserve"> 2.56g/L，</w:t>
            </w:r>
            <w:r>
              <w:rPr>
                <w:rFonts w:hint="eastAsia"/>
                <w:color w:val="auto"/>
                <w:sz w:val="24"/>
                <w:lang w:eastAsia="zh-CN"/>
              </w:rPr>
              <w:t>颗粒物</w:t>
            </w:r>
            <w:r>
              <w:rPr>
                <w:rFonts w:hint="eastAsia"/>
                <w:color w:val="auto"/>
                <w:sz w:val="24"/>
              </w:rPr>
              <w:t xml:space="preserve"> </w:t>
            </w:r>
            <w:r>
              <w:rPr>
                <w:rFonts w:hint="default"/>
                <w:color w:val="auto"/>
                <w:sz w:val="24"/>
              </w:rPr>
              <w:t>0.714g/L。烟气量可按20m</w:t>
            </w:r>
            <w:r>
              <w:rPr>
                <w:rFonts w:hint="default"/>
                <w:color w:val="auto"/>
                <w:sz w:val="24"/>
                <w:vertAlign w:val="superscript"/>
              </w:rPr>
              <w:t>3</w:t>
            </w:r>
            <w:r>
              <w:rPr>
                <w:rFonts w:hint="default"/>
                <w:color w:val="auto"/>
                <w:sz w:val="24"/>
              </w:rPr>
              <w:t>/kg计。排气筒高度5m，根据原</w:t>
            </w:r>
            <w:r>
              <w:rPr>
                <w:rFonts w:hint="default"/>
                <w:color w:val="auto"/>
                <w:sz w:val="24"/>
                <w:highlight w:val="none"/>
              </w:rPr>
              <w:t>环保部</w:t>
            </w:r>
            <w:r>
              <w:rPr>
                <w:rFonts w:hint="default"/>
                <w:color w:val="auto"/>
                <w:sz w:val="24"/>
              </w:rPr>
              <w:t>部长信箱中《关于GB16297-1996</w:t>
            </w:r>
            <w:r>
              <w:rPr>
                <w:rFonts w:hint="eastAsia"/>
                <w:color w:val="auto"/>
                <w:sz w:val="24"/>
              </w:rPr>
              <w:t>〈</w:t>
            </w:r>
            <w:r>
              <w:rPr>
                <w:rFonts w:hint="default"/>
                <w:color w:val="auto"/>
                <w:sz w:val="24"/>
              </w:rPr>
              <w:t>大气污染物综合排放标准</w:t>
            </w:r>
            <w:r>
              <w:rPr>
                <w:rFonts w:hint="eastAsia"/>
                <w:color w:val="auto"/>
                <w:sz w:val="24"/>
              </w:rPr>
              <w:t>〉</w:t>
            </w:r>
            <w:r>
              <w:rPr>
                <w:rFonts w:hint="default"/>
                <w:color w:val="auto"/>
                <w:sz w:val="24"/>
              </w:rPr>
              <w:t>的适用范围的回复》，对于固定式柴油发电机污染物排放浓度按照《大气污染物综合排放标准》（GB16297-1996）中的最高允许排放浓度指标进行控制，对排气筒高度和排放速率暂不作要求。则主要污染物排放情况见下表。</w:t>
            </w:r>
          </w:p>
          <w:p w14:paraId="4CF1088D">
            <w:pPr>
              <w:keepNext w:val="0"/>
              <w:keepLines w:val="0"/>
              <w:suppressLineNumbers w:val="0"/>
              <w:spacing w:before="0" w:beforeAutospacing="0" w:after="0" w:afterAutospacing="0" w:line="320" w:lineRule="exact"/>
              <w:ind w:left="0" w:right="0"/>
              <w:jc w:val="center"/>
              <w:rPr>
                <w:rFonts w:hint="default"/>
                <w:b/>
                <w:color w:val="auto"/>
                <w:sz w:val="24"/>
              </w:rPr>
            </w:pPr>
          </w:p>
          <w:p w14:paraId="20D9835A">
            <w:pPr>
              <w:keepNext w:val="0"/>
              <w:keepLines w:val="0"/>
              <w:suppressLineNumbers w:val="0"/>
              <w:spacing w:before="0" w:beforeAutospacing="0" w:after="0" w:afterAutospacing="0" w:line="320" w:lineRule="exact"/>
              <w:ind w:left="0" w:right="0"/>
              <w:jc w:val="center"/>
              <w:rPr>
                <w:rFonts w:hint="default"/>
                <w:b/>
                <w:color w:val="auto"/>
                <w:sz w:val="24"/>
              </w:rPr>
            </w:pPr>
          </w:p>
          <w:p w14:paraId="44B1D684">
            <w:pPr>
              <w:keepNext w:val="0"/>
              <w:keepLines w:val="0"/>
              <w:suppressLineNumbers w:val="0"/>
              <w:spacing w:before="0" w:beforeAutospacing="0" w:after="0" w:afterAutospacing="0" w:line="320" w:lineRule="exact"/>
              <w:ind w:left="0" w:right="0"/>
              <w:jc w:val="center"/>
              <w:rPr>
                <w:rFonts w:hint="default"/>
                <w:b/>
                <w:color w:val="auto"/>
                <w:sz w:val="24"/>
              </w:rPr>
            </w:pPr>
            <w:r>
              <w:rPr>
                <w:rFonts w:hint="default"/>
                <w:b/>
                <w:color w:val="auto"/>
                <w:sz w:val="24"/>
              </w:rPr>
              <w:t>表</w:t>
            </w:r>
            <w:r>
              <w:rPr>
                <w:rFonts w:hint="eastAsia"/>
                <w:b/>
                <w:color w:val="auto"/>
                <w:sz w:val="24"/>
              </w:rPr>
              <w:t>4</w:t>
            </w:r>
            <w:r>
              <w:rPr>
                <w:rFonts w:hint="default"/>
                <w:b/>
                <w:color w:val="auto"/>
                <w:sz w:val="24"/>
              </w:rPr>
              <w:t xml:space="preserve">-1 </w:t>
            </w:r>
            <w:r>
              <w:rPr>
                <w:rFonts w:hint="eastAsia"/>
                <w:b/>
                <w:color w:val="auto"/>
                <w:sz w:val="24"/>
                <w:lang w:eastAsia="zh-CN"/>
              </w:rPr>
              <w:t>发电机</w:t>
            </w:r>
            <w:r>
              <w:rPr>
                <w:rFonts w:hint="default"/>
                <w:b/>
                <w:color w:val="auto"/>
                <w:sz w:val="24"/>
              </w:rPr>
              <w:t>废气污染物排放情况</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593"/>
              <w:gridCol w:w="1047"/>
              <w:gridCol w:w="1741"/>
              <w:gridCol w:w="1442"/>
              <w:gridCol w:w="2372"/>
            </w:tblGrid>
            <w:tr w14:paraId="2619433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16" w:hRule="atLeast"/>
                <w:jc w:val="center"/>
              </w:trPr>
              <w:tc>
                <w:tcPr>
                  <w:tcW w:w="972" w:type="pct"/>
                  <w:noWrap w:val="0"/>
                  <w:vAlign w:val="center"/>
                </w:tcPr>
                <w:p w14:paraId="2C6514F5">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污染源</w:t>
                  </w:r>
                </w:p>
              </w:tc>
              <w:tc>
                <w:tcPr>
                  <w:tcW w:w="639" w:type="pct"/>
                  <w:noWrap w:val="0"/>
                  <w:vAlign w:val="center"/>
                </w:tcPr>
                <w:p w14:paraId="6F19A741">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油耗kg/h</w:t>
                  </w:r>
                </w:p>
              </w:tc>
              <w:tc>
                <w:tcPr>
                  <w:tcW w:w="1062" w:type="pct"/>
                  <w:noWrap w:val="0"/>
                  <w:vAlign w:val="center"/>
                </w:tcPr>
                <w:p w14:paraId="6190F919">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烟气量m</w:t>
                  </w:r>
                  <w:r>
                    <w:rPr>
                      <w:rFonts w:hint="default"/>
                      <w:color w:val="auto"/>
                      <w:szCs w:val="21"/>
                      <w:vertAlign w:val="superscript"/>
                    </w:rPr>
                    <w:t>3</w:t>
                  </w:r>
                  <w:r>
                    <w:rPr>
                      <w:rFonts w:hint="default"/>
                      <w:color w:val="auto"/>
                      <w:szCs w:val="21"/>
                    </w:rPr>
                    <w:t>/h</w:t>
                  </w:r>
                </w:p>
              </w:tc>
              <w:tc>
                <w:tcPr>
                  <w:tcW w:w="880" w:type="pct"/>
                  <w:noWrap w:val="0"/>
                  <w:vAlign w:val="center"/>
                </w:tcPr>
                <w:p w14:paraId="41A5568E">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污染物名称</w:t>
                  </w:r>
                </w:p>
              </w:tc>
              <w:tc>
                <w:tcPr>
                  <w:tcW w:w="1447" w:type="pct"/>
                  <w:noWrap w:val="0"/>
                  <w:vAlign w:val="center"/>
                </w:tcPr>
                <w:p w14:paraId="59460EB4">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排放浓度 mg/m</w:t>
                  </w:r>
                  <w:r>
                    <w:rPr>
                      <w:rFonts w:hint="default"/>
                      <w:color w:val="auto"/>
                      <w:szCs w:val="21"/>
                      <w:vertAlign w:val="superscript"/>
                    </w:rPr>
                    <w:t>3</w:t>
                  </w:r>
                </w:p>
              </w:tc>
            </w:tr>
            <w:tr w14:paraId="3B04176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72" w:type="pct"/>
                  <w:vMerge w:val="restart"/>
                  <w:noWrap w:val="0"/>
                  <w:vAlign w:val="center"/>
                </w:tcPr>
                <w:p w14:paraId="347B8888">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柴油发电机组</w:t>
                  </w:r>
                </w:p>
              </w:tc>
              <w:tc>
                <w:tcPr>
                  <w:tcW w:w="639" w:type="pct"/>
                  <w:vMerge w:val="restart"/>
                  <w:noWrap w:val="0"/>
                  <w:vAlign w:val="center"/>
                </w:tcPr>
                <w:p w14:paraId="064FF84E">
                  <w:pPr>
                    <w:keepNext w:val="0"/>
                    <w:keepLines w:val="0"/>
                    <w:suppressLineNumbers w:val="0"/>
                    <w:spacing w:before="0" w:beforeAutospacing="0" w:after="0" w:afterAutospacing="0" w:line="0" w:lineRule="atLeast"/>
                    <w:ind w:left="0" w:right="0"/>
                    <w:jc w:val="center"/>
                    <w:rPr>
                      <w:rFonts w:hint="default"/>
                      <w:color w:val="auto"/>
                      <w:szCs w:val="21"/>
                    </w:rPr>
                  </w:pPr>
                  <w:r>
                    <w:rPr>
                      <w:rFonts w:hint="eastAsia"/>
                      <w:color w:val="auto"/>
                      <w:szCs w:val="21"/>
                    </w:rPr>
                    <w:t>166.67</w:t>
                  </w:r>
                </w:p>
              </w:tc>
              <w:tc>
                <w:tcPr>
                  <w:tcW w:w="1062" w:type="pct"/>
                  <w:vMerge w:val="restart"/>
                  <w:noWrap w:val="0"/>
                  <w:vAlign w:val="center"/>
                </w:tcPr>
                <w:p w14:paraId="2057B1D7">
                  <w:pPr>
                    <w:keepNext w:val="0"/>
                    <w:keepLines w:val="0"/>
                    <w:suppressLineNumbers w:val="0"/>
                    <w:spacing w:before="0" w:beforeAutospacing="0" w:after="0" w:afterAutospacing="0" w:line="0" w:lineRule="atLeast"/>
                    <w:ind w:left="0" w:right="0"/>
                    <w:jc w:val="center"/>
                    <w:rPr>
                      <w:rFonts w:hint="default"/>
                      <w:color w:val="auto"/>
                      <w:szCs w:val="21"/>
                    </w:rPr>
                  </w:pPr>
                  <w:r>
                    <w:rPr>
                      <w:rFonts w:hint="eastAsia"/>
                      <w:color w:val="auto"/>
                      <w:szCs w:val="21"/>
                    </w:rPr>
                    <w:t>3333.33</w:t>
                  </w:r>
                </w:p>
              </w:tc>
              <w:tc>
                <w:tcPr>
                  <w:tcW w:w="880" w:type="pct"/>
                  <w:noWrap w:val="0"/>
                  <w:vAlign w:val="center"/>
                </w:tcPr>
                <w:p w14:paraId="788AD6B6">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SO</w:t>
                  </w:r>
                  <w:r>
                    <w:rPr>
                      <w:rFonts w:hint="default"/>
                      <w:color w:val="auto"/>
                      <w:szCs w:val="21"/>
                      <w:vertAlign w:val="subscript"/>
                    </w:rPr>
                    <w:t>2</w:t>
                  </w:r>
                </w:p>
              </w:tc>
              <w:tc>
                <w:tcPr>
                  <w:tcW w:w="1447" w:type="pct"/>
                  <w:noWrap w:val="0"/>
                  <w:vAlign w:val="center"/>
                </w:tcPr>
                <w:p w14:paraId="177DA26C">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23</w:t>
                  </w:r>
                  <w:r>
                    <w:rPr>
                      <w:rFonts w:hint="eastAsia"/>
                      <w:color w:val="auto"/>
                      <w:szCs w:val="21"/>
                    </w:rPr>
                    <w:t>5</w:t>
                  </w:r>
                </w:p>
              </w:tc>
            </w:tr>
            <w:tr w14:paraId="070CF8D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72" w:type="pct"/>
                  <w:vMerge w:val="continue"/>
                  <w:noWrap w:val="0"/>
                  <w:vAlign w:val="center"/>
                </w:tcPr>
                <w:p w14:paraId="33334606">
                  <w:pPr>
                    <w:keepNext w:val="0"/>
                    <w:keepLines w:val="0"/>
                    <w:suppressLineNumbers w:val="0"/>
                    <w:spacing w:before="0" w:beforeAutospacing="0" w:after="0" w:afterAutospacing="0" w:line="0" w:lineRule="atLeast"/>
                    <w:ind w:left="0" w:right="0"/>
                    <w:jc w:val="center"/>
                    <w:rPr>
                      <w:rFonts w:hint="default"/>
                      <w:color w:val="auto"/>
                      <w:szCs w:val="21"/>
                    </w:rPr>
                  </w:pPr>
                </w:p>
              </w:tc>
              <w:tc>
                <w:tcPr>
                  <w:tcW w:w="639" w:type="pct"/>
                  <w:vMerge w:val="continue"/>
                  <w:noWrap w:val="0"/>
                  <w:vAlign w:val="center"/>
                </w:tcPr>
                <w:p w14:paraId="2D2D69A6">
                  <w:pPr>
                    <w:keepNext w:val="0"/>
                    <w:keepLines w:val="0"/>
                    <w:suppressLineNumbers w:val="0"/>
                    <w:spacing w:before="0" w:beforeAutospacing="0" w:after="0" w:afterAutospacing="0" w:line="0" w:lineRule="atLeast"/>
                    <w:ind w:left="0" w:right="0"/>
                    <w:jc w:val="center"/>
                    <w:rPr>
                      <w:rFonts w:hint="default"/>
                      <w:color w:val="auto"/>
                      <w:szCs w:val="21"/>
                    </w:rPr>
                  </w:pPr>
                </w:p>
              </w:tc>
              <w:tc>
                <w:tcPr>
                  <w:tcW w:w="1062" w:type="pct"/>
                  <w:vMerge w:val="continue"/>
                  <w:noWrap w:val="0"/>
                  <w:vAlign w:val="center"/>
                </w:tcPr>
                <w:p w14:paraId="372FADB9">
                  <w:pPr>
                    <w:keepNext w:val="0"/>
                    <w:keepLines w:val="0"/>
                    <w:suppressLineNumbers w:val="0"/>
                    <w:spacing w:before="0" w:beforeAutospacing="0" w:after="0" w:afterAutospacing="0" w:line="0" w:lineRule="atLeast"/>
                    <w:ind w:left="0" w:right="0"/>
                    <w:jc w:val="center"/>
                    <w:rPr>
                      <w:rFonts w:hint="default"/>
                      <w:color w:val="auto"/>
                      <w:szCs w:val="21"/>
                    </w:rPr>
                  </w:pPr>
                </w:p>
              </w:tc>
              <w:tc>
                <w:tcPr>
                  <w:tcW w:w="880" w:type="pct"/>
                  <w:noWrap w:val="0"/>
                  <w:vAlign w:val="center"/>
                </w:tcPr>
                <w:p w14:paraId="2590C492">
                  <w:pPr>
                    <w:keepNext w:val="0"/>
                    <w:keepLines w:val="0"/>
                    <w:suppressLineNumbers w:val="0"/>
                    <w:spacing w:before="0" w:beforeAutospacing="0" w:after="0" w:afterAutospacing="0" w:line="0" w:lineRule="atLeast"/>
                    <w:ind w:left="0" w:right="0"/>
                    <w:jc w:val="center"/>
                    <w:rPr>
                      <w:rFonts w:hint="default"/>
                      <w:color w:val="auto"/>
                      <w:szCs w:val="21"/>
                    </w:rPr>
                  </w:pPr>
                  <w:r>
                    <w:rPr>
                      <w:rFonts w:hint="eastAsia"/>
                      <w:color w:val="auto"/>
                      <w:szCs w:val="21"/>
                    </w:rPr>
                    <w:t>N</w:t>
                  </w:r>
                  <w:r>
                    <w:rPr>
                      <w:rFonts w:hint="default"/>
                      <w:color w:val="auto"/>
                      <w:szCs w:val="21"/>
                    </w:rPr>
                    <w:t>Ox</w:t>
                  </w:r>
                </w:p>
              </w:tc>
              <w:tc>
                <w:tcPr>
                  <w:tcW w:w="1447" w:type="pct"/>
                  <w:noWrap w:val="0"/>
                  <w:vAlign w:val="center"/>
                </w:tcPr>
                <w:p w14:paraId="21F659F2">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15</w:t>
                  </w:r>
                  <w:r>
                    <w:rPr>
                      <w:rFonts w:hint="eastAsia"/>
                      <w:color w:val="auto"/>
                      <w:szCs w:val="21"/>
                    </w:rPr>
                    <w:t>0</w:t>
                  </w:r>
                </w:p>
              </w:tc>
            </w:tr>
            <w:tr w14:paraId="0B81FE5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72" w:type="pct"/>
                  <w:vMerge w:val="continue"/>
                  <w:noWrap w:val="0"/>
                  <w:vAlign w:val="center"/>
                </w:tcPr>
                <w:p w14:paraId="52F367F6">
                  <w:pPr>
                    <w:keepNext w:val="0"/>
                    <w:keepLines w:val="0"/>
                    <w:suppressLineNumbers w:val="0"/>
                    <w:spacing w:before="0" w:beforeAutospacing="0" w:after="0" w:afterAutospacing="0" w:line="0" w:lineRule="atLeast"/>
                    <w:ind w:left="0" w:right="0"/>
                    <w:jc w:val="center"/>
                    <w:rPr>
                      <w:rFonts w:hint="default"/>
                      <w:color w:val="auto"/>
                      <w:szCs w:val="21"/>
                    </w:rPr>
                  </w:pPr>
                </w:p>
              </w:tc>
              <w:tc>
                <w:tcPr>
                  <w:tcW w:w="639" w:type="pct"/>
                  <w:vMerge w:val="continue"/>
                  <w:noWrap w:val="0"/>
                  <w:vAlign w:val="center"/>
                </w:tcPr>
                <w:p w14:paraId="7ED43385">
                  <w:pPr>
                    <w:keepNext w:val="0"/>
                    <w:keepLines w:val="0"/>
                    <w:suppressLineNumbers w:val="0"/>
                    <w:spacing w:before="0" w:beforeAutospacing="0" w:after="0" w:afterAutospacing="0" w:line="0" w:lineRule="atLeast"/>
                    <w:ind w:left="0" w:right="0"/>
                    <w:jc w:val="center"/>
                    <w:rPr>
                      <w:rFonts w:hint="default"/>
                      <w:color w:val="auto"/>
                      <w:szCs w:val="21"/>
                    </w:rPr>
                  </w:pPr>
                </w:p>
              </w:tc>
              <w:tc>
                <w:tcPr>
                  <w:tcW w:w="1062" w:type="pct"/>
                  <w:vMerge w:val="continue"/>
                  <w:noWrap w:val="0"/>
                  <w:vAlign w:val="center"/>
                </w:tcPr>
                <w:p w14:paraId="34F3BE58">
                  <w:pPr>
                    <w:keepNext w:val="0"/>
                    <w:keepLines w:val="0"/>
                    <w:suppressLineNumbers w:val="0"/>
                    <w:spacing w:before="0" w:beforeAutospacing="0" w:after="0" w:afterAutospacing="0" w:line="0" w:lineRule="atLeast"/>
                    <w:ind w:left="0" w:right="0"/>
                    <w:jc w:val="center"/>
                    <w:rPr>
                      <w:rFonts w:hint="default"/>
                      <w:color w:val="auto"/>
                      <w:szCs w:val="21"/>
                    </w:rPr>
                  </w:pPr>
                </w:p>
              </w:tc>
              <w:tc>
                <w:tcPr>
                  <w:tcW w:w="880" w:type="pct"/>
                  <w:noWrap w:val="0"/>
                  <w:vAlign w:val="center"/>
                </w:tcPr>
                <w:p w14:paraId="7253EBA6">
                  <w:pPr>
                    <w:keepNext w:val="0"/>
                    <w:keepLines w:val="0"/>
                    <w:suppressLineNumbers w:val="0"/>
                    <w:spacing w:before="0" w:beforeAutospacing="0" w:after="0" w:afterAutospacing="0" w:line="0" w:lineRule="atLeast"/>
                    <w:ind w:left="0" w:right="0"/>
                    <w:jc w:val="center"/>
                    <w:rPr>
                      <w:rFonts w:hint="eastAsia" w:eastAsia="宋体"/>
                      <w:color w:val="auto"/>
                      <w:szCs w:val="21"/>
                      <w:lang w:eastAsia="zh-CN"/>
                    </w:rPr>
                  </w:pPr>
                  <w:r>
                    <w:rPr>
                      <w:rFonts w:hint="eastAsia"/>
                      <w:color w:val="auto"/>
                      <w:szCs w:val="21"/>
                      <w:lang w:eastAsia="zh-CN"/>
                    </w:rPr>
                    <w:t>颗粒物</w:t>
                  </w:r>
                </w:p>
              </w:tc>
              <w:tc>
                <w:tcPr>
                  <w:tcW w:w="1447" w:type="pct"/>
                  <w:noWrap w:val="0"/>
                  <w:vAlign w:val="center"/>
                </w:tcPr>
                <w:p w14:paraId="1AB7505F">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4</w:t>
                  </w:r>
                  <w:r>
                    <w:rPr>
                      <w:rFonts w:hint="eastAsia"/>
                      <w:color w:val="auto"/>
                      <w:szCs w:val="21"/>
                    </w:rPr>
                    <w:t>2</w:t>
                  </w:r>
                </w:p>
              </w:tc>
            </w:tr>
          </w:tbl>
          <w:p w14:paraId="1DDEE818">
            <w:pPr>
              <w:keepNext w:val="0"/>
              <w:keepLines w:val="0"/>
              <w:widowControl/>
              <w:suppressLineNumbers w:val="0"/>
              <w:adjustRightInd w:val="0"/>
              <w:snapToGrid w:val="0"/>
              <w:spacing w:before="0" w:beforeAutospacing="0" w:after="0" w:afterAutospacing="0" w:line="360" w:lineRule="auto"/>
              <w:ind w:left="0" w:right="0" w:firstLine="480" w:firstLineChars="200"/>
              <w:rPr>
                <w:rFonts w:hint="default" w:eastAsia="宋体"/>
                <w:color w:val="auto"/>
                <w:sz w:val="24"/>
                <w:lang w:val="en-US" w:eastAsia="zh-CN"/>
              </w:rPr>
            </w:pPr>
            <w:r>
              <w:rPr>
                <w:rFonts w:hint="default"/>
                <w:color w:val="auto"/>
                <w:sz w:val="24"/>
              </w:rPr>
              <w:t>项目勘探期污染物总排放量SO</w:t>
            </w:r>
            <w:r>
              <w:rPr>
                <w:rFonts w:hint="default"/>
                <w:color w:val="auto"/>
                <w:sz w:val="24"/>
                <w:vertAlign w:val="subscript"/>
              </w:rPr>
              <w:t>2</w:t>
            </w:r>
            <w:r>
              <w:rPr>
                <w:rFonts w:hint="default"/>
                <w:color w:val="auto"/>
                <w:sz w:val="24"/>
              </w:rPr>
              <w:t>为</w:t>
            </w:r>
            <w:r>
              <w:rPr>
                <w:rFonts w:hint="eastAsia"/>
                <w:color w:val="auto"/>
                <w:sz w:val="24"/>
                <w:lang w:val="en-US" w:eastAsia="zh-CN"/>
              </w:rPr>
              <w:t>1.128</w:t>
            </w:r>
            <w:r>
              <w:rPr>
                <w:rFonts w:hint="default"/>
                <w:color w:val="auto"/>
                <w:sz w:val="24"/>
              </w:rPr>
              <w:t>t/勘探期、NOx为</w:t>
            </w:r>
            <w:r>
              <w:rPr>
                <w:rFonts w:hint="eastAsia"/>
                <w:color w:val="auto"/>
                <w:sz w:val="24"/>
                <w:lang w:val="en-US" w:eastAsia="zh-CN"/>
              </w:rPr>
              <w:t>0.72t</w:t>
            </w:r>
            <w:r>
              <w:rPr>
                <w:rFonts w:hint="default"/>
                <w:color w:val="auto"/>
                <w:sz w:val="24"/>
              </w:rPr>
              <w:t>/勘探期、颗粒物（</w:t>
            </w:r>
            <w:r>
              <w:rPr>
                <w:rFonts w:hint="eastAsia"/>
                <w:color w:val="auto"/>
                <w:sz w:val="24"/>
                <w:lang w:eastAsia="zh-CN"/>
              </w:rPr>
              <w:t>颗粒物</w:t>
            </w:r>
            <w:r>
              <w:rPr>
                <w:rFonts w:hint="default"/>
                <w:color w:val="auto"/>
                <w:sz w:val="24"/>
              </w:rPr>
              <w:t>）为0.</w:t>
            </w:r>
            <w:r>
              <w:rPr>
                <w:rFonts w:hint="eastAsia"/>
                <w:color w:val="auto"/>
                <w:sz w:val="24"/>
                <w:lang w:val="en-US" w:eastAsia="zh-CN"/>
              </w:rPr>
              <w:t>215</w:t>
            </w:r>
            <w:r>
              <w:rPr>
                <w:rFonts w:hint="default"/>
                <w:color w:val="auto"/>
                <w:sz w:val="24"/>
              </w:rPr>
              <w:t>t/勘探期</w:t>
            </w:r>
            <w:r>
              <w:rPr>
                <w:rFonts w:hint="eastAsia"/>
                <w:color w:val="auto"/>
                <w:sz w:val="24"/>
              </w:rPr>
              <w:t>，</w:t>
            </w:r>
            <w:r>
              <w:rPr>
                <w:rFonts w:hint="default"/>
                <w:color w:val="auto"/>
                <w:sz w:val="24"/>
              </w:rPr>
              <w:t>排放浓度SO</w:t>
            </w:r>
            <w:r>
              <w:rPr>
                <w:rFonts w:hint="default"/>
                <w:color w:val="auto"/>
                <w:sz w:val="24"/>
                <w:vertAlign w:val="subscript"/>
              </w:rPr>
              <w:t>2</w:t>
            </w:r>
            <w:r>
              <w:rPr>
                <w:rFonts w:hint="default"/>
                <w:color w:val="auto"/>
                <w:sz w:val="24"/>
              </w:rPr>
              <w:t>为235mg/m</w:t>
            </w:r>
            <w:r>
              <w:rPr>
                <w:rFonts w:hint="default"/>
                <w:color w:val="auto"/>
                <w:sz w:val="24"/>
                <w:vertAlign w:val="superscript"/>
              </w:rPr>
              <w:t>3</w:t>
            </w:r>
            <w:r>
              <w:rPr>
                <w:rFonts w:hint="default"/>
                <w:color w:val="auto"/>
                <w:sz w:val="24"/>
              </w:rPr>
              <w:t>、NOx为150mg/m</w:t>
            </w:r>
            <w:r>
              <w:rPr>
                <w:rFonts w:hint="default"/>
                <w:color w:val="auto"/>
                <w:sz w:val="24"/>
                <w:vertAlign w:val="superscript"/>
              </w:rPr>
              <w:t>3</w:t>
            </w:r>
            <w:r>
              <w:rPr>
                <w:rFonts w:hint="default"/>
                <w:color w:val="auto"/>
                <w:sz w:val="24"/>
              </w:rPr>
              <w:t>、颗粒物（</w:t>
            </w:r>
            <w:r>
              <w:rPr>
                <w:rFonts w:hint="eastAsia"/>
                <w:color w:val="auto"/>
                <w:sz w:val="24"/>
                <w:lang w:eastAsia="zh-CN"/>
              </w:rPr>
              <w:t>颗粒物</w:t>
            </w:r>
            <w:r>
              <w:rPr>
                <w:rFonts w:hint="default"/>
                <w:color w:val="auto"/>
                <w:sz w:val="24"/>
              </w:rPr>
              <w:t>）为42mg/m</w:t>
            </w:r>
            <w:r>
              <w:rPr>
                <w:rFonts w:hint="default"/>
                <w:color w:val="auto"/>
                <w:sz w:val="24"/>
                <w:vertAlign w:val="superscript"/>
              </w:rPr>
              <w:t>3</w:t>
            </w:r>
            <w:r>
              <w:rPr>
                <w:rFonts w:hint="default"/>
                <w:color w:val="auto"/>
                <w:sz w:val="24"/>
              </w:rPr>
              <w:t>。污染物排放情况满足《大气污染物综合排放标准》（GB16297-1996）中表2最高允许排放浓度指标要求。</w:t>
            </w:r>
          </w:p>
          <w:p w14:paraId="36A58ED4">
            <w:pPr>
              <w:keepNext w:val="0"/>
              <w:keepLines w:val="0"/>
              <w:suppressLineNumbers w:val="0"/>
              <w:spacing w:before="0" w:beforeAutospacing="0" w:after="0" w:afterAutospacing="0" w:line="360" w:lineRule="auto"/>
              <w:ind w:left="0" w:right="0" w:firstLine="480"/>
              <w:rPr>
                <w:rFonts w:hint="default"/>
                <w:color w:val="auto"/>
                <w:sz w:val="24"/>
              </w:rPr>
            </w:pPr>
            <w:r>
              <w:rPr>
                <w:rFonts w:hint="default"/>
                <w:color w:val="auto"/>
                <w:sz w:val="24"/>
              </w:rPr>
              <w:t>3、柴油罐挥发非甲烷总烃废气</w:t>
            </w:r>
          </w:p>
          <w:p w14:paraId="121481D0">
            <w:pPr>
              <w:keepNext w:val="0"/>
              <w:keepLines w:val="0"/>
              <w:suppressLineNumbers w:val="0"/>
              <w:spacing w:before="0" w:beforeAutospacing="0" w:after="0" w:afterAutospacing="0" w:line="360" w:lineRule="auto"/>
              <w:ind w:left="0" w:right="0" w:firstLine="480"/>
              <w:rPr>
                <w:rFonts w:hint="default"/>
                <w:color w:val="auto"/>
                <w:sz w:val="24"/>
              </w:rPr>
            </w:pPr>
            <w:r>
              <w:rPr>
                <w:rFonts w:hint="eastAsia"/>
                <w:color w:val="auto"/>
                <w:sz w:val="24"/>
                <w:lang w:eastAsia="zh-CN"/>
              </w:rPr>
              <w:t>本工程</w:t>
            </w:r>
            <w:r>
              <w:rPr>
                <w:rFonts w:hint="default"/>
                <w:color w:val="auto"/>
                <w:sz w:val="24"/>
              </w:rPr>
              <w:t>设40m</w:t>
            </w:r>
            <w:r>
              <w:rPr>
                <w:rFonts w:hint="default"/>
                <w:color w:val="auto"/>
                <w:sz w:val="24"/>
                <w:vertAlign w:val="superscript"/>
              </w:rPr>
              <w:t>3</w:t>
            </w:r>
            <w:r>
              <w:rPr>
                <w:rFonts w:hint="default"/>
                <w:color w:val="auto"/>
                <w:sz w:val="24"/>
              </w:rPr>
              <w:t>卧式固定柴油罐，柴油最大存储量为</w:t>
            </w:r>
            <w:r>
              <w:rPr>
                <w:rFonts w:hint="eastAsia"/>
                <w:color w:val="auto"/>
                <w:sz w:val="24"/>
                <w:lang w:val="en-US" w:eastAsia="zh-CN"/>
              </w:rPr>
              <w:t>30.4</w:t>
            </w:r>
            <w:r>
              <w:rPr>
                <w:rFonts w:hint="default"/>
                <w:color w:val="auto"/>
                <w:sz w:val="24"/>
              </w:rPr>
              <w:t>t</w:t>
            </w:r>
            <w:r>
              <w:rPr>
                <w:rFonts w:hint="eastAsia"/>
                <w:color w:val="auto"/>
                <w:sz w:val="24"/>
              </w:rPr>
              <w:t>，用量</w:t>
            </w:r>
            <w:r>
              <w:rPr>
                <w:rFonts w:hint="eastAsia"/>
                <w:color w:val="auto"/>
                <w:sz w:val="24"/>
                <w:lang w:val="en-US" w:eastAsia="zh-CN"/>
              </w:rPr>
              <w:t>24</w:t>
            </w:r>
            <w:r>
              <w:rPr>
                <w:rFonts w:hint="eastAsia"/>
                <w:color w:val="auto"/>
                <w:sz w:val="24"/>
              </w:rPr>
              <w:t>0t（周转次数约</w:t>
            </w:r>
            <w:r>
              <w:rPr>
                <w:rFonts w:hint="eastAsia"/>
                <w:color w:val="auto"/>
                <w:sz w:val="24"/>
                <w:lang w:val="en-US" w:eastAsia="zh-CN"/>
              </w:rPr>
              <w:t>8</w:t>
            </w:r>
            <w:r>
              <w:rPr>
                <w:rFonts w:hint="eastAsia"/>
                <w:color w:val="auto"/>
                <w:sz w:val="24"/>
              </w:rPr>
              <w:t>次）</w:t>
            </w:r>
            <w:r>
              <w:rPr>
                <w:rFonts w:hint="default"/>
                <w:color w:val="auto"/>
                <w:sz w:val="24"/>
              </w:rPr>
              <w:t>。根据《散装液态石油产品损耗标准》（GB11085-89），卸油过程中柴油会产生0.05%的油气（非甲烷总烃），储存过程中柴油会产生0.01%的油气（非甲烷总烃），则卸油过程中非甲烷总烃产生量为0.</w:t>
            </w:r>
            <w:r>
              <w:rPr>
                <w:rFonts w:hint="eastAsia"/>
                <w:color w:val="auto"/>
                <w:sz w:val="24"/>
                <w:lang w:val="en-US" w:eastAsia="zh-CN"/>
              </w:rPr>
              <w:t>12</w:t>
            </w:r>
            <w:r>
              <w:rPr>
                <w:rFonts w:hint="default"/>
                <w:color w:val="auto"/>
                <w:sz w:val="24"/>
              </w:rPr>
              <w:t>t/勘探期，储存过程中非甲烷总烃产生量为0.</w:t>
            </w:r>
            <w:r>
              <w:rPr>
                <w:rFonts w:hint="eastAsia"/>
                <w:color w:val="auto"/>
                <w:sz w:val="24"/>
              </w:rPr>
              <w:t>0</w:t>
            </w:r>
            <w:r>
              <w:rPr>
                <w:rFonts w:hint="eastAsia"/>
                <w:color w:val="auto"/>
                <w:sz w:val="24"/>
                <w:lang w:val="en-US" w:eastAsia="zh-CN"/>
              </w:rPr>
              <w:t>24</w:t>
            </w:r>
            <w:r>
              <w:rPr>
                <w:rFonts w:hint="default"/>
                <w:color w:val="auto"/>
                <w:sz w:val="24"/>
              </w:rPr>
              <w:t>t/勘探期，则非甲烷总烃产生量为0.</w:t>
            </w:r>
            <w:r>
              <w:rPr>
                <w:rFonts w:hint="eastAsia"/>
                <w:color w:val="auto"/>
                <w:sz w:val="24"/>
                <w:lang w:val="en-US" w:eastAsia="zh-CN"/>
              </w:rPr>
              <w:t>144</w:t>
            </w:r>
            <w:r>
              <w:rPr>
                <w:rFonts w:hint="default"/>
                <w:color w:val="auto"/>
                <w:sz w:val="24"/>
              </w:rPr>
              <w:t>t/勘探期，产生速率约0.</w:t>
            </w:r>
            <w:r>
              <w:rPr>
                <w:rFonts w:hint="eastAsia"/>
                <w:color w:val="auto"/>
                <w:sz w:val="24"/>
              </w:rPr>
              <w:t>1</w:t>
            </w:r>
            <w:r>
              <w:rPr>
                <w:rFonts w:hint="default"/>
                <w:color w:val="auto"/>
                <w:sz w:val="24"/>
              </w:rPr>
              <w:t>kg/h。</w:t>
            </w:r>
          </w:p>
          <w:p w14:paraId="0B186778">
            <w:pPr>
              <w:keepNext w:val="0"/>
              <w:keepLines w:val="0"/>
              <w:suppressLineNumbers w:val="0"/>
              <w:spacing w:before="0" w:beforeAutospacing="0" w:after="0" w:afterAutospacing="0" w:line="360" w:lineRule="auto"/>
              <w:ind w:left="0" w:right="0" w:firstLine="480"/>
              <w:rPr>
                <w:rFonts w:hint="eastAsia"/>
                <w:color w:val="auto"/>
                <w:sz w:val="24"/>
                <w:highlight w:val="none"/>
                <w:vertAlign w:val="baseline"/>
                <w:lang w:eastAsia="zh-CN"/>
              </w:rPr>
            </w:pPr>
            <w:r>
              <w:rPr>
                <w:rFonts w:hint="default"/>
                <w:color w:val="auto"/>
                <w:sz w:val="24"/>
              </w:rPr>
              <w:t>依据《环境影响评价技术导则</w:t>
            </w:r>
            <w:r>
              <w:rPr>
                <w:rFonts w:hint="eastAsia"/>
                <w:color w:val="auto"/>
                <w:sz w:val="24"/>
                <w:lang w:val="en-US" w:eastAsia="zh-CN"/>
              </w:rPr>
              <w:t xml:space="preserve"> </w:t>
            </w:r>
            <w:r>
              <w:rPr>
                <w:rFonts w:hint="default"/>
                <w:color w:val="auto"/>
                <w:sz w:val="24"/>
              </w:rPr>
              <w:t>大气环境》</w:t>
            </w:r>
            <w:r>
              <w:rPr>
                <w:rFonts w:hint="eastAsia"/>
                <w:color w:val="auto"/>
                <w:sz w:val="24"/>
              </w:rPr>
              <w:t>（</w:t>
            </w:r>
            <w:r>
              <w:rPr>
                <w:rFonts w:hint="default"/>
                <w:color w:val="auto"/>
                <w:sz w:val="24"/>
              </w:rPr>
              <w:t>HJ2.2－2018</w:t>
            </w:r>
            <w:r>
              <w:rPr>
                <w:rFonts w:hint="eastAsia"/>
                <w:color w:val="auto"/>
                <w:sz w:val="24"/>
              </w:rPr>
              <w:t>）</w:t>
            </w:r>
            <w:r>
              <w:rPr>
                <w:rFonts w:hint="default"/>
                <w:color w:val="auto"/>
                <w:sz w:val="24"/>
              </w:rPr>
              <w:t>中相关要求，结合项目工程分析结果，选择正常排放的主要污染物及排放参数，采用附录A推荐模</w:t>
            </w:r>
            <w:r>
              <w:rPr>
                <w:rFonts w:hint="default"/>
                <w:color w:val="auto"/>
                <w:sz w:val="24"/>
                <w:highlight w:val="none"/>
              </w:rPr>
              <w:t>型中的AERSCREEN估算模式计算项目污染源的最大环境影响，</w:t>
            </w:r>
            <w:r>
              <w:rPr>
                <w:rFonts w:hint="eastAsia"/>
                <w:color w:val="auto"/>
                <w:sz w:val="24"/>
                <w:highlight w:val="none"/>
                <w:lang w:eastAsia="zh-CN"/>
              </w:rPr>
              <w:t>预测</w:t>
            </w:r>
            <w:r>
              <w:rPr>
                <w:rFonts w:hint="default"/>
                <w:color w:val="auto"/>
                <w:sz w:val="24"/>
                <w:highlight w:val="none"/>
              </w:rPr>
              <w:t>估算结果可知，柴油罐区</w:t>
            </w:r>
            <w:r>
              <w:rPr>
                <w:rFonts w:hint="eastAsia"/>
                <w:color w:val="auto"/>
                <w:sz w:val="24"/>
                <w:highlight w:val="none"/>
                <w:lang w:eastAsia="zh-CN"/>
              </w:rPr>
              <w:t>厂界</w:t>
            </w:r>
            <w:r>
              <w:rPr>
                <w:rFonts w:hint="default"/>
                <w:color w:val="auto"/>
                <w:sz w:val="24"/>
                <w:highlight w:val="none"/>
              </w:rPr>
              <w:t>无组织排放非甲烷总烃最大</w:t>
            </w:r>
            <w:r>
              <w:rPr>
                <w:rFonts w:hint="eastAsia"/>
                <w:color w:val="auto"/>
                <w:sz w:val="24"/>
                <w:highlight w:val="none"/>
                <w:lang w:eastAsia="zh-CN"/>
              </w:rPr>
              <w:t>落地</w:t>
            </w:r>
            <w:r>
              <w:rPr>
                <w:rFonts w:hint="default"/>
                <w:color w:val="auto"/>
                <w:sz w:val="24"/>
                <w:highlight w:val="none"/>
              </w:rPr>
              <w:t>浓度为</w:t>
            </w:r>
            <w:r>
              <w:rPr>
                <w:rFonts w:hint="eastAsia"/>
                <w:color w:val="auto"/>
                <w:sz w:val="24"/>
                <w:highlight w:val="none"/>
                <w:lang w:val="en-US" w:eastAsia="zh-CN"/>
              </w:rPr>
              <w:t>1.162</w:t>
            </w:r>
            <w:r>
              <w:rPr>
                <w:rFonts w:hint="eastAsia"/>
                <w:color w:val="auto"/>
                <w:sz w:val="24"/>
                <w:highlight w:val="none"/>
              </w:rPr>
              <w:t>m</w:t>
            </w:r>
            <w:r>
              <w:rPr>
                <w:rFonts w:hint="default"/>
                <w:color w:val="auto"/>
                <w:sz w:val="24"/>
                <w:highlight w:val="none"/>
              </w:rPr>
              <w:t>g/m</w:t>
            </w:r>
            <w:r>
              <w:rPr>
                <w:rFonts w:hint="default"/>
                <w:color w:val="auto"/>
                <w:sz w:val="24"/>
                <w:highlight w:val="none"/>
                <w:vertAlign w:val="superscript"/>
              </w:rPr>
              <w:t>3</w:t>
            </w:r>
            <w:r>
              <w:rPr>
                <w:rFonts w:hint="eastAsia"/>
                <w:color w:val="auto"/>
                <w:sz w:val="24"/>
                <w:highlight w:val="none"/>
                <w:vertAlign w:val="baseline"/>
                <w:lang w:val="en-US" w:eastAsia="zh-CN"/>
              </w:rPr>
              <w:t>，满足《环境空气质量非甲烷总烃限值》（DB13/1577-2012）二级标准。</w:t>
            </w:r>
            <w:r>
              <w:rPr>
                <w:rFonts w:hint="eastAsia"/>
                <w:color w:val="auto"/>
                <w:sz w:val="24"/>
                <w:highlight w:val="none"/>
                <w:vertAlign w:val="baseline"/>
                <w:lang w:eastAsia="zh-CN"/>
              </w:rPr>
              <w:t>井场厂界四周非甲烷排放浓度的最大值为</w:t>
            </w:r>
            <w:r>
              <w:rPr>
                <w:rFonts w:hint="eastAsia"/>
                <w:color w:val="auto"/>
                <w:sz w:val="24"/>
                <w:highlight w:val="none"/>
                <w:vertAlign w:val="baseline"/>
                <w:lang w:val="en-US" w:eastAsia="zh-CN"/>
              </w:rPr>
              <w:t>0.024</w:t>
            </w:r>
            <w:r>
              <w:rPr>
                <w:rFonts w:hint="eastAsia"/>
                <w:color w:val="auto"/>
                <w:sz w:val="24"/>
                <w:highlight w:val="none"/>
                <w:vertAlign w:val="baseline"/>
                <w:lang w:eastAsia="zh-CN"/>
              </w:rPr>
              <w:t>mg/m</w:t>
            </w:r>
            <w:r>
              <w:rPr>
                <w:rFonts w:hint="eastAsia"/>
                <w:color w:val="auto"/>
                <w:sz w:val="24"/>
                <w:highlight w:val="none"/>
                <w:vertAlign w:val="superscript"/>
                <w:lang w:eastAsia="zh-CN"/>
              </w:rPr>
              <w:t>3</w:t>
            </w:r>
            <w:r>
              <w:rPr>
                <w:rFonts w:hint="eastAsia"/>
                <w:color w:val="auto"/>
                <w:sz w:val="24"/>
                <w:highlight w:val="none"/>
                <w:vertAlign w:val="baseline"/>
                <w:lang w:eastAsia="zh-CN"/>
              </w:rPr>
              <w:t>，满足《陆上石油天然气开采工业大气污染物排放标准》（GB 39728-2020）企业边界污染物控制要求。</w:t>
            </w:r>
          </w:p>
          <w:p w14:paraId="439FE569">
            <w:pPr>
              <w:keepNext w:val="0"/>
              <w:keepLines w:val="0"/>
              <w:suppressLineNumbers w:val="0"/>
              <w:spacing w:before="0" w:beforeAutospacing="0" w:after="0" w:afterAutospacing="0" w:line="360" w:lineRule="auto"/>
              <w:ind w:left="0" w:right="0" w:firstLine="480"/>
              <w:rPr>
                <w:rFonts w:hint="eastAsia" w:eastAsia="宋体"/>
                <w:color w:val="auto"/>
                <w:sz w:val="24"/>
                <w:lang w:eastAsia="zh-CN"/>
              </w:rPr>
            </w:pPr>
            <w:r>
              <w:rPr>
                <w:rFonts w:hint="eastAsia"/>
                <w:color w:val="auto"/>
                <w:sz w:val="24"/>
                <w:highlight w:val="none"/>
                <w:lang w:eastAsia="zh-CN"/>
              </w:rPr>
              <w:t>综上所述，</w:t>
            </w:r>
            <w:r>
              <w:rPr>
                <w:rFonts w:hint="default"/>
                <w:color w:val="auto"/>
                <w:sz w:val="24"/>
                <w:highlight w:val="none"/>
              </w:rPr>
              <w:t>项目无组织排放废气对周围大气环境影响很小</w:t>
            </w:r>
            <w:r>
              <w:rPr>
                <w:rFonts w:hint="eastAsia"/>
                <w:color w:val="auto"/>
                <w:sz w:val="24"/>
                <w:highlight w:val="none"/>
                <w:lang w:eastAsia="zh-CN"/>
              </w:rPr>
              <w:t>，</w:t>
            </w:r>
            <w:r>
              <w:rPr>
                <w:rFonts w:hint="default"/>
                <w:color w:val="auto"/>
                <w:sz w:val="24"/>
              </w:rPr>
              <w:t>项目无组织排放废气对周围大气环境影响很小</w:t>
            </w:r>
            <w:r>
              <w:rPr>
                <w:rFonts w:hint="eastAsia"/>
                <w:color w:val="auto"/>
                <w:sz w:val="24"/>
                <w:lang w:eastAsia="zh-CN"/>
              </w:rPr>
              <w:t>，则</w:t>
            </w:r>
            <w:r>
              <w:rPr>
                <w:rFonts w:hint="eastAsia"/>
                <w:color w:val="auto"/>
                <w:sz w:val="24"/>
                <w:highlight w:val="none"/>
                <w:lang w:eastAsia="zh-CN"/>
              </w:rPr>
              <w:t>场界</w:t>
            </w:r>
            <w:r>
              <w:rPr>
                <w:rFonts w:hint="eastAsia"/>
                <w:color w:val="auto"/>
                <w:sz w:val="24"/>
                <w:lang w:eastAsia="zh-CN"/>
              </w:rPr>
              <w:t>非甲烷总烃的浓度达标排放。</w:t>
            </w:r>
          </w:p>
          <w:p w14:paraId="450E7C21">
            <w:pPr>
              <w:keepNext w:val="0"/>
              <w:keepLines w:val="0"/>
              <w:suppressLineNumbers w:val="0"/>
              <w:spacing w:before="0" w:beforeAutospacing="0" w:after="0" w:afterAutospacing="0" w:line="360" w:lineRule="auto"/>
              <w:ind w:left="0" w:right="0" w:firstLine="480"/>
              <w:rPr>
                <w:rFonts w:hint="eastAsia"/>
                <w:color w:val="auto"/>
                <w:sz w:val="24"/>
              </w:rPr>
            </w:pPr>
            <w:r>
              <w:rPr>
                <w:rFonts w:hint="default"/>
                <w:color w:val="auto"/>
                <w:sz w:val="24"/>
              </w:rPr>
              <w:t>由于项目勘探期很短，且周边扩散条件较好，因此，柴油罐呼吸废气对周围环境的影响时间很短，影响范围很小</w:t>
            </w:r>
            <w:r>
              <w:rPr>
                <w:rFonts w:hint="eastAsia"/>
                <w:color w:val="auto"/>
                <w:sz w:val="24"/>
              </w:rPr>
              <w:t>。</w:t>
            </w:r>
          </w:p>
          <w:p w14:paraId="257C4EBB">
            <w:pPr>
              <w:keepNext w:val="0"/>
              <w:keepLines w:val="0"/>
              <w:suppressLineNumbers w:val="0"/>
              <w:spacing w:before="0" w:beforeAutospacing="0" w:after="0" w:afterAutospacing="0" w:line="360" w:lineRule="auto"/>
              <w:ind w:left="0" w:right="0" w:firstLine="480"/>
              <w:rPr>
                <w:rFonts w:hint="default" w:ascii="宋体" w:hAnsi="宋体"/>
                <w:color w:val="auto"/>
                <w:sz w:val="24"/>
              </w:rPr>
            </w:pPr>
            <w:r>
              <w:rPr>
                <w:rFonts w:hint="eastAsia"/>
                <w:color w:val="auto"/>
                <w:sz w:val="24"/>
                <w:lang w:val="en-US" w:eastAsia="zh-CN"/>
              </w:rPr>
              <w:t>4</w:t>
            </w:r>
            <w:r>
              <w:rPr>
                <w:rFonts w:hint="default"/>
                <w:color w:val="auto"/>
                <w:sz w:val="24"/>
              </w:rPr>
              <w:t>、</w:t>
            </w:r>
            <w:r>
              <w:rPr>
                <w:rFonts w:hint="default" w:ascii="宋体" w:hAnsi="宋体"/>
                <w:color w:val="auto"/>
                <w:sz w:val="24"/>
              </w:rPr>
              <w:t>油气集输过程挥发产生的烃类气体</w:t>
            </w:r>
          </w:p>
          <w:p w14:paraId="64F51A0E">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color w:val="auto"/>
                <w:kern w:val="0"/>
                <w:sz w:val="24"/>
              </w:rPr>
            </w:pPr>
            <w:r>
              <w:rPr>
                <w:rFonts w:hint="default"/>
                <w:color w:val="auto"/>
                <w:sz w:val="24"/>
              </w:rPr>
              <w:t>本工程利用单井罐贮运原油</w:t>
            </w:r>
            <w:r>
              <w:rPr>
                <w:rFonts w:hint="eastAsia"/>
                <w:color w:val="auto"/>
                <w:sz w:val="24"/>
              </w:rPr>
              <w:t>（采出液）</w:t>
            </w:r>
            <w:r>
              <w:rPr>
                <w:rFonts w:hint="default"/>
                <w:color w:val="auto"/>
                <w:sz w:val="24"/>
              </w:rPr>
              <w:t>，油罐类型为卧式固定顶储液罐，储运工程中</w:t>
            </w:r>
            <w:r>
              <w:rPr>
                <w:rFonts w:hint="default"/>
                <w:color w:val="auto"/>
                <w:kern w:val="0"/>
                <w:sz w:val="24"/>
              </w:rPr>
              <w:t>会有烃类的产生，这些烃类气体主要成分为C</w:t>
            </w:r>
            <w:r>
              <w:rPr>
                <w:rFonts w:hint="default"/>
                <w:color w:val="auto"/>
                <w:kern w:val="0"/>
                <w:sz w:val="24"/>
                <w:vertAlign w:val="subscript"/>
              </w:rPr>
              <w:t>1</w:t>
            </w:r>
            <w:r>
              <w:rPr>
                <w:rFonts w:hint="default"/>
                <w:color w:val="auto"/>
                <w:kern w:val="0"/>
                <w:sz w:val="24"/>
              </w:rPr>
              <w:t>-C</w:t>
            </w:r>
            <w:r>
              <w:rPr>
                <w:rFonts w:hint="default"/>
                <w:color w:val="auto"/>
                <w:kern w:val="0"/>
                <w:sz w:val="24"/>
                <w:vertAlign w:val="subscript"/>
              </w:rPr>
              <w:t>5</w:t>
            </w:r>
            <w:r>
              <w:rPr>
                <w:rFonts w:hint="default"/>
                <w:color w:val="auto"/>
                <w:kern w:val="0"/>
                <w:sz w:val="24"/>
              </w:rPr>
              <w:t>的烃类物质。烃类主要产生于原油存储、转运。原油存储于高架油罐内，由于罐内气体空间温度差异，引起可挥发烃类气体经呼吸阀排出，被称为</w:t>
            </w:r>
            <w:r>
              <w:rPr>
                <w:rFonts w:hint="eastAsia"/>
                <w:color w:val="auto"/>
                <w:kern w:val="0"/>
                <w:sz w:val="24"/>
              </w:rPr>
              <w:t>“</w:t>
            </w:r>
            <w:r>
              <w:rPr>
                <w:rFonts w:hint="default"/>
                <w:color w:val="auto"/>
                <w:kern w:val="0"/>
                <w:sz w:val="24"/>
              </w:rPr>
              <w:t>小呼吸</w:t>
            </w:r>
            <w:r>
              <w:rPr>
                <w:rFonts w:hint="eastAsia"/>
                <w:color w:val="auto"/>
                <w:kern w:val="0"/>
                <w:sz w:val="24"/>
              </w:rPr>
              <w:t>”</w:t>
            </w:r>
            <w:r>
              <w:rPr>
                <w:rFonts w:hint="default"/>
                <w:color w:val="auto"/>
                <w:kern w:val="0"/>
                <w:sz w:val="24"/>
              </w:rPr>
              <w:t>；储罐内在收发油品时，由于油气空间容积的变化，导致油气呼出或外界空气的吸入，也会造成烃类挥发，被称为</w:t>
            </w:r>
            <w:r>
              <w:rPr>
                <w:rFonts w:hint="eastAsia"/>
                <w:color w:val="auto"/>
                <w:kern w:val="0"/>
                <w:sz w:val="24"/>
              </w:rPr>
              <w:t>“</w:t>
            </w:r>
            <w:r>
              <w:rPr>
                <w:rFonts w:hint="default"/>
                <w:color w:val="auto"/>
                <w:kern w:val="0"/>
                <w:sz w:val="24"/>
              </w:rPr>
              <w:t>大呼吸</w:t>
            </w:r>
            <w:r>
              <w:rPr>
                <w:rFonts w:hint="eastAsia"/>
                <w:color w:val="auto"/>
                <w:kern w:val="0"/>
                <w:sz w:val="24"/>
              </w:rPr>
              <w:t>”</w:t>
            </w:r>
            <w:r>
              <w:rPr>
                <w:rFonts w:hint="default"/>
                <w:color w:val="auto"/>
                <w:kern w:val="0"/>
                <w:sz w:val="24"/>
              </w:rPr>
              <w:t>；装车时，油品向汽车槽车装油过程会中会造成烃类挥发。</w:t>
            </w:r>
          </w:p>
          <w:p w14:paraId="37116F7D">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rPr>
            </w:pPr>
            <w:r>
              <w:rPr>
                <w:rFonts w:hint="default"/>
                <w:color w:val="auto"/>
                <w:kern w:val="0"/>
                <w:sz w:val="24"/>
              </w:rPr>
              <w:t>烃类气体排放量根据美国石油学会推荐的计算油罐储存损耗的公式对拟建油罐非甲烷总烃气体挥发进行理论计算。</w:t>
            </w:r>
          </w:p>
          <w:p w14:paraId="573834E2">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rPr>
            </w:pPr>
            <w:r>
              <w:rPr>
                <w:rFonts w:hint="default"/>
                <w:color w:val="auto"/>
                <w:kern w:val="0"/>
                <w:sz w:val="24"/>
              </w:rPr>
              <w:t>a小呼吸产生计算</w:t>
            </w:r>
          </w:p>
          <w:p w14:paraId="31D35499">
            <w:pPr>
              <w:keepNext w:val="0"/>
              <w:keepLines w:val="0"/>
              <w:widowControl/>
              <w:suppressLineNumbers w:val="0"/>
              <w:spacing w:before="0" w:beforeAutospacing="0" w:after="0" w:afterAutospacing="0" w:line="360" w:lineRule="auto"/>
              <w:ind w:left="0" w:right="0" w:firstLine="547" w:firstLineChars="228"/>
              <w:jc w:val="left"/>
              <w:rPr>
                <w:rFonts w:hint="default"/>
                <w:color w:val="auto"/>
                <w:sz w:val="24"/>
              </w:rPr>
            </w:pPr>
            <w:r>
              <w:rPr>
                <w:rFonts w:hint="default"/>
                <w:color w:val="auto"/>
                <w:sz w:val="24"/>
              </w:rPr>
              <w:t>小呼吸排放是油罐在没有收发油作业的情况下，随着外界气温、压力在一天内的升降周期变化，罐内气体空间温度、油品蒸发速度、油气浓度和蒸汽压力也随之变化。这种变化引起蒸汽的膨胀和收缩而产生的蒸汽排出，它出现在罐内液面无任何变化的情况，是非人为干扰的自然排放方式。</w:t>
            </w:r>
          </w:p>
          <w:p w14:paraId="06187B5F">
            <w:pPr>
              <w:keepNext w:val="0"/>
              <w:keepLines w:val="0"/>
              <w:widowControl/>
              <w:suppressLineNumbers w:val="0"/>
              <w:spacing w:before="0" w:beforeAutospacing="0" w:after="0" w:afterAutospacing="0" w:line="360" w:lineRule="auto"/>
              <w:ind w:left="0" w:right="0" w:firstLine="480" w:firstLineChars="200"/>
              <w:jc w:val="left"/>
              <w:rPr>
                <w:rFonts w:hint="eastAsia"/>
                <w:color w:val="auto"/>
                <w:kern w:val="0"/>
                <w:sz w:val="24"/>
              </w:rPr>
            </w:pPr>
            <w:r>
              <w:rPr>
                <w:rFonts w:hint="default"/>
                <w:color w:val="auto"/>
                <w:kern w:val="0"/>
                <w:sz w:val="24"/>
              </w:rPr>
              <w:t>固定顶罐的小呼吸排放可用下式估算其污染物的排放量：</w:t>
            </w:r>
          </w:p>
          <w:p w14:paraId="25CA2DD5">
            <w:pPr>
              <w:keepNext w:val="0"/>
              <w:keepLines w:val="0"/>
              <w:widowControl/>
              <w:suppressLineNumbers w:val="0"/>
              <w:spacing w:before="0" w:beforeAutospacing="0" w:after="0" w:afterAutospacing="0" w:line="360" w:lineRule="auto"/>
              <w:ind w:left="0" w:right="0"/>
              <w:jc w:val="center"/>
              <w:rPr>
                <w:rFonts w:hint="eastAsia"/>
                <w:color w:val="auto"/>
                <w:kern w:val="0"/>
                <w:sz w:val="24"/>
              </w:rPr>
            </w:pPr>
            <w:r>
              <w:rPr>
                <w:rFonts w:hint="eastAsia"/>
                <w:color w:val="auto"/>
                <w:kern w:val="0"/>
                <w:sz w:val="24"/>
              </w:rPr>
              <w:t>LB=0.91</w:t>
            </w:r>
            <w:r>
              <w:rPr>
                <w:rFonts w:hint="default"/>
                <w:color w:val="auto"/>
                <w:kern w:val="0"/>
                <w:sz w:val="24"/>
              </w:rPr>
              <w:t>×</w:t>
            </w:r>
            <w:r>
              <w:rPr>
                <w:rFonts w:hint="eastAsia"/>
                <w:color w:val="auto"/>
                <w:kern w:val="0"/>
                <w:sz w:val="24"/>
              </w:rPr>
              <w:t>M</w:t>
            </w:r>
            <w:r>
              <w:rPr>
                <w:rFonts w:hint="default"/>
                <w:color w:val="auto"/>
                <w:kern w:val="0"/>
                <w:sz w:val="24"/>
              </w:rPr>
              <w:t>×[P</w:t>
            </w:r>
            <w:r>
              <w:rPr>
                <w:rFonts w:hint="eastAsia"/>
                <w:color w:val="auto"/>
                <w:kern w:val="0"/>
                <w:sz w:val="24"/>
              </w:rPr>
              <w:t>/</w:t>
            </w:r>
            <w:r>
              <w:rPr>
                <w:rFonts w:hint="eastAsia"/>
                <w:color w:val="auto"/>
                <w:kern w:val="0"/>
                <w:sz w:val="24"/>
                <w:highlight w:val="none"/>
              </w:rPr>
              <w:t>（</w:t>
            </w:r>
            <w:r>
              <w:rPr>
                <w:rFonts w:hint="eastAsia"/>
                <w:color w:val="auto"/>
                <w:kern w:val="0"/>
                <w:sz w:val="24"/>
              </w:rPr>
              <w:t>100910-P</w:t>
            </w:r>
            <w:r>
              <w:rPr>
                <w:rFonts w:hint="eastAsia"/>
                <w:color w:val="auto"/>
                <w:kern w:val="0"/>
                <w:sz w:val="24"/>
                <w:highlight w:val="none"/>
              </w:rPr>
              <w:t>）</w:t>
            </w:r>
            <w:r>
              <w:rPr>
                <w:rFonts w:hint="default"/>
                <w:color w:val="auto"/>
                <w:kern w:val="0"/>
                <w:sz w:val="24"/>
              </w:rPr>
              <w:t>]</w:t>
            </w:r>
            <w:r>
              <w:rPr>
                <w:rFonts w:hint="eastAsia"/>
                <w:color w:val="auto"/>
                <w:kern w:val="0"/>
                <w:sz w:val="24"/>
                <w:vertAlign w:val="superscript"/>
              </w:rPr>
              <w:t>0.68</w:t>
            </w:r>
            <w:r>
              <w:rPr>
                <w:rFonts w:hint="default"/>
                <w:color w:val="auto"/>
                <w:kern w:val="0"/>
                <w:sz w:val="24"/>
              </w:rPr>
              <w:t>×D</w:t>
            </w:r>
            <w:r>
              <w:rPr>
                <w:rFonts w:hint="eastAsia"/>
                <w:color w:val="auto"/>
                <w:kern w:val="0"/>
                <w:sz w:val="24"/>
                <w:vertAlign w:val="superscript"/>
              </w:rPr>
              <w:t>1.73</w:t>
            </w:r>
            <w:r>
              <w:rPr>
                <w:rFonts w:hint="default"/>
                <w:color w:val="auto"/>
                <w:kern w:val="0"/>
                <w:sz w:val="24"/>
              </w:rPr>
              <w:t>×H</w:t>
            </w:r>
            <w:r>
              <w:rPr>
                <w:rFonts w:hint="eastAsia"/>
                <w:color w:val="auto"/>
                <w:kern w:val="0"/>
                <w:sz w:val="24"/>
                <w:vertAlign w:val="superscript"/>
              </w:rPr>
              <w:t>0.51</w:t>
            </w:r>
            <w:r>
              <w:rPr>
                <w:rFonts w:hint="default"/>
                <w:color w:val="auto"/>
                <w:kern w:val="0"/>
                <w:sz w:val="24"/>
              </w:rPr>
              <w:t>×</w:t>
            </w:r>
            <w:r>
              <w:rPr>
                <w:rFonts w:hint="default" w:ascii="Cambria Math" w:hAnsi="Cambria Math" w:cs="Cambria Math"/>
                <w:color w:val="auto"/>
                <w:kern w:val="0"/>
                <w:sz w:val="24"/>
              </w:rPr>
              <w:t>△T</w:t>
            </w:r>
            <w:r>
              <w:rPr>
                <w:rFonts w:hint="default"/>
                <w:color w:val="auto"/>
                <w:kern w:val="0"/>
                <w:sz w:val="24"/>
                <w:vertAlign w:val="superscript"/>
              </w:rPr>
              <w:t>0.45</w:t>
            </w:r>
            <w:r>
              <w:rPr>
                <w:rFonts w:hint="default"/>
                <w:color w:val="auto"/>
                <w:kern w:val="0"/>
                <w:sz w:val="24"/>
              </w:rPr>
              <w:t>×FP×C×</w:t>
            </w:r>
            <w:r>
              <w:rPr>
                <w:rFonts w:hint="default"/>
                <w:color w:val="auto"/>
                <w:kern w:val="0"/>
                <w:sz w:val="24"/>
                <w:highlight w:val="none"/>
              </w:rPr>
              <w:t>KC</w:t>
            </w:r>
          </w:p>
          <w:p w14:paraId="399757FB">
            <w:pPr>
              <w:keepNext w:val="0"/>
              <w:keepLines w:val="0"/>
              <w:widowControl/>
              <w:suppressLineNumbers w:val="0"/>
              <w:spacing w:before="0" w:beforeAutospacing="0" w:after="0" w:afterAutospacing="0" w:line="360" w:lineRule="auto"/>
              <w:ind w:left="0" w:right="0"/>
              <w:jc w:val="left"/>
              <w:rPr>
                <w:rFonts w:hint="default"/>
                <w:color w:val="auto"/>
                <w:kern w:val="0"/>
                <w:sz w:val="24"/>
              </w:rPr>
            </w:pPr>
            <w:r>
              <w:rPr>
                <w:rFonts w:hint="default" w:eastAsia="新宋体"/>
                <w:color w:val="auto"/>
                <w:kern w:val="0"/>
                <w:sz w:val="24"/>
              </w:rPr>
              <w:t>式中：</w:t>
            </w:r>
            <w:r>
              <w:rPr>
                <w:rFonts w:hint="default"/>
                <w:color w:val="auto"/>
                <w:kern w:val="0"/>
                <w:sz w:val="24"/>
              </w:rPr>
              <w:t>LB—固定顶罐的小呼吸排放量（</w:t>
            </w:r>
            <w:r>
              <w:rPr>
                <w:rFonts w:hint="eastAsia"/>
                <w:color w:val="auto"/>
                <w:kern w:val="0"/>
                <w:sz w:val="24"/>
                <w:lang w:eastAsia="zh-CN"/>
              </w:rPr>
              <w:t>kg</w:t>
            </w:r>
            <w:r>
              <w:rPr>
                <w:rFonts w:hint="default"/>
                <w:color w:val="auto"/>
                <w:kern w:val="0"/>
                <w:sz w:val="24"/>
              </w:rPr>
              <w:t xml:space="preserve">/a）； </w:t>
            </w:r>
          </w:p>
          <w:p w14:paraId="27EE6A3D">
            <w:pPr>
              <w:keepNext w:val="0"/>
              <w:keepLines w:val="0"/>
              <w:widowControl/>
              <w:suppressLineNumbers w:val="0"/>
              <w:spacing w:before="0" w:beforeAutospacing="0" w:after="0" w:afterAutospacing="0" w:line="360" w:lineRule="auto"/>
              <w:ind w:left="0" w:right="0" w:firstLine="720" w:firstLineChars="300"/>
              <w:jc w:val="left"/>
              <w:rPr>
                <w:rFonts w:hint="default"/>
                <w:color w:val="auto"/>
                <w:kern w:val="0"/>
                <w:sz w:val="24"/>
              </w:rPr>
            </w:pPr>
            <w:r>
              <w:rPr>
                <w:rFonts w:hint="default"/>
                <w:color w:val="auto"/>
                <w:kern w:val="0"/>
                <w:sz w:val="24"/>
              </w:rPr>
              <w:t>M—储罐内蒸汽的分子量；（美国石油学会推荐64）</w:t>
            </w:r>
          </w:p>
          <w:p w14:paraId="2FDBCA3A">
            <w:pPr>
              <w:keepNext w:val="0"/>
              <w:keepLines w:val="0"/>
              <w:widowControl/>
              <w:suppressLineNumbers w:val="0"/>
              <w:spacing w:before="0" w:beforeAutospacing="0" w:after="0" w:afterAutospacing="0" w:line="360" w:lineRule="auto"/>
              <w:ind w:left="0" w:right="0" w:firstLine="720" w:firstLineChars="300"/>
              <w:jc w:val="left"/>
              <w:rPr>
                <w:rFonts w:hint="default"/>
                <w:color w:val="auto"/>
                <w:kern w:val="0"/>
                <w:sz w:val="24"/>
              </w:rPr>
            </w:pPr>
            <w:r>
              <w:rPr>
                <w:rFonts w:hint="default"/>
                <w:color w:val="auto"/>
                <w:kern w:val="0"/>
                <w:sz w:val="24"/>
              </w:rPr>
              <w:t>P—在大量液体状态下，真实的蒸汽压力（Pa）；按饱和压力计，12290.8Pa；</w:t>
            </w:r>
          </w:p>
          <w:p w14:paraId="41228084">
            <w:pPr>
              <w:keepNext w:val="0"/>
              <w:keepLines w:val="0"/>
              <w:widowControl/>
              <w:suppressLineNumbers w:val="0"/>
              <w:spacing w:before="0" w:beforeAutospacing="0" w:after="0" w:afterAutospacing="0" w:line="360" w:lineRule="auto"/>
              <w:ind w:left="0" w:right="0" w:firstLine="720" w:firstLineChars="300"/>
              <w:jc w:val="left"/>
              <w:rPr>
                <w:rFonts w:hint="default"/>
                <w:color w:val="auto"/>
                <w:kern w:val="0"/>
                <w:sz w:val="24"/>
              </w:rPr>
            </w:pPr>
            <w:r>
              <w:rPr>
                <w:rFonts w:hint="default"/>
                <w:color w:val="auto"/>
                <w:kern w:val="0"/>
                <w:sz w:val="24"/>
              </w:rPr>
              <w:t>D—罐的直径；本工程中</w:t>
            </w:r>
            <w:r>
              <w:rPr>
                <w:rFonts w:hint="eastAsia"/>
                <w:color w:val="auto"/>
                <w:kern w:val="0"/>
                <w:sz w:val="24"/>
              </w:rPr>
              <w:t>D</w:t>
            </w:r>
            <w:r>
              <w:rPr>
                <w:rFonts w:hint="default"/>
                <w:color w:val="auto"/>
                <w:kern w:val="0"/>
                <w:sz w:val="24"/>
              </w:rPr>
              <w:t>=</w:t>
            </w:r>
            <w:r>
              <w:rPr>
                <w:rFonts w:hint="eastAsia"/>
                <w:color w:val="auto"/>
                <w:kern w:val="0"/>
                <w:sz w:val="24"/>
              </w:rPr>
              <w:t>2.6</w:t>
            </w:r>
            <w:r>
              <w:rPr>
                <w:rFonts w:hint="default"/>
                <w:color w:val="auto"/>
                <w:kern w:val="0"/>
                <w:sz w:val="24"/>
              </w:rPr>
              <w:t>m；</w:t>
            </w:r>
          </w:p>
          <w:p w14:paraId="36B6952B">
            <w:pPr>
              <w:keepNext w:val="0"/>
              <w:keepLines w:val="0"/>
              <w:widowControl/>
              <w:suppressLineNumbers w:val="0"/>
              <w:spacing w:before="0" w:beforeAutospacing="0" w:after="0" w:afterAutospacing="0" w:line="360" w:lineRule="auto"/>
              <w:ind w:left="0" w:right="0" w:firstLine="720" w:firstLineChars="300"/>
              <w:jc w:val="left"/>
              <w:rPr>
                <w:rFonts w:hint="default"/>
                <w:color w:val="auto"/>
                <w:kern w:val="0"/>
                <w:sz w:val="24"/>
              </w:rPr>
            </w:pPr>
            <w:r>
              <w:rPr>
                <w:rFonts w:hint="default"/>
                <w:color w:val="auto"/>
                <w:kern w:val="0"/>
                <w:sz w:val="24"/>
              </w:rPr>
              <w:t>H—平均蒸汽空间高度（m）；H=0.1m；</w:t>
            </w:r>
          </w:p>
          <w:p w14:paraId="73EADCF0">
            <w:pPr>
              <w:keepNext w:val="0"/>
              <w:keepLines w:val="0"/>
              <w:widowControl/>
              <w:suppressLineNumbers w:val="0"/>
              <w:spacing w:before="0" w:beforeAutospacing="0" w:after="0" w:afterAutospacing="0" w:line="360" w:lineRule="auto"/>
              <w:ind w:left="0" w:right="0" w:firstLine="720" w:firstLineChars="300"/>
              <w:jc w:val="left"/>
              <w:rPr>
                <w:rFonts w:hint="default"/>
                <w:color w:val="auto"/>
                <w:kern w:val="0"/>
                <w:sz w:val="24"/>
              </w:rPr>
            </w:pPr>
            <w:r>
              <w:rPr>
                <w:rFonts w:hint="default"/>
                <w:color w:val="auto"/>
                <w:kern w:val="0"/>
                <w:sz w:val="24"/>
              </w:rPr>
              <w:t>△T—一天之内的平均温度差（℃）；△T=10℃；</w:t>
            </w:r>
          </w:p>
          <w:p w14:paraId="6E61AF6F">
            <w:pPr>
              <w:keepNext w:val="0"/>
              <w:keepLines w:val="0"/>
              <w:widowControl/>
              <w:suppressLineNumbers w:val="0"/>
              <w:spacing w:before="0" w:beforeAutospacing="0" w:after="0" w:afterAutospacing="0" w:line="360" w:lineRule="auto"/>
              <w:ind w:left="0" w:right="0" w:firstLine="720" w:firstLineChars="300"/>
              <w:jc w:val="left"/>
              <w:rPr>
                <w:rFonts w:hint="eastAsia"/>
                <w:color w:val="auto"/>
                <w:kern w:val="0"/>
                <w:sz w:val="24"/>
              </w:rPr>
            </w:pPr>
            <w:r>
              <w:rPr>
                <w:rFonts w:hint="default"/>
                <w:color w:val="auto"/>
                <w:kern w:val="0"/>
                <w:sz w:val="24"/>
              </w:rPr>
              <w:t>FP—涂层因子（无量纲）</w:t>
            </w:r>
            <w:r>
              <w:rPr>
                <w:rFonts w:hint="eastAsia"/>
                <w:color w:val="auto"/>
                <w:kern w:val="0"/>
                <w:sz w:val="24"/>
              </w:rPr>
              <w:t>，根据油漆状况取值在1~1.5之间；FP=1.25；</w:t>
            </w:r>
          </w:p>
          <w:p w14:paraId="7F580F78">
            <w:pPr>
              <w:keepNext w:val="0"/>
              <w:keepLines w:val="0"/>
              <w:widowControl/>
              <w:suppressLineNumbers w:val="0"/>
              <w:spacing w:before="0" w:beforeAutospacing="0" w:after="0" w:afterAutospacing="0" w:line="360" w:lineRule="auto"/>
              <w:ind w:left="0" w:right="0" w:firstLine="720" w:firstLineChars="300"/>
              <w:jc w:val="left"/>
              <w:rPr>
                <w:rFonts w:hint="default"/>
                <w:color w:val="auto"/>
                <w:kern w:val="0"/>
                <w:sz w:val="24"/>
              </w:rPr>
            </w:pPr>
            <w:r>
              <w:rPr>
                <w:rFonts w:hint="default"/>
                <w:color w:val="auto"/>
                <w:kern w:val="0"/>
                <w:sz w:val="24"/>
              </w:rPr>
              <w:t>C—直径在0-9米之间的罐体，C=1-0.0123（D-9）</w:t>
            </w:r>
            <w:r>
              <w:rPr>
                <w:rFonts w:hint="default"/>
                <w:color w:val="auto"/>
                <w:kern w:val="0"/>
                <w:sz w:val="24"/>
                <w:vertAlign w:val="superscript"/>
              </w:rPr>
              <w:t>2</w:t>
            </w:r>
            <w:r>
              <w:rPr>
                <w:rFonts w:hint="default"/>
                <w:color w:val="auto"/>
                <w:kern w:val="0"/>
                <w:sz w:val="24"/>
              </w:rPr>
              <w:t>，罐径大于9米的C=1；</w:t>
            </w:r>
            <w:r>
              <w:rPr>
                <w:rFonts w:hint="eastAsia"/>
                <w:color w:val="auto"/>
                <w:kern w:val="0"/>
                <w:sz w:val="24"/>
                <w:lang w:eastAsia="zh-CN"/>
              </w:rPr>
              <w:t>本工程</w:t>
            </w:r>
            <w:r>
              <w:rPr>
                <w:rFonts w:hint="default"/>
                <w:color w:val="auto"/>
                <w:kern w:val="0"/>
                <w:sz w:val="24"/>
              </w:rPr>
              <w:t>C=0.</w:t>
            </w:r>
            <w:r>
              <w:rPr>
                <w:rFonts w:hint="eastAsia"/>
                <w:color w:val="auto"/>
                <w:kern w:val="0"/>
                <w:sz w:val="24"/>
              </w:rPr>
              <w:t>4962</w:t>
            </w:r>
            <w:r>
              <w:rPr>
                <w:rFonts w:hint="default"/>
                <w:color w:val="auto"/>
                <w:kern w:val="0"/>
                <w:sz w:val="24"/>
              </w:rPr>
              <w:t>；</w:t>
            </w:r>
          </w:p>
          <w:p w14:paraId="30A544A1">
            <w:pPr>
              <w:keepNext w:val="0"/>
              <w:keepLines w:val="0"/>
              <w:widowControl/>
              <w:suppressLineNumbers w:val="0"/>
              <w:spacing w:before="0" w:beforeAutospacing="0" w:after="0" w:afterAutospacing="0" w:line="360" w:lineRule="auto"/>
              <w:ind w:left="0" w:right="0" w:firstLine="720" w:firstLineChars="300"/>
              <w:jc w:val="left"/>
              <w:rPr>
                <w:rFonts w:hint="default"/>
                <w:color w:val="auto"/>
                <w:kern w:val="0"/>
                <w:sz w:val="24"/>
              </w:rPr>
            </w:pPr>
            <w:r>
              <w:rPr>
                <w:rFonts w:hint="default"/>
                <w:color w:val="auto"/>
                <w:kern w:val="0"/>
                <w:sz w:val="24"/>
                <w:highlight w:val="none"/>
              </w:rPr>
              <w:t>KC</w:t>
            </w:r>
            <w:r>
              <w:rPr>
                <w:rFonts w:hint="default"/>
                <w:color w:val="auto"/>
                <w:kern w:val="0"/>
                <w:sz w:val="24"/>
              </w:rPr>
              <w:t>—产品因子（石油原油</w:t>
            </w:r>
            <w:r>
              <w:rPr>
                <w:rFonts w:hint="default"/>
                <w:color w:val="auto"/>
                <w:kern w:val="0"/>
                <w:sz w:val="24"/>
                <w:highlight w:val="none"/>
              </w:rPr>
              <w:t>KC</w:t>
            </w:r>
            <w:r>
              <w:rPr>
                <w:rFonts w:hint="default"/>
                <w:color w:val="auto"/>
                <w:kern w:val="0"/>
                <w:sz w:val="24"/>
              </w:rPr>
              <w:t>=0.65，</w:t>
            </w:r>
            <w:r>
              <w:rPr>
                <w:rFonts w:hint="eastAsia"/>
                <w:color w:val="auto"/>
                <w:kern w:val="0"/>
                <w:sz w:val="24"/>
                <w:lang w:eastAsia="zh-CN"/>
              </w:rPr>
              <w:t>其他的</w:t>
            </w:r>
            <w:r>
              <w:rPr>
                <w:rFonts w:hint="default"/>
                <w:color w:val="auto"/>
                <w:kern w:val="0"/>
                <w:sz w:val="24"/>
              </w:rPr>
              <w:t>有机液体取1.0）。</w:t>
            </w:r>
          </w:p>
          <w:p w14:paraId="22453920">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rPr>
            </w:pPr>
            <w:r>
              <w:rPr>
                <w:rFonts w:hint="default"/>
                <w:color w:val="auto"/>
                <w:kern w:val="0"/>
                <w:sz w:val="24"/>
              </w:rPr>
              <w:t>计算</w:t>
            </w:r>
            <w:r>
              <w:rPr>
                <w:rFonts w:hint="eastAsia"/>
                <w:color w:val="auto"/>
                <w:kern w:val="0"/>
                <w:sz w:val="24"/>
                <w:lang w:eastAsia="zh-CN"/>
              </w:rPr>
              <w:t>的</w:t>
            </w:r>
            <w:r>
              <w:rPr>
                <w:rFonts w:hint="default"/>
                <w:color w:val="auto"/>
                <w:kern w:val="0"/>
                <w:sz w:val="24"/>
              </w:rPr>
              <w:t>油罐</w:t>
            </w:r>
            <w:r>
              <w:rPr>
                <w:rFonts w:hint="eastAsia"/>
                <w:color w:val="auto"/>
                <w:kern w:val="0"/>
                <w:sz w:val="24"/>
              </w:rPr>
              <w:t>“</w:t>
            </w:r>
            <w:r>
              <w:rPr>
                <w:rFonts w:hint="default"/>
                <w:color w:val="auto"/>
                <w:kern w:val="0"/>
                <w:sz w:val="24"/>
              </w:rPr>
              <w:t>小呼吸</w:t>
            </w:r>
            <w:r>
              <w:rPr>
                <w:rFonts w:hint="eastAsia"/>
                <w:color w:val="auto"/>
                <w:kern w:val="0"/>
                <w:sz w:val="24"/>
              </w:rPr>
              <w:t>”</w:t>
            </w:r>
            <w:r>
              <w:rPr>
                <w:rFonts w:hint="default"/>
                <w:color w:val="auto"/>
                <w:kern w:val="0"/>
                <w:sz w:val="24"/>
              </w:rPr>
              <w:t>产生量</w:t>
            </w:r>
            <w:r>
              <w:rPr>
                <w:rFonts w:hint="eastAsia"/>
                <w:color w:val="auto"/>
                <w:kern w:val="0"/>
                <w:sz w:val="24"/>
              </w:rPr>
              <w:t>5.85</w:t>
            </w:r>
            <w:r>
              <w:rPr>
                <w:rFonts w:hint="default"/>
                <w:color w:val="auto"/>
                <w:kern w:val="0"/>
                <w:sz w:val="24"/>
              </w:rPr>
              <w:t>kg</w:t>
            </w:r>
            <w:r>
              <w:rPr>
                <w:rFonts w:hint="eastAsia"/>
                <w:color w:val="auto"/>
                <w:kern w:val="0"/>
                <w:sz w:val="24"/>
              </w:rPr>
              <w:t>/试油期</w:t>
            </w:r>
            <w:r>
              <w:rPr>
                <w:rFonts w:hint="default"/>
                <w:color w:val="auto"/>
                <w:kern w:val="0"/>
                <w:sz w:val="24"/>
              </w:rPr>
              <w:t>。</w:t>
            </w:r>
          </w:p>
          <w:p w14:paraId="7170BCC6">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rPr>
            </w:pPr>
            <w:r>
              <w:rPr>
                <w:rFonts w:hint="default"/>
                <w:color w:val="auto"/>
                <w:kern w:val="0"/>
                <w:sz w:val="24"/>
              </w:rPr>
              <w:t>b大呼吸产生计算</w:t>
            </w:r>
          </w:p>
          <w:p w14:paraId="34E2BF05">
            <w:pPr>
              <w:keepNext w:val="0"/>
              <w:keepLines w:val="0"/>
              <w:widowControl/>
              <w:suppressLineNumbers w:val="0"/>
              <w:spacing w:before="0" w:beforeAutospacing="0" w:after="0" w:afterAutospacing="0" w:line="360" w:lineRule="auto"/>
              <w:ind w:left="0" w:right="0" w:firstLine="480" w:firstLineChars="200"/>
              <w:jc w:val="left"/>
              <w:rPr>
                <w:rFonts w:hint="default"/>
                <w:color w:val="auto"/>
                <w:sz w:val="24"/>
              </w:rPr>
            </w:pPr>
            <w:r>
              <w:rPr>
                <w:rFonts w:hint="default"/>
                <w:color w:val="auto"/>
                <w:sz w:val="24"/>
              </w:rPr>
              <w:t>油罐进油时，由于油面逐渐升高，气体空间逐渐减小，罐内压力增大，当压力超过呼吸阀控制压力时，一定浓度的油蒸气开始从呼吸阀呼出，直到油罐停止收油，所呼出的油蒸气造成油品蒸发的损失。油罐向外发油时，由于油面不断降低，气体空间逐渐增加，罐内压力减小，当压力小于呼吸阀控制真空度时，油罐开始吸入新鲜空气，由于油面上方空间油气没有达到饱和，促使油品蒸发加速，使其重新达到饱和，罐内压力再次上升，造成部分油蒸气从呼吸阀呼出。</w:t>
            </w:r>
          </w:p>
          <w:p w14:paraId="51264AEF">
            <w:pPr>
              <w:keepNext w:val="0"/>
              <w:keepLines w:val="0"/>
              <w:widowControl/>
              <w:suppressLineNumbers w:val="0"/>
              <w:spacing w:before="0" w:beforeAutospacing="0" w:after="0" w:afterAutospacing="0" w:line="360" w:lineRule="auto"/>
              <w:ind w:left="0" w:right="0" w:firstLine="360" w:firstLineChars="150"/>
              <w:jc w:val="left"/>
              <w:rPr>
                <w:rFonts w:hint="default" w:eastAsia="新宋体"/>
                <w:color w:val="auto"/>
                <w:kern w:val="0"/>
                <w:sz w:val="24"/>
              </w:rPr>
            </w:pPr>
            <w:r>
              <w:rPr>
                <w:rFonts w:hint="default" w:eastAsia="新宋体"/>
                <w:color w:val="auto"/>
                <w:kern w:val="0"/>
                <w:sz w:val="24"/>
              </w:rPr>
              <w:t>可由下式估算固定顶罐的大呼吸排放：</w:t>
            </w:r>
          </w:p>
          <w:p w14:paraId="6B08AEDD">
            <w:pPr>
              <w:keepNext w:val="0"/>
              <w:keepLines w:val="0"/>
              <w:widowControl/>
              <w:suppressLineNumbers w:val="0"/>
              <w:spacing w:before="0" w:beforeAutospacing="0" w:after="0" w:afterAutospacing="0" w:line="360" w:lineRule="auto"/>
              <w:ind w:left="0" w:right="0"/>
              <w:jc w:val="center"/>
              <w:rPr>
                <w:rFonts w:hint="default"/>
                <w:color w:val="auto"/>
                <w:kern w:val="0"/>
                <w:sz w:val="24"/>
              </w:rPr>
            </w:pPr>
            <w:r>
              <w:rPr>
                <w:rFonts w:hint="default"/>
                <w:color w:val="auto"/>
                <w:kern w:val="0"/>
                <w:sz w:val="24"/>
              </w:rPr>
              <w:t>Lw=4.188×10</w:t>
            </w:r>
            <w:r>
              <w:rPr>
                <w:rFonts w:hint="default"/>
                <w:color w:val="auto"/>
                <w:kern w:val="0"/>
                <w:sz w:val="24"/>
                <w:vertAlign w:val="superscript"/>
              </w:rPr>
              <w:t>-7</w:t>
            </w:r>
            <w:r>
              <w:rPr>
                <w:rFonts w:hint="default"/>
                <w:color w:val="auto"/>
                <w:kern w:val="0"/>
                <w:sz w:val="24"/>
              </w:rPr>
              <w:t>×M×P×KN×</w:t>
            </w:r>
            <w:r>
              <w:rPr>
                <w:rFonts w:hint="default"/>
                <w:color w:val="auto"/>
                <w:kern w:val="0"/>
                <w:sz w:val="24"/>
                <w:highlight w:val="none"/>
              </w:rPr>
              <w:t>KC</w:t>
            </w:r>
          </w:p>
          <w:p w14:paraId="6D7945C1">
            <w:pPr>
              <w:keepNext w:val="0"/>
              <w:keepLines w:val="0"/>
              <w:widowControl/>
              <w:suppressLineNumbers w:val="0"/>
              <w:spacing w:before="0" w:beforeAutospacing="0" w:after="0" w:afterAutospacing="0" w:line="360" w:lineRule="auto"/>
              <w:ind w:left="0" w:right="0"/>
              <w:jc w:val="left"/>
              <w:rPr>
                <w:rFonts w:hint="default"/>
                <w:color w:val="auto"/>
                <w:kern w:val="0"/>
                <w:sz w:val="24"/>
              </w:rPr>
            </w:pPr>
            <w:r>
              <w:rPr>
                <w:rFonts w:hint="default"/>
                <w:color w:val="auto"/>
                <w:kern w:val="0"/>
                <w:sz w:val="24"/>
              </w:rPr>
              <w:t>式中：L</w:t>
            </w:r>
            <w:r>
              <w:rPr>
                <w:rFonts w:hint="eastAsia"/>
                <w:color w:val="auto"/>
                <w:kern w:val="0"/>
                <w:sz w:val="24"/>
              </w:rPr>
              <w:t>w</w:t>
            </w:r>
            <w:r>
              <w:rPr>
                <w:rFonts w:hint="default"/>
                <w:color w:val="auto"/>
                <w:kern w:val="0"/>
                <w:sz w:val="24"/>
              </w:rPr>
              <w:t>—固定顶罐的工作损失（</w:t>
            </w:r>
            <w:r>
              <w:rPr>
                <w:rFonts w:hint="eastAsia"/>
                <w:color w:val="auto"/>
                <w:kern w:val="0"/>
                <w:sz w:val="24"/>
                <w:lang w:eastAsia="zh-CN"/>
              </w:rPr>
              <w:t>kg</w:t>
            </w:r>
            <w:r>
              <w:rPr>
                <w:rFonts w:hint="default"/>
                <w:color w:val="auto"/>
                <w:kern w:val="0"/>
                <w:sz w:val="24"/>
              </w:rPr>
              <w:t>/m</w:t>
            </w:r>
            <w:r>
              <w:rPr>
                <w:rFonts w:hint="default"/>
                <w:color w:val="auto"/>
                <w:kern w:val="0"/>
                <w:sz w:val="24"/>
                <w:vertAlign w:val="superscript"/>
              </w:rPr>
              <w:t>3</w:t>
            </w:r>
            <w:r>
              <w:rPr>
                <w:rFonts w:hint="default"/>
                <w:color w:val="auto"/>
                <w:kern w:val="0"/>
                <w:sz w:val="24"/>
              </w:rPr>
              <w:t>）；</w:t>
            </w:r>
          </w:p>
          <w:p w14:paraId="58F78B10">
            <w:pPr>
              <w:keepNext w:val="0"/>
              <w:keepLines w:val="0"/>
              <w:widowControl/>
              <w:suppressLineNumbers w:val="0"/>
              <w:spacing w:before="0" w:beforeAutospacing="0" w:after="0" w:afterAutospacing="0" w:line="360" w:lineRule="auto"/>
              <w:ind w:left="120" w:leftChars="57" w:right="0" w:firstLine="448" w:firstLineChars="187"/>
              <w:jc w:val="left"/>
              <w:rPr>
                <w:rFonts w:hint="default"/>
                <w:color w:val="auto"/>
                <w:kern w:val="0"/>
                <w:sz w:val="24"/>
              </w:rPr>
            </w:pPr>
            <w:r>
              <w:rPr>
                <w:rFonts w:hint="default"/>
                <w:color w:val="auto"/>
                <w:kern w:val="0"/>
                <w:sz w:val="24"/>
              </w:rPr>
              <w:t>KN—周转因子（无量纲），取值按年周转次数（K）确定K≤36，KN=1；36&lt;K≤220，KN=11.46×K</w:t>
            </w:r>
            <w:r>
              <w:rPr>
                <w:rFonts w:hint="default"/>
                <w:color w:val="auto"/>
                <w:kern w:val="0"/>
                <w:sz w:val="24"/>
                <w:vertAlign w:val="superscript"/>
              </w:rPr>
              <w:t>-0.7026</w:t>
            </w:r>
            <w:r>
              <w:rPr>
                <w:rFonts w:hint="default"/>
                <w:color w:val="auto"/>
                <w:kern w:val="0"/>
                <w:sz w:val="24"/>
              </w:rPr>
              <w:t>；K&gt;220，KN=0.26。</w:t>
            </w:r>
            <w:r>
              <w:rPr>
                <w:rFonts w:hint="eastAsia"/>
                <w:color w:val="auto"/>
                <w:kern w:val="0"/>
                <w:sz w:val="24"/>
                <w:lang w:eastAsia="zh-CN"/>
              </w:rPr>
              <w:t>本工程</w:t>
            </w:r>
            <w:r>
              <w:rPr>
                <w:rFonts w:hint="default"/>
                <w:color w:val="auto"/>
                <w:kern w:val="0"/>
                <w:sz w:val="24"/>
              </w:rPr>
              <w:t>取KN=1。</w:t>
            </w:r>
          </w:p>
          <w:p w14:paraId="5FDB7C3E">
            <w:pPr>
              <w:keepNext w:val="0"/>
              <w:keepLines w:val="0"/>
              <w:widowControl/>
              <w:suppressLineNumbers w:val="0"/>
              <w:spacing w:before="0" w:beforeAutospacing="0" w:after="0" w:afterAutospacing="0" w:line="360" w:lineRule="auto"/>
              <w:ind w:left="0" w:right="0" w:firstLine="360" w:firstLineChars="150"/>
              <w:jc w:val="left"/>
              <w:rPr>
                <w:rFonts w:hint="default"/>
                <w:color w:val="auto"/>
                <w:kern w:val="0"/>
                <w:sz w:val="24"/>
              </w:rPr>
            </w:pPr>
            <w:r>
              <w:rPr>
                <w:rFonts w:hint="eastAsia"/>
                <w:color w:val="auto"/>
                <w:kern w:val="0"/>
                <w:sz w:val="24"/>
                <w:lang w:eastAsia="zh-CN"/>
              </w:rPr>
              <w:t>其他的</w:t>
            </w:r>
            <w:r>
              <w:rPr>
                <w:rFonts w:hint="default"/>
                <w:color w:val="auto"/>
                <w:kern w:val="0"/>
                <w:sz w:val="24"/>
              </w:rPr>
              <w:t>同呼吸排放计算公式。</w:t>
            </w:r>
          </w:p>
          <w:p w14:paraId="676E0335">
            <w:pPr>
              <w:keepNext w:val="0"/>
              <w:keepLines w:val="0"/>
              <w:widowControl/>
              <w:suppressLineNumbers w:val="0"/>
              <w:spacing w:before="0" w:beforeAutospacing="0" w:after="0" w:afterAutospacing="0" w:line="360" w:lineRule="auto"/>
              <w:ind w:left="0" w:right="0" w:firstLine="360" w:firstLineChars="150"/>
              <w:jc w:val="left"/>
              <w:rPr>
                <w:rFonts w:hint="default"/>
                <w:color w:val="auto"/>
                <w:kern w:val="0"/>
                <w:sz w:val="24"/>
              </w:rPr>
            </w:pPr>
            <w:r>
              <w:rPr>
                <w:rFonts w:hint="default"/>
                <w:color w:val="auto"/>
                <w:kern w:val="0"/>
                <w:sz w:val="24"/>
              </w:rPr>
              <w:t>计算结果：</w:t>
            </w:r>
            <w:r>
              <w:rPr>
                <w:rFonts w:hint="eastAsia"/>
                <w:color w:val="auto"/>
                <w:kern w:val="0"/>
                <w:sz w:val="24"/>
              </w:rPr>
              <w:t>L</w:t>
            </w:r>
            <w:r>
              <w:rPr>
                <w:rFonts w:hint="eastAsia"/>
                <w:color w:val="auto"/>
                <w:kern w:val="0"/>
                <w:sz w:val="24"/>
                <w:vertAlign w:val="subscript"/>
              </w:rPr>
              <w:t>w</w:t>
            </w:r>
            <w:r>
              <w:rPr>
                <w:rFonts w:hint="eastAsia"/>
                <w:color w:val="auto"/>
                <w:kern w:val="0"/>
                <w:sz w:val="24"/>
              </w:rPr>
              <w:t>约为0.214</w:t>
            </w:r>
            <w:r>
              <w:rPr>
                <w:rFonts w:hint="default"/>
                <w:color w:val="auto"/>
                <w:kern w:val="0"/>
                <w:sz w:val="24"/>
              </w:rPr>
              <w:t>kg</w:t>
            </w:r>
            <w:r>
              <w:rPr>
                <w:rFonts w:hint="eastAsia"/>
                <w:color w:val="auto"/>
                <w:kern w:val="0"/>
                <w:sz w:val="24"/>
              </w:rPr>
              <w:t>/m</w:t>
            </w:r>
            <w:r>
              <w:rPr>
                <w:rFonts w:hint="eastAsia"/>
                <w:color w:val="auto"/>
                <w:kern w:val="0"/>
                <w:sz w:val="24"/>
                <w:vertAlign w:val="superscript"/>
              </w:rPr>
              <w:t>3</w:t>
            </w:r>
            <w:r>
              <w:rPr>
                <w:rFonts w:hint="eastAsia"/>
                <w:color w:val="auto"/>
                <w:kern w:val="0"/>
                <w:sz w:val="24"/>
              </w:rPr>
              <w:t>，则</w:t>
            </w:r>
            <w:r>
              <w:rPr>
                <w:rFonts w:hint="default"/>
                <w:color w:val="auto"/>
                <w:kern w:val="0"/>
                <w:sz w:val="24"/>
              </w:rPr>
              <w:t>油罐</w:t>
            </w:r>
            <w:r>
              <w:rPr>
                <w:rFonts w:hint="eastAsia"/>
                <w:color w:val="auto"/>
                <w:kern w:val="0"/>
                <w:sz w:val="24"/>
              </w:rPr>
              <w:t>“</w:t>
            </w:r>
            <w:r>
              <w:rPr>
                <w:rFonts w:hint="default"/>
                <w:color w:val="auto"/>
                <w:kern w:val="0"/>
                <w:sz w:val="24"/>
              </w:rPr>
              <w:t>大呼吸</w:t>
            </w:r>
            <w:r>
              <w:rPr>
                <w:rFonts w:hint="eastAsia"/>
                <w:color w:val="auto"/>
                <w:kern w:val="0"/>
                <w:sz w:val="24"/>
              </w:rPr>
              <w:t>”</w:t>
            </w:r>
            <w:r>
              <w:rPr>
                <w:rFonts w:hint="default"/>
                <w:color w:val="auto"/>
                <w:kern w:val="0"/>
                <w:sz w:val="24"/>
              </w:rPr>
              <w:t>产生量</w:t>
            </w:r>
            <w:r>
              <w:rPr>
                <w:rFonts w:hint="eastAsia"/>
                <w:color w:val="auto"/>
                <w:kern w:val="0"/>
                <w:sz w:val="24"/>
              </w:rPr>
              <w:t>16.05</w:t>
            </w:r>
            <w:r>
              <w:rPr>
                <w:rFonts w:hint="default"/>
                <w:color w:val="auto"/>
                <w:kern w:val="0"/>
                <w:sz w:val="24"/>
              </w:rPr>
              <w:t>kg</w:t>
            </w:r>
            <w:r>
              <w:rPr>
                <w:rFonts w:hint="eastAsia"/>
                <w:color w:val="auto"/>
                <w:kern w:val="0"/>
                <w:sz w:val="24"/>
              </w:rPr>
              <w:t>/试油期</w:t>
            </w:r>
            <w:r>
              <w:rPr>
                <w:rFonts w:hint="default"/>
                <w:color w:val="auto"/>
                <w:kern w:val="0"/>
                <w:sz w:val="24"/>
              </w:rPr>
              <w:t>。</w:t>
            </w:r>
          </w:p>
          <w:p w14:paraId="0F9C131B">
            <w:pPr>
              <w:keepNext w:val="0"/>
              <w:keepLines w:val="0"/>
              <w:suppressLineNumbers w:val="0"/>
              <w:spacing w:before="0" w:beforeAutospacing="0" w:after="0" w:afterAutospacing="0" w:line="360" w:lineRule="auto"/>
              <w:ind w:left="0" w:right="0" w:firstLine="480" w:firstLineChars="200"/>
              <w:rPr>
                <w:rFonts w:hint="eastAsia"/>
                <w:color w:val="auto"/>
                <w:kern w:val="0"/>
                <w:sz w:val="24"/>
                <w:highlight w:val="none"/>
                <w:lang w:eastAsia="zh-CN"/>
              </w:rPr>
            </w:pPr>
            <w:r>
              <w:rPr>
                <w:rFonts w:hint="eastAsia"/>
                <w:color w:val="auto"/>
                <w:kern w:val="0"/>
                <w:sz w:val="24"/>
              </w:rPr>
              <w:t>依据《环境影响评价技术导则</w:t>
            </w:r>
            <w:r>
              <w:rPr>
                <w:rFonts w:hint="eastAsia"/>
                <w:color w:val="auto"/>
                <w:kern w:val="0"/>
                <w:sz w:val="24"/>
                <w:lang w:val="en-US" w:eastAsia="zh-CN"/>
              </w:rPr>
              <w:t xml:space="preserve"> </w:t>
            </w:r>
            <w:r>
              <w:rPr>
                <w:rFonts w:hint="eastAsia"/>
                <w:color w:val="auto"/>
                <w:kern w:val="0"/>
                <w:sz w:val="24"/>
              </w:rPr>
              <w:t>大气环境》（HJ2.2-2018）中相关要求，结合项目工程分析结果，选择正常排放的主要污染物及排放参数，采用附录A推荐模型中的AERSCREEN估算模式计算项目污染源的最大环境影响，估算结果可知，</w:t>
            </w:r>
            <w:r>
              <w:rPr>
                <w:rFonts w:hint="eastAsia"/>
                <w:color w:val="auto"/>
                <w:kern w:val="0"/>
                <w:sz w:val="24"/>
                <w:lang w:eastAsia="zh-CN"/>
              </w:rPr>
              <w:t>厂界</w:t>
            </w:r>
            <w:r>
              <w:rPr>
                <w:rFonts w:hint="eastAsia"/>
                <w:color w:val="auto"/>
                <w:kern w:val="0"/>
                <w:sz w:val="24"/>
              </w:rPr>
              <w:t>无组</w:t>
            </w:r>
            <w:r>
              <w:rPr>
                <w:rFonts w:hint="eastAsia"/>
                <w:color w:val="auto"/>
                <w:kern w:val="0"/>
                <w:sz w:val="24"/>
                <w:highlight w:val="none"/>
              </w:rPr>
              <w:t>织排放</w:t>
            </w:r>
            <w:r>
              <w:rPr>
                <w:rFonts w:hint="default"/>
                <w:color w:val="auto"/>
                <w:kern w:val="0"/>
                <w:sz w:val="24"/>
                <w:highlight w:val="none"/>
              </w:rPr>
              <w:t>非甲烷总烃的最大落地浓度为</w:t>
            </w:r>
            <w:r>
              <w:rPr>
                <w:rFonts w:hint="eastAsia"/>
                <w:color w:val="auto"/>
                <w:kern w:val="0"/>
                <w:sz w:val="24"/>
                <w:highlight w:val="none"/>
                <w:lang w:val="en-US" w:eastAsia="zh-CN"/>
              </w:rPr>
              <w:t>1.145</w:t>
            </w:r>
            <w:r>
              <w:rPr>
                <w:rFonts w:hint="default"/>
                <w:color w:val="auto"/>
                <w:kern w:val="0"/>
                <w:sz w:val="24"/>
                <w:highlight w:val="none"/>
              </w:rPr>
              <w:t>ug/m</w:t>
            </w:r>
            <w:r>
              <w:rPr>
                <w:rFonts w:hint="default"/>
                <w:color w:val="auto"/>
                <w:kern w:val="0"/>
                <w:sz w:val="24"/>
                <w:highlight w:val="none"/>
                <w:vertAlign w:val="superscript"/>
              </w:rPr>
              <w:t>3</w:t>
            </w:r>
            <w:r>
              <w:rPr>
                <w:rFonts w:hint="default"/>
                <w:color w:val="auto"/>
                <w:kern w:val="0"/>
                <w:sz w:val="24"/>
                <w:highlight w:val="none"/>
              </w:rPr>
              <w:t>，</w:t>
            </w:r>
            <w:r>
              <w:rPr>
                <w:rFonts w:hint="eastAsia"/>
                <w:color w:val="auto"/>
                <w:kern w:val="0"/>
                <w:sz w:val="24"/>
                <w:highlight w:val="none"/>
                <w:lang w:val="en-US" w:eastAsia="zh-CN"/>
              </w:rPr>
              <w:t>满足《环境空气质量非甲烷总烃限值》（DB13/1577-2012）二级标准。</w:t>
            </w:r>
            <w:r>
              <w:rPr>
                <w:rFonts w:hint="eastAsia"/>
                <w:color w:val="auto"/>
                <w:kern w:val="0"/>
                <w:sz w:val="24"/>
                <w:highlight w:val="none"/>
                <w:lang w:eastAsia="zh-CN"/>
              </w:rPr>
              <w:t>厂界四周非甲烷排放浓度的最大值为</w:t>
            </w:r>
            <w:r>
              <w:rPr>
                <w:rFonts w:hint="eastAsia"/>
                <w:color w:val="auto"/>
                <w:kern w:val="0"/>
                <w:sz w:val="24"/>
                <w:highlight w:val="none"/>
                <w:lang w:val="en-US" w:eastAsia="zh-CN"/>
              </w:rPr>
              <w:t>0.0307</w:t>
            </w:r>
            <w:r>
              <w:rPr>
                <w:rFonts w:hint="eastAsia"/>
                <w:color w:val="auto"/>
                <w:kern w:val="0"/>
                <w:sz w:val="24"/>
                <w:highlight w:val="none"/>
                <w:lang w:eastAsia="zh-CN"/>
              </w:rPr>
              <w:t>mg/m</w:t>
            </w:r>
            <w:r>
              <w:rPr>
                <w:rFonts w:hint="eastAsia"/>
                <w:color w:val="auto"/>
                <w:kern w:val="0"/>
                <w:sz w:val="24"/>
                <w:highlight w:val="none"/>
                <w:vertAlign w:val="superscript"/>
                <w:lang w:eastAsia="zh-CN"/>
              </w:rPr>
              <w:t>3</w:t>
            </w:r>
            <w:r>
              <w:rPr>
                <w:rFonts w:hint="eastAsia"/>
                <w:color w:val="auto"/>
                <w:kern w:val="0"/>
                <w:sz w:val="24"/>
                <w:highlight w:val="none"/>
                <w:lang w:eastAsia="zh-CN"/>
              </w:rPr>
              <w:t>，满足《陆上石油天然气开采工业大气污染物排放标准》（GB 39728-2020）企业边界污染物控制要求。</w:t>
            </w:r>
          </w:p>
          <w:p w14:paraId="56C74F96">
            <w:pPr>
              <w:keepNext w:val="0"/>
              <w:keepLines w:val="0"/>
              <w:suppressLineNumbers w:val="0"/>
              <w:spacing w:before="0" w:beforeAutospacing="0" w:after="0" w:afterAutospacing="0" w:line="360" w:lineRule="auto"/>
              <w:ind w:left="0" w:right="0" w:firstLine="360" w:firstLineChars="150"/>
              <w:rPr>
                <w:rFonts w:hint="eastAsia"/>
                <w:color w:val="auto"/>
                <w:kern w:val="0"/>
                <w:sz w:val="24"/>
                <w:highlight w:val="none"/>
                <w:lang w:eastAsia="zh-CN"/>
              </w:rPr>
            </w:pPr>
            <w:r>
              <w:rPr>
                <w:rFonts w:hint="eastAsia"/>
                <w:color w:val="auto"/>
                <w:kern w:val="0"/>
                <w:sz w:val="24"/>
                <w:highlight w:val="none"/>
                <w:lang w:eastAsia="zh-CN"/>
              </w:rPr>
              <w:t>综上所述，场界非甲烷总烃的浓度达标排放，项目无组织排放废气对周围大气环境影响很小。</w:t>
            </w:r>
          </w:p>
          <w:p w14:paraId="3E8489EA">
            <w:pPr>
              <w:keepNext w:val="0"/>
              <w:keepLines w:val="0"/>
              <w:suppressLineNumbers w:val="0"/>
              <w:spacing w:before="0" w:beforeAutospacing="0" w:after="0" w:afterAutospacing="0" w:line="360" w:lineRule="auto"/>
              <w:ind w:left="0" w:right="0" w:firstLine="360" w:firstLineChars="150"/>
              <w:rPr>
                <w:rFonts w:hint="eastAsia"/>
                <w:color w:val="auto"/>
                <w:kern w:val="0"/>
                <w:sz w:val="24"/>
              </w:rPr>
            </w:pPr>
            <w:r>
              <w:rPr>
                <w:rFonts w:hint="eastAsia"/>
                <w:color w:val="auto"/>
                <w:kern w:val="0"/>
                <w:sz w:val="24"/>
                <w:lang w:eastAsia="zh-CN"/>
              </w:rPr>
              <w:t>本工程</w:t>
            </w:r>
            <w:r>
              <w:rPr>
                <w:rFonts w:hint="eastAsia"/>
                <w:color w:val="auto"/>
                <w:kern w:val="0"/>
                <w:sz w:val="24"/>
              </w:rPr>
              <w:t>所处位置周围比较开阔，且试油期时间较短，有利于污染物的扩散，同时距离周围敏感点距离较远，可有效降低对周围环境的影响。</w:t>
            </w:r>
          </w:p>
          <w:p w14:paraId="5B926991">
            <w:pPr>
              <w:keepNext w:val="0"/>
              <w:keepLines w:val="0"/>
              <w:suppressLineNumbers w:val="0"/>
              <w:spacing w:before="0" w:beforeAutospacing="0" w:after="0" w:afterAutospacing="0" w:line="360" w:lineRule="auto"/>
              <w:ind w:left="0" w:right="0" w:firstLine="480"/>
              <w:rPr>
                <w:rFonts w:hint="default"/>
                <w:color w:val="auto"/>
                <w:sz w:val="24"/>
              </w:rPr>
            </w:pPr>
            <w:r>
              <w:rPr>
                <w:rFonts w:hint="eastAsia"/>
                <w:color w:val="auto"/>
                <w:sz w:val="24"/>
                <w:lang w:val="en-US" w:eastAsia="zh-CN"/>
              </w:rPr>
              <w:t>5</w:t>
            </w:r>
            <w:r>
              <w:rPr>
                <w:rFonts w:hint="default"/>
                <w:color w:val="auto"/>
                <w:sz w:val="24"/>
              </w:rPr>
              <w:t>、伴生气</w:t>
            </w:r>
          </w:p>
          <w:p w14:paraId="7AD09BEB">
            <w:pPr>
              <w:keepNext w:val="0"/>
              <w:keepLines w:val="0"/>
              <w:suppressLineNumbers w:val="0"/>
              <w:spacing w:before="0" w:beforeAutospacing="0" w:after="0" w:afterAutospacing="0" w:line="360" w:lineRule="auto"/>
              <w:ind w:left="0" w:right="0" w:firstLine="480"/>
              <w:rPr>
                <w:rFonts w:hint="default"/>
                <w:color w:val="auto"/>
                <w:sz w:val="24"/>
              </w:rPr>
            </w:pPr>
            <w:r>
              <w:rPr>
                <w:rFonts w:hint="default"/>
                <w:color w:val="auto"/>
                <w:sz w:val="24"/>
              </w:rPr>
              <w:t>根据</w:t>
            </w:r>
            <w:r>
              <w:rPr>
                <w:rFonts w:hint="eastAsia"/>
                <w:color w:val="auto"/>
                <w:sz w:val="24"/>
              </w:rPr>
              <w:t>探井实际</w:t>
            </w:r>
            <w:r>
              <w:rPr>
                <w:rFonts w:hint="default"/>
                <w:color w:val="auto"/>
                <w:sz w:val="24"/>
              </w:rPr>
              <w:t>钻探结果</w:t>
            </w:r>
            <w:r>
              <w:rPr>
                <w:rFonts w:hint="eastAsia"/>
                <w:color w:val="auto"/>
                <w:sz w:val="24"/>
              </w:rPr>
              <w:t>，如果采出液中存在伴生气则需要放喷装置。</w:t>
            </w:r>
            <w:r>
              <w:rPr>
                <w:rFonts w:hint="default"/>
                <w:color w:val="auto"/>
                <w:sz w:val="24"/>
              </w:rPr>
              <w:t>井场试油阶段勘探井伴生气体主要为天然气及少量非甲烷总烃，采用</w:t>
            </w:r>
            <w:r>
              <w:rPr>
                <w:rFonts w:hint="eastAsia"/>
                <w:color w:val="auto"/>
                <w:sz w:val="24"/>
                <w:lang w:eastAsia="zh-CN"/>
              </w:rPr>
              <w:t>放喷装置中</w:t>
            </w:r>
            <w:r>
              <w:rPr>
                <w:rFonts w:hint="default"/>
                <w:color w:val="auto"/>
                <w:sz w:val="24"/>
              </w:rPr>
              <w:t>的火炬就地燃烧，燃烧产物主要为二氧化碳和水蒸气，非甲烷总烃排放量较少。火炬为8m高排气筒</w:t>
            </w:r>
            <w:r>
              <w:rPr>
                <w:rFonts w:hint="eastAsia"/>
                <w:color w:val="auto"/>
                <w:sz w:val="24"/>
              </w:rPr>
              <w:t>（</w:t>
            </w:r>
            <w:r>
              <w:rPr>
                <w:rFonts w:hint="default"/>
                <w:color w:val="auto"/>
                <w:sz w:val="24"/>
              </w:rPr>
              <w:t>配套防回火与自动点火装置</w:t>
            </w:r>
            <w:r>
              <w:rPr>
                <w:rFonts w:hint="eastAsia"/>
                <w:color w:val="auto"/>
                <w:sz w:val="24"/>
              </w:rPr>
              <w:t>）</w:t>
            </w:r>
            <w:r>
              <w:rPr>
                <w:rFonts w:hint="default"/>
                <w:color w:val="auto"/>
                <w:sz w:val="24"/>
              </w:rPr>
              <w:t>，设置于井口50m以外，距液气分离器排气管线及放喷管线外的各种设施距离不小于20m。井内气体经与井口连接的气体输送管线输送至排气筒</w:t>
            </w:r>
            <w:r>
              <w:rPr>
                <w:rFonts w:hint="eastAsia"/>
                <w:color w:val="auto"/>
                <w:sz w:val="24"/>
              </w:rPr>
              <w:t>（</w:t>
            </w:r>
            <w:r>
              <w:rPr>
                <w:rFonts w:hint="default"/>
                <w:color w:val="auto"/>
                <w:sz w:val="24"/>
              </w:rPr>
              <w:t>与液体经两相分离器分离</w:t>
            </w:r>
            <w:r>
              <w:rPr>
                <w:rFonts w:hint="eastAsia"/>
                <w:color w:val="auto"/>
                <w:sz w:val="24"/>
              </w:rPr>
              <w:t>）</w:t>
            </w:r>
            <w:r>
              <w:rPr>
                <w:rFonts w:hint="default"/>
                <w:color w:val="auto"/>
                <w:sz w:val="24"/>
              </w:rPr>
              <w:t>，火炬顶端设自动点火装置，将井内气体于火炬排放口处点燃。</w:t>
            </w:r>
            <w:r>
              <w:rPr>
                <w:rFonts w:hint="eastAsia"/>
                <w:color w:val="auto"/>
                <w:sz w:val="24"/>
                <w:lang w:eastAsia="zh-CN"/>
              </w:rPr>
              <w:t>本工程</w:t>
            </w:r>
            <w:r>
              <w:rPr>
                <w:rFonts w:hint="default"/>
                <w:color w:val="auto"/>
                <w:sz w:val="24"/>
              </w:rPr>
              <w:t>放喷时间通常为4</w:t>
            </w:r>
            <w:r>
              <w:rPr>
                <w:rFonts w:hint="eastAsia"/>
                <w:color w:val="auto"/>
                <w:sz w:val="24"/>
                <w:lang w:eastAsia="zh-CN"/>
              </w:rPr>
              <w:t>～</w:t>
            </w:r>
            <w:r>
              <w:rPr>
                <w:rFonts w:hint="default"/>
                <w:color w:val="auto"/>
                <w:sz w:val="24"/>
              </w:rPr>
              <w:t>6小时，属于短时排放，</w:t>
            </w:r>
            <w:r>
              <w:rPr>
                <w:rFonts w:hint="eastAsia"/>
                <w:color w:val="auto"/>
                <w:sz w:val="24"/>
                <w:lang w:eastAsia="zh-CN"/>
              </w:rPr>
              <w:t>根据地质预测，该区块的伴生气量极少，</w:t>
            </w:r>
            <w:r>
              <w:rPr>
                <w:rFonts w:hint="default"/>
                <w:color w:val="auto"/>
                <w:sz w:val="24"/>
              </w:rPr>
              <w:t>故产生放喷废气量较少，不做定量分析。</w:t>
            </w:r>
          </w:p>
          <w:p w14:paraId="109391A9">
            <w:pPr>
              <w:keepNext w:val="0"/>
              <w:keepLines w:val="0"/>
              <w:suppressLineNumbers w:val="0"/>
              <w:spacing w:before="0" w:beforeAutospacing="0" w:after="0" w:afterAutospacing="0" w:line="360" w:lineRule="auto"/>
              <w:ind w:left="0" w:right="0" w:firstLine="480"/>
              <w:rPr>
                <w:rFonts w:hint="default"/>
                <w:b/>
                <w:color w:val="auto"/>
                <w:sz w:val="24"/>
              </w:rPr>
            </w:pPr>
            <w:r>
              <w:rPr>
                <w:rFonts w:hint="eastAsia"/>
                <w:b/>
                <w:color w:val="auto"/>
                <w:sz w:val="24"/>
              </w:rPr>
              <w:t>二、水环境</w:t>
            </w:r>
            <w:r>
              <w:rPr>
                <w:rFonts w:hint="default"/>
                <w:b/>
                <w:color w:val="auto"/>
                <w:sz w:val="24"/>
              </w:rPr>
              <w:t>影响分析</w:t>
            </w:r>
          </w:p>
          <w:p w14:paraId="5D5AC4CF">
            <w:pPr>
              <w:keepNext w:val="0"/>
              <w:keepLines w:val="0"/>
              <w:suppressLineNumbers w:val="0"/>
              <w:spacing w:before="0" w:beforeAutospacing="0" w:after="0" w:afterAutospacing="0" w:line="360" w:lineRule="auto"/>
              <w:ind w:left="0" w:right="0" w:firstLine="482" w:firstLineChars="200"/>
              <w:rPr>
                <w:rFonts w:hint="default"/>
                <w:b/>
                <w:color w:val="auto"/>
                <w:sz w:val="24"/>
              </w:rPr>
            </w:pPr>
            <w:r>
              <w:rPr>
                <w:rFonts w:hint="default"/>
                <w:b/>
                <w:color w:val="auto"/>
                <w:sz w:val="24"/>
              </w:rPr>
              <w:t>1、地表水环境影响分析</w:t>
            </w:r>
          </w:p>
          <w:p w14:paraId="4A2DB6EB">
            <w:pPr>
              <w:keepNext w:val="0"/>
              <w:keepLines w:val="0"/>
              <w:suppressLineNumbers w:val="0"/>
              <w:spacing w:before="0" w:beforeAutospacing="0" w:after="0" w:afterAutospacing="0" w:line="360" w:lineRule="auto"/>
              <w:ind w:left="0" w:right="0" w:firstLine="480"/>
              <w:rPr>
                <w:rFonts w:hint="default"/>
                <w:color w:val="auto"/>
                <w:sz w:val="24"/>
              </w:rPr>
            </w:pPr>
            <w:r>
              <w:rPr>
                <w:rFonts w:hint="eastAsia"/>
                <w:color w:val="auto"/>
                <w:sz w:val="24"/>
                <w:lang w:eastAsia="zh-CN"/>
              </w:rPr>
              <w:t>本工程周边无地表水体，本工程</w:t>
            </w:r>
            <w:r>
              <w:rPr>
                <w:rFonts w:hint="default"/>
                <w:color w:val="auto"/>
                <w:sz w:val="24"/>
              </w:rPr>
              <w:t>产生的废水主要为</w:t>
            </w:r>
            <w:r>
              <w:rPr>
                <w:rFonts w:hint="eastAsia"/>
                <w:color w:val="auto"/>
                <w:sz w:val="24"/>
                <w:lang w:eastAsia="zh-CN"/>
              </w:rPr>
              <w:t>钻井工程的</w:t>
            </w:r>
            <w:r>
              <w:rPr>
                <w:rFonts w:hint="default"/>
                <w:color w:val="auto"/>
                <w:sz w:val="24"/>
              </w:rPr>
              <w:t>钻井废水和</w:t>
            </w:r>
            <w:r>
              <w:rPr>
                <w:rFonts w:hint="eastAsia"/>
                <w:color w:val="auto"/>
                <w:sz w:val="24"/>
                <w:lang w:eastAsia="zh-CN"/>
              </w:rPr>
              <w:t>钻前工程、钻井工程、试油工程的</w:t>
            </w:r>
            <w:r>
              <w:rPr>
                <w:rFonts w:hint="default"/>
                <w:color w:val="auto"/>
                <w:sz w:val="24"/>
              </w:rPr>
              <w:t>生活污水等。</w:t>
            </w:r>
          </w:p>
          <w:p w14:paraId="2C1BDD33">
            <w:pPr>
              <w:keepNext w:val="0"/>
              <w:keepLines w:val="0"/>
              <w:suppressLineNumbers w:val="0"/>
              <w:spacing w:before="0" w:beforeAutospacing="0" w:after="0" w:afterAutospacing="0" w:line="360" w:lineRule="auto"/>
              <w:ind w:left="0" w:right="0" w:firstLine="480"/>
              <w:rPr>
                <w:rFonts w:hint="default"/>
                <w:color w:val="auto"/>
                <w:sz w:val="24"/>
              </w:rPr>
            </w:pPr>
            <w:r>
              <w:rPr>
                <w:rFonts w:hint="eastAsia"/>
                <w:color w:val="auto"/>
                <w:sz w:val="24"/>
              </w:rPr>
              <w:t>（1）</w:t>
            </w:r>
            <w:r>
              <w:rPr>
                <w:rFonts w:hint="eastAsia"/>
                <w:color w:val="auto"/>
                <w:sz w:val="24"/>
                <w:lang w:eastAsia="zh-CN"/>
              </w:rPr>
              <w:t>钻井工程的</w:t>
            </w:r>
            <w:r>
              <w:rPr>
                <w:rFonts w:hint="eastAsia"/>
                <w:color w:val="auto"/>
                <w:sz w:val="24"/>
              </w:rPr>
              <w:t>钻井废水</w:t>
            </w:r>
          </w:p>
          <w:p w14:paraId="3315A475">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highlight w:val="none"/>
              </w:rPr>
            </w:pPr>
            <w:r>
              <w:rPr>
                <w:rFonts w:hint="eastAsia"/>
                <w:color w:val="auto"/>
                <w:sz w:val="24"/>
                <w:lang w:eastAsia="zh-CN"/>
              </w:rPr>
              <w:t>本工程</w:t>
            </w:r>
            <w:r>
              <w:rPr>
                <w:rFonts w:hint="default"/>
                <w:color w:val="auto"/>
                <w:sz w:val="24"/>
              </w:rPr>
              <w:t>钻井泥浆使用无毒无害的水基泥浆，钻井</w:t>
            </w:r>
            <w:r>
              <w:rPr>
                <w:rFonts w:hint="eastAsia"/>
                <w:color w:val="auto"/>
                <w:sz w:val="24"/>
              </w:rPr>
              <w:t>泥浆</w:t>
            </w:r>
            <w:r>
              <w:rPr>
                <w:rFonts w:hint="default"/>
                <w:color w:val="auto"/>
                <w:sz w:val="24"/>
              </w:rPr>
              <w:t>在现场采用</w:t>
            </w:r>
            <w:r>
              <w:rPr>
                <w:rFonts w:hint="eastAsia"/>
                <w:color w:val="auto"/>
                <w:sz w:val="24"/>
                <w:lang w:eastAsia="zh-CN"/>
              </w:rPr>
              <w:t>“</w:t>
            </w:r>
            <w:r>
              <w:rPr>
                <w:rFonts w:hint="default"/>
                <w:color w:val="auto"/>
                <w:sz w:val="24"/>
              </w:rPr>
              <w:t>泥浆不落地</w:t>
            </w:r>
            <w:r>
              <w:rPr>
                <w:rFonts w:hint="eastAsia"/>
                <w:color w:val="auto"/>
                <w:sz w:val="24"/>
                <w:lang w:eastAsia="zh-CN"/>
              </w:rPr>
              <w:t>”</w:t>
            </w:r>
            <w:r>
              <w:rPr>
                <w:rFonts w:hint="default"/>
                <w:color w:val="auto"/>
                <w:sz w:val="24"/>
              </w:rPr>
              <w:t>处理</w:t>
            </w:r>
            <w:r>
              <w:rPr>
                <w:rFonts w:hint="eastAsia"/>
                <w:color w:val="auto"/>
                <w:sz w:val="24"/>
                <w:lang w:eastAsia="zh-CN"/>
              </w:rPr>
              <w:t>（具体内容见</w:t>
            </w:r>
            <w:r>
              <w:rPr>
                <w:rFonts w:hint="eastAsia"/>
                <w:color w:val="auto"/>
                <w:sz w:val="24"/>
                <w:lang w:val="en-US" w:eastAsia="zh-CN"/>
              </w:rPr>
              <w:t>P59</w:t>
            </w:r>
            <w:r>
              <w:rPr>
                <w:rFonts w:hint="eastAsia"/>
                <w:color w:val="auto"/>
                <w:sz w:val="24"/>
                <w:lang w:eastAsia="zh-CN"/>
              </w:rPr>
              <w:t>），破胶脱稳后进行固液分离</w:t>
            </w:r>
            <w:r>
              <w:rPr>
                <w:rFonts w:hint="default"/>
                <w:color w:val="auto"/>
                <w:sz w:val="24"/>
              </w:rPr>
              <w:t>，</w:t>
            </w:r>
            <w:r>
              <w:rPr>
                <w:rFonts w:hint="eastAsia"/>
                <w:color w:val="auto"/>
                <w:sz w:val="24"/>
                <w:highlight w:val="none"/>
                <w:lang w:eastAsia="zh-CN"/>
              </w:rPr>
              <w:t>分离后的钻井废水由路桥公司</w:t>
            </w:r>
            <w:r>
              <w:rPr>
                <w:rFonts w:hint="eastAsia"/>
                <w:color w:val="auto"/>
                <w:sz w:val="24"/>
                <w:highlight w:val="none"/>
              </w:rPr>
              <w:t>定期拉运至吉兰泰联合站采出水处理系统，处理达标后回注于现役油藏。</w:t>
            </w:r>
            <w:r>
              <w:rPr>
                <w:rFonts w:hint="eastAsia"/>
                <w:color w:val="auto"/>
                <w:sz w:val="24"/>
                <w:highlight w:val="none"/>
                <w:lang w:eastAsia="zh-CN"/>
              </w:rPr>
              <w:t>本工程</w:t>
            </w:r>
            <w:r>
              <w:rPr>
                <w:rFonts w:hint="default"/>
                <w:color w:val="auto"/>
                <w:sz w:val="24"/>
                <w:highlight w:val="none"/>
              </w:rPr>
              <w:t>钻井废水产生量为</w:t>
            </w:r>
            <w:r>
              <w:rPr>
                <w:rFonts w:hint="eastAsia"/>
                <w:color w:val="auto"/>
                <w:sz w:val="24"/>
                <w:highlight w:val="none"/>
                <w:lang w:val="en-US" w:eastAsia="zh-CN"/>
              </w:rPr>
              <w:t>317</w:t>
            </w:r>
            <w:r>
              <w:rPr>
                <w:rFonts w:hint="default"/>
                <w:color w:val="auto"/>
                <w:sz w:val="24"/>
                <w:highlight w:val="none"/>
              </w:rPr>
              <w:t>m³/勘探期</w:t>
            </w:r>
            <w:r>
              <w:rPr>
                <w:rFonts w:hint="eastAsia"/>
                <w:color w:val="auto"/>
                <w:sz w:val="24"/>
                <w:highlight w:val="none"/>
              </w:rPr>
              <w:t>。</w:t>
            </w:r>
          </w:p>
          <w:p w14:paraId="6D1941AE">
            <w:pPr>
              <w:keepNext w:val="0"/>
              <w:keepLines w:val="0"/>
              <w:suppressLineNumbers w:val="0"/>
              <w:spacing w:before="0" w:beforeAutospacing="0" w:after="0" w:afterAutospacing="0" w:line="360" w:lineRule="auto"/>
              <w:ind w:left="0" w:right="0" w:firstLine="480"/>
              <w:rPr>
                <w:rFonts w:hint="eastAsia"/>
                <w:color w:val="auto"/>
                <w:sz w:val="24"/>
              </w:rPr>
            </w:pPr>
            <w:r>
              <w:rPr>
                <w:rFonts w:hint="eastAsia"/>
                <w:color w:val="auto"/>
                <w:sz w:val="24"/>
              </w:rPr>
              <w:t>上述</w:t>
            </w:r>
            <w:r>
              <w:rPr>
                <w:rFonts w:hint="default"/>
                <w:color w:val="auto"/>
                <w:sz w:val="24"/>
              </w:rPr>
              <w:t>废水</w:t>
            </w:r>
            <w:r>
              <w:rPr>
                <w:rFonts w:hint="eastAsia"/>
                <w:color w:val="auto"/>
                <w:sz w:val="24"/>
              </w:rPr>
              <w:t>拉运至吉兰泰联合站采出水处理系统，处理达标后回注于现役油藏，</w:t>
            </w:r>
            <w:r>
              <w:rPr>
                <w:rFonts w:hint="default"/>
                <w:color w:val="auto"/>
                <w:sz w:val="24"/>
              </w:rPr>
              <w:t>无废水外排。</w:t>
            </w:r>
          </w:p>
          <w:p w14:paraId="51E204B4">
            <w:pPr>
              <w:keepNext w:val="0"/>
              <w:keepLines w:val="0"/>
              <w:suppressLineNumbers w:val="0"/>
              <w:spacing w:before="0" w:beforeAutospacing="0" w:after="0" w:afterAutospacing="0" w:line="360" w:lineRule="auto"/>
              <w:ind w:left="0" w:right="0" w:firstLine="480"/>
              <w:rPr>
                <w:rFonts w:hint="default"/>
                <w:color w:val="auto"/>
                <w:sz w:val="24"/>
              </w:rPr>
            </w:pPr>
            <w:r>
              <w:rPr>
                <w:rFonts w:hint="eastAsia"/>
                <w:color w:val="auto"/>
                <w:sz w:val="24"/>
              </w:rPr>
              <w:t>（2）</w:t>
            </w:r>
            <w:r>
              <w:rPr>
                <w:rFonts w:hint="default"/>
                <w:color w:val="auto"/>
                <w:sz w:val="24"/>
              </w:rPr>
              <w:t>生活污水</w:t>
            </w:r>
          </w:p>
          <w:p w14:paraId="788E798C">
            <w:pPr>
              <w:keepNext w:val="0"/>
              <w:keepLines w:val="0"/>
              <w:suppressLineNumbers w:val="0"/>
              <w:spacing w:before="0" w:beforeAutospacing="0" w:after="0" w:afterAutospacing="0" w:line="360" w:lineRule="auto"/>
              <w:ind w:left="0" w:right="0" w:firstLine="480"/>
              <w:rPr>
                <w:rFonts w:hint="default"/>
                <w:color w:val="auto"/>
              </w:rPr>
            </w:pPr>
            <w:r>
              <w:rPr>
                <w:rFonts w:hint="eastAsia"/>
                <w:color w:val="auto"/>
                <w:sz w:val="24"/>
                <w:lang w:eastAsia="zh-CN"/>
              </w:rPr>
              <w:t>本工程</w:t>
            </w:r>
            <w:r>
              <w:rPr>
                <w:rFonts w:hint="default"/>
                <w:color w:val="auto"/>
                <w:sz w:val="24"/>
              </w:rPr>
              <w:t>劳动定员40人，勘探期</w:t>
            </w:r>
            <w:r>
              <w:rPr>
                <w:rFonts w:hint="eastAsia"/>
                <w:color w:val="auto"/>
                <w:sz w:val="24"/>
                <w:lang w:eastAsia="zh-CN"/>
              </w:rPr>
              <w:t>为</w:t>
            </w:r>
            <w:r>
              <w:rPr>
                <w:rFonts w:hint="eastAsia"/>
                <w:color w:val="auto"/>
                <w:sz w:val="24"/>
                <w:lang w:val="en-US" w:eastAsia="zh-CN"/>
              </w:rPr>
              <w:t>60</w:t>
            </w:r>
            <w:r>
              <w:rPr>
                <w:rFonts w:hint="default"/>
                <w:color w:val="auto"/>
                <w:sz w:val="24"/>
              </w:rPr>
              <w:t>天，按</w:t>
            </w:r>
            <w:r>
              <w:rPr>
                <w:rFonts w:hint="eastAsia"/>
                <w:color w:val="auto"/>
                <w:sz w:val="24"/>
              </w:rPr>
              <w:t>6</w:t>
            </w:r>
            <w:r>
              <w:rPr>
                <w:rFonts w:hint="default"/>
                <w:color w:val="auto"/>
                <w:sz w:val="24"/>
              </w:rPr>
              <w:t>0L/d·人计算，则</w:t>
            </w:r>
            <w:r>
              <w:rPr>
                <w:rFonts w:hint="eastAsia"/>
                <w:color w:val="auto"/>
                <w:sz w:val="24"/>
              </w:rPr>
              <w:t>生活</w:t>
            </w:r>
            <w:r>
              <w:rPr>
                <w:rFonts w:hint="default"/>
                <w:color w:val="auto"/>
                <w:sz w:val="24"/>
              </w:rPr>
              <w:t>用水量为</w:t>
            </w:r>
            <w:r>
              <w:rPr>
                <w:rFonts w:hint="eastAsia"/>
                <w:color w:val="auto"/>
                <w:sz w:val="24"/>
                <w:lang w:val="en-US" w:eastAsia="zh-CN"/>
              </w:rPr>
              <w:t>54</w:t>
            </w:r>
            <w:r>
              <w:rPr>
                <w:rFonts w:hint="default"/>
                <w:color w:val="auto"/>
                <w:sz w:val="24"/>
              </w:rPr>
              <w:t>m</w:t>
            </w:r>
            <w:r>
              <w:rPr>
                <w:rFonts w:hint="default"/>
                <w:color w:val="auto"/>
                <w:sz w:val="24"/>
                <w:vertAlign w:val="superscript"/>
              </w:rPr>
              <w:t>3</w:t>
            </w:r>
            <w:r>
              <w:rPr>
                <w:rFonts w:hint="default"/>
                <w:color w:val="auto"/>
                <w:sz w:val="24"/>
              </w:rPr>
              <w:t>/勘探期，勘探期产生的生活污水产生量按用水量的80%计，污水排放量为</w:t>
            </w:r>
            <w:r>
              <w:rPr>
                <w:rFonts w:hint="eastAsia"/>
                <w:color w:val="auto"/>
                <w:sz w:val="24"/>
                <w:lang w:val="en-US" w:eastAsia="zh-CN"/>
              </w:rPr>
              <w:t>43</w:t>
            </w:r>
            <w:r>
              <w:rPr>
                <w:rFonts w:hint="default"/>
                <w:color w:val="auto"/>
                <w:sz w:val="24"/>
              </w:rPr>
              <w:t>m</w:t>
            </w:r>
            <w:r>
              <w:rPr>
                <w:rFonts w:hint="default"/>
                <w:color w:val="auto"/>
                <w:sz w:val="24"/>
                <w:vertAlign w:val="superscript"/>
              </w:rPr>
              <w:t>3</w:t>
            </w:r>
            <w:r>
              <w:rPr>
                <w:rFonts w:hint="default"/>
                <w:color w:val="auto"/>
                <w:sz w:val="24"/>
              </w:rPr>
              <w:t>/勘探期，生活污水主要污染物为pH：6~9，COD：400mg/L，BOD</w:t>
            </w:r>
            <w:r>
              <w:rPr>
                <w:rFonts w:hint="default"/>
                <w:color w:val="auto"/>
                <w:sz w:val="24"/>
                <w:vertAlign w:val="subscript"/>
              </w:rPr>
              <w:t>5</w:t>
            </w:r>
            <w:r>
              <w:rPr>
                <w:rFonts w:hint="default"/>
                <w:color w:val="auto"/>
                <w:sz w:val="24"/>
                <w:highlight w:val="none"/>
              </w:rPr>
              <w:t>：</w:t>
            </w:r>
            <w:r>
              <w:rPr>
                <w:rFonts w:hint="default"/>
                <w:color w:val="auto"/>
                <w:sz w:val="24"/>
              </w:rPr>
              <w:t>200mg/L，SS：250mg/L，氨氮：25mg/L，</w:t>
            </w:r>
            <w:r>
              <w:rPr>
                <w:rFonts w:hint="default"/>
                <w:bCs/>
                <w:color w:val="auto"/>
                <w:sz w:val="24"/>
              </w:rPr>
              <w:t>井场设置</w:t>
            </w:r>
            <w:r>
              <w:rPr>
                <w:rFonts w:hint="eastAsia"/>
                <w:bCs/>
                <w:color w:val="auto"/>
                <w:sz w:val="24"/>
                <w:lang w:eastAsia="zh-CN"/>
              </w:rPr>
              <w:t>环保厕所</w:t>
            </w:r>
            <w:r>
              <w:rPr>
                <w:rFonts w:hint="default"/>
                <w:bCs/>
                <w:color w:val="auto"/>
                <w:sz w:val="24"/>
              </w:rPr>
              <w:t>，定期清掏。</w:t>
            </w:r>
          </w:p>
          <w:p w14:paraId="514A03AC">
            <w:pPr>
              <w:keepNext w:val="0"/>
              <w:keepLines w:val="0"/>
              <w:suppressLineNumbers w:val="0"/>
              <w:spacing w:before="0" w:beforeAutospacing="0" w:after="0" w:afterAutospacing="0" w:line="360" w:lineRule="auto"/>
              <w:ind w:left="0" w:right="0" w:firstLine="480"/>
              <w:rPr>
                <w:rFonts w:hint="eastAsia" w:eastAsia="宋体"/>
                <w:color w:val="auto"/>
                <w:sz w:val="24"/>
                <w:szCs w:val="24"/>
                <w:lang w:eastAsia="zh-CN"/>
              </w:rPr>
            </w:pPr>
            <w:r>
              <w:rPr>
                <w:rFonts w:hint="eastAsia"/>
                <w:color w:val="auto"/>
                <w:sz w:val="24"/>
                <w:szCs w:val="24"/>
                <w:lang w:eastAsia="zh-CN"/>
              </w:rPr>
              <w:t>通过以上分析，钻井废水、生活污水分别采取措施后，各废水均能得到有效处理，对地表水没有影响基本没有影响，措施可行。</w:t>
            </w:r>
          </w:p>
          <w:p w14:paraId="1A2BF0E0">
            <w:pPr>
              <w:keepNext w:val="0"/>
              <w:keepLines w:val="0"/>
              <w:suppressLineNumbers w:val="0"/>
              <w:adjustRightInd w:val="0"/>
              <w:snapToGrid w:val="0"/>
              <w:spacing w:before="0" w:beforeAutospacing="0" w:after="0" w:afterAutospacing="0" w:line="360" w:lineRule="auto"/>
              <w:ind w:left="0" w:right="0" w:firstLine="482" w:firstLineChars="200"/>
              <w:rPr>
                <w:rFonts w:hint="default"/>
                <w:b/>
                <w:color w:val="auto"/>
                <w:sz w:val="24"/>
                <w:szCs w:val="20"/>
              </w:rPr>
            </w:pPr>
            <w:r>
              <w:rPr>
                <w:rFonts w:hint="default"/>
                <w:b/>
                <w:color w:val="auto"/>
                <w:sz w:val="24"/>
                <w:szCs w:val="20"/>
              </w:rPr>
              <w:t>2、地下水环境影响分析</w:t>
            </w:r>
          </w:p>
          <w:p w14:paraId="4A1E1607">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0"/>
              </w:rPr>
            </w:pPr>
            <w:r>
              <w:rPr>
                <w:rFonts w:hint="default"/>
                <w:color w:val="auto"/>
                <w:sz w:val="24"/>
                <w:szCs w:val="20"/>
              </w:rPr>
              <w:t>（1）钻井废水对含水层的影响分析</w:t>
            </w:r>
          </w:p>
          <w:p w14:paraId="3C3728D0">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0"/>
              </w:rPr>
            </w:pPr>
            <w:r>
              <w:rPr>
                <w:rFonts w:hint="default"/>
                <w:color w:val="auto"/>
                <w:sz w:val="24"/>
                <w:szCs w:val="20"/>
              </w:rPr>
              <w:t>施工期钻探过程中，钻进至含水层时，在未下套管前，钻井废水（泥浆）会直接与含水层接触，通过压力差进入含水层。</w:t>
            </w:r>
          </w:p>
          <w:p w14:paraId="5C52BEB6">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0"/>
              </w:rPr>
            </w:pPr>
            <w:r>
              <w:rPr>
                <w:rFonts w:hint="default"/>
                <w:color w:val="auto"/>
                <w:sz w:val="24"/>
                <w:szCs w:val="20"/>
              </w:rPr>
              <w:t>根据开发实际情况及业主提供资料，钻井泥浆中含有大量的膨润土（蒙脱石为主的含水</w:t>
            </w:r>
            <w:r>
              <w:rPr>
                <w:rFonts w:hint="eastAsia"/>
                <w:color w:val="auto"/>
                <w:sz w:val="24"/>
                <w:szCs w:val="20"/>
                <w:lang w:eastAsia="zh-CN"/>
              </w:rPr>
              <w:t>黏土</w:t>
            </w:r>
            <w:r>
              <w:rPr>
                <w:rFonts w:hint="default"/>
                <w:color w:val="auto"/>
                <w:sz w:val="24"/>
                <w:szCs w:val="20"/>
              </w:rPr>
              <w:t>）及少量的纯碱、烧碱、NH</w:t>
            </w:r>
            <w:r>
              <w:rPr>
                <w:rFonts w:hint="default"/>
                <w:color w:val="auto"/>
                <w:sz w:val="24"/>
                <w:szCs w:val="20"/>
                <w:vertAlign w:val="subscript"/>
              </w:rPr>
              <w:t>4</w:t>
            </w:r>
            <w:r>
              <w:rPr>
                <w:rFonts w:hint="default"/>
                <w:color w:val="auto"/>
                <w:sz w:val="24"/>
                <w:szCs w:val="20"/>
              </w:rPr>
              <w:t>-HPAN、高分子抑制剂PMHA-II、抗高温降滤失剂、防塌剂、液体润滑剂、超低渗处理剂等，基本上属于无毒无害物质。钻井废水以钻井为中心向四周扩散，在钻进过程中，钻井泥浆会在井壁形成一定厚度的泥浆滤饼，对钻井废水的扩散起到一定的阻隔作用，实际进入到含水层的废水量较小；根据工程分析及甲方实际经验，</w:t>
            </w:r>
            <w:r>
              <w:rPr>
                <w:rFonts w:hint="eastAsia"/>
                <w:color w:val="auto"/>
                <w:sz w:val="24"/>
                <w:szCs w:val="20"/>
              </w:rPr>
              <w:t>钻探</w:t>
            </w:r>
            <w:r>
              <w:rPr>
                <w:rFonts w:hint="default"/>
                <w:color w:val="auto"/>
                <w:sz w:val="24"/>
                <w:szCs w:val="20"/>
              </w:rPr>
              <w:t>时间较短，对含水层的影响较小。综上分析在钻井施工过程中，钻井废水水质较简单，且对含水层影响时间较短，范围较小，程度较低，在可接受范围内，不会对</w:t>
            </w:r>
            <w:r>
              <w:rPr>
                <w:rFonts w:hint="eastAsia"/>
                <w:color w:val="auto"/>
                <w:sz w:val="24"/>
                <w:szCs w:val="20"/>
                <w:lang w:eastAsia="zh-CN"/>
              </w:rPr>
              <w:t>地下水</w:t>
            </w:r>
            <w:r>
              <w:rPr>
                <w:rFonts w:hint="default"/>
                <w:color w:val="auto"/>
                <w:sz w:val="24"/>
                <w:szCs w:val="20"/>
              </w:rPr>
              <w:t>造成影响。</w:t>
            </w:r>
          </w:p>
          <w:p w14:paraId="4C9F3BF3">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0"/>
              </w:rPr>
            </w:pPr>
            <w:r>
              <w:rPr>
                <w:rFonts w:hint="default"/>
                <w:color w:val="auto"/>
                <w:sz w:val="24"/>
                <w:szCs w:val="20"/>
              </w:rPr>
              <w:t>（2）钻井泥浆对地下水的影响</w:t>
            </w:r>
          </w:p>
          <w:p w14:paraId="5AD9678A">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0"/>
              </w:rPr>
            </w:pPr>
            <w:r>
              <w:rPr>
                <w:rFonts w:hint="default"/>
                <w:color w:val="auto"/>
                <w:sz w:val="24"/>
                <w:szCs w:val="20"/>
              </w:rPr>
              <w:t>钻井作业过程中，泥浆的重复利用率可达80%以上。钻井泥浆中含有大量粘土、CMC（羧甲基纤维素）、重晶石和少量纯碱等，正常情况下储存在</w:t>
            </w:r>
            <w:r>
              <w:rPr>
                <w:rFonts w:hint="eastAsia"/>
                <w:color w:val="auto"/>
                <w:sz w:val="24"/>
                <w:szCs w:val="20"/>
              </w:rPr>
              <w:t>泥浆循环罐</w:t>
            </w:r>
            <w:r>
              <w:rPr>
                <w:rFonts w:hint="default"/>
                <w:color w:val="auto"/>
                <w:sz w:val="24"/>
                <w:szCs w:val="20"/>
              </w:rPr>
              <w:t>中，对地下水影响较小。一旦</w:t>
            </w:r>
            <w:r>
              <w:rPr>
                <w:rFonts w:hint="eastAsia"/>
                <w:color w:val="auto"/>
                <w:sz w:val="24"/>
                <w:szCs w:val="20"/>
              </w:rPr>
              <w:t>泥浆循环罐</w:t>
            </w:r>
            <w:r>
              <w:rPr>
                <w:rFonts w:hint="default"/>
                <w:color w:val="auto"/>
                <w:sz w:val="24"/>
                <w:szCs w:val="20"/>
              </w:rPr>
              <w:t>渗漏，废水会直接进入土层，通过包气带下渗。由于粉土层土粒过滤吸附及微生物降解作用，污染物浓度得以降低（岩层颗粒愈细，厚度愈大，污染物含量降</w:t>
            </w:r>
            <w:r>
              <w:rPr>
                <w:rFonts w:hint="eastAsia"/>
                <w:color w:val="auto"/>
                <w:sz w:val="24"/>
                <w:szCs w:val="20"/>
                <w:lang w:eastAsia="zh-CN"/>
              </w:rPr>
              <w:t>得</w:t>
            </w:r>
            <w:r>
              <w:rPr>
                <w:rFonts w:hint="default"/>
                <w:color w:val="auto"/>
                <w:sz w:val="24"/>
                <w:szCs w:val="20"/>
              </w:rPr>
              <w:t>愈多）；若</w:t>
            </w:r>
            <w:r>
              <w:rPr>
                <w:rFonts w:hint="eastAsia"/>
                <w:color w:val="auto"/>
                <w:sz w:val="24"/>
                <w:szCs w:val="20"/>
              </w:rPr>
              <w:t>泥浆循环罐</w:t>
            </w:r>
            <w:r>
              <w:rPr>
                <w:rFonts w:hint="default"/>
                <w:color w:val="auto"/>
                <w:sz w:val="24"/>
                <w:szCs w:val="20"/>
              </w:rPr>
              <w:t>渗漏废水进入细砂层，由于细砂层透水性好，污水依次经表层细砂、包气带进入含水层自由水面，在水平流场作用下，做对流扩散运动。在这种情况下，或者包气带完全饱和，呈连续入渗的形式，或者包气带上部砂层完全饱和，呈连续渗流形式，而其下部呈非饱和水的淋雨状渗流形式渗入自由水面，污染物自上而下经过包气带进入自由水面，影响对象为包气带和浅部含水层。由此可见，当</w:t>
            </w:r>
            <w:r>
              <w:rPr>
                <w:rFonts w:hint="eastAsia"/>
                <w:color w:val="auto"/>
                <w:sz w:val="24"/>
                <w:szCs w:val="20"/>
              </w:rPr>
              <w:t>泥浆循环罐</w:t>
            </w:r>
            <w:r>
              <w:rPr>
                <w:rFonts w:hint="default"/>
                <w:color w:val="auto"/>
                <w:sz w:val="24"/>
                <w:szCs w:val="20"/>
              </w:rPr>
              <w:t>在距离地下水较近的地方发生渗漏，由于土粒或砂粒过滤吸附及微生物降解作用有限，包气带距离短，废水容易穿过包气带进入浅层地下水，对较大范围内地下水质量形成影响；当</w:t>
            </w:r>
            <w:r>
              <w:rPr>
                <w:rFonts w:hint="eastAsia"/>
                <w:color w:val="auto"/>
                <w:sz w:val="24"/>
                <w:szCs w:val="20"/>
              </w:rPr>
              <w:t>泥浆循环罐</w:t>
            </w:r>
            <w:r>
              <w:rPr>
                <w:rFonts w:hint="default"/>
                <w:color w:val="auto"/>
                <w:sz w:val="24"/>
                <w:szCs w:val="20"/>
              </w:rPr>
              <w:t>在距离地下水较深的地方发生渗漏，由于土粒或砂粒过滤吸附及微生物降解作用较为明显，包气带距离长，废水穿过表土和包气带进入浅层地下水需要一定的时间，对地下水质量的影响范围和程度相对小一些。</w:t>
            </w:r>
            <w:r>
              <w:rPr>
                <w:rFonts w:hint="eastAsia"/>
                <w:color w:val="auto"/>
                <w:sz w:val="24"/>
                <w:szCs w:val="20"/>
                <w:lang w:val="en-US" w:eastAsia="zh-CN"/>
              </w:rPr>
              <w:t>加之在井场都分门别类地做了不同程度的防渗，所以</w:t>
            </w:r>
            <w:r>
              <w:rPr>
                <w:rFonts w:hint="eastAsia"/>
                <w:color w:val="auto"/>
                <w:sz w:val="24"/>
                <w:szCs w:val="20"/>
                <w:lang w:eastAsia="zh-CN"/>
              </w:rPr>
              <w:t>钻井泥浆对地下水的影响</w:t>
            </w:r>
            <w:r>
              <w:rPr>
                <w:rFonts w:hint="eastAsia"/>
                <w:color w:val="auto"/>
                <w:sz w:val="24"/>
                <w:szCs w:val="20"/>
                <w:lang w:val="en-US" w:eastAsia="zh-CN"/>
              </w:rPr>
              <w:t>极小。</w:t>
            </w:r>
          </w:p>
          <w:p w14:paraId="5E400B2C">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0"/>
              </w:rPr>
            </w:pPr>
            <w:r>
              <w:rPr>
                <w:rFonts w:hint="default"/>
                <w:color w:val="auto"/>
                <w:sz w:val="24"/>
                <w:szCs w:val="20"/>
              </w:rPr>
              <w:t>（3）钻进过程井漏事故的影响</w:t>
            </w:r>
          </w:p>
          <w:p w14:paraId="51D6E924">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0"/>
              </w:rPr>
            </w:pPr>
            <w:r>
              <w:rPr>
                <w:rFonts w:hint="default"/>
                <w:color w:val="auto"/>
                <w:sz w:val="24"/>
                <w:szCs w:val="20"/>
              </w:rPr>
              <w:t>井漏事故对地下水的污染是钻井泥浆漏失于地下水含水层中，由于其含有石油类，易造成地下水污染。就钻井漏失而言，其径流型污染范围不大，发生在局部且持续时间较短。</w:t>
            </w:r>
          </w:p>
          <w:p w14:paraId="784678B8">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0"/>
              </w:rPr>
            </w:pPr>
            <w:r>
              <w:rPr>
                <w:rFonts w:hint="default"/>
                <w:color w:val="auto"/>
                <w:sz w:val="24"/>
                <w:szCs w:val="20"/>
              </w:rPr>
              <w:t>钻井过程中表层套管（隔离含水体套管）固井变径后，继续钻井数千米到达含油气的目的层。在表层套管内提钻下钻和钻杆自重离心力不稳定，在压力下的钻杆转动对套管产生摩擦碰撞，有可能对套管和固井环状水泥产生破坏作用，使钻井液在高压循环过程中，从破坏处产生井漏进入潜水含水层造成污染，其风险是存在的。此外钻井泥浆以水基膨润土为主，并加有碱类添加剂，在高压循环中除形成一定厚度的</w:t>
            </w:r>
            <w:r>
              <w:rPr>
                <w:rFonts w:hint="eastAsia"/>
                <w:color w:val="auto"/>
                <w:sz w:val="24"/>
                <w:szCs w:val="20"/>
                <w:lang w:eastAsia="zh-CN"/>
              </w:rPr>
              <w:t>黏土</w:t>
            </w:r>
            <w:r>
              <w:rPr>
                <w:rFonts w:hint="default"/>
                <w:color w:val="auto"/>
                <w:sz w:val="24"/>
                <w:szCs w:val="20"/>
              </w:rPr>
              <w:t>泥皮护住井壁外，也使碱类钻井液进入含水层，虽然没有毒性，但对水质的硬度和矿化度劣变起到一定影响。因此推广使用清洁无害的泥浆，严格控制使用有毒有害泥浆及化学处理剂，同时严格要求套管下入深度等措施，可以有效控制钻井液（泥浆）在含水层中的漏失，减轻对地下水环境的影响。</w:t>
            </w:r>
          </w:p>
          <w:p w14:paraId="2F2CDE45">
            <w:pPr>
              <w:keepNext w:val="0"/>
              <w:keepLines w:val="0"/>
              <w:suppressLineNumbers w:val="0"/>
              <w:spacing w:before="0" w:beforeAutospacing="0" w:after="0" w:afterAutospacing="0" w:line="360" w:lineRule="auto"/>
              <w:ind w:left="0" w:right="0" w:firstLine="480"/>
              <w:rPr>
                <w:rFonts w:hint="default"/>
                <w:b/>
                <w:color w:val="auto"/>
                <w:sz w:val="24"/>
              </w:rPr>
            </w:pPr>
            <w:r>
              <w:rPr>
                <w:rFonts w:hint="eastAsia"/>
                <w:b/>
                <w:color w:val="auto"/>
                <w:sz w:val="24"/>
              </w:rPr>
              <w:t>三、</w:t>
            </w:r>
            <w:r>
              <w:rPr>
                <w:rFonts w:hint="default"/>
                <w:b/>
                <w:color w:val="auto"/>
                <w:sz w:val="24"/>
              </w:rPr>
              <w:t>噪声污染源分析</w:t>
            </w:r>
          </w:p>
          <w:p w14:paraId="491A0313">
            <w:pPr>
              <w:keepNext w:val="0"/>
              <w:keepLines w:val="0"/>
              <w:suppressLineNumbers w:val="0"/>
              <w:spacing w:before="0" w:beforeAutospacing="0" w:after="0" w:afterAutospacing="0" w:line="360" w:lineRule="auto"/>
              <w:ind w:left="0" w:right="0" w:firstLine="480"/>
              <w:rPr>
                <w:rFonts w:hint="eastAsia"/>
                <w:color w:val="auto"/>
                <w:sz w:val="24"/>
              </w:rPr>
            </w:pPr>
            <w:r>
              <w:rPr>
                <w:rFonts w:hint="eastAsia"/>
                <w:color w:val="auto"/>
                <w:sz w:val="24"/>
              </w:rPr>
              <w:t>1、钻井期产生的噪声主要为机械噪声与作业噪声。</w:t>
            </w:r>
          </w:p>
          <w:p w14:paraId="6B6F3EE0">
            <w:pPr>
              <w:keepNext w:val="0"/>
              <w:keepLines w:val="0"/>
              <w:suppressLineNumbers w:val="0"/>
              <w:spacing w:before="0" w:beforeAutospacing="0" w:after="0" w:afterAutospacing="0" w:line="360" w:lineRule="auto"/>
              <w:ind w:left="0" w:right="0" w:firstLine="480"/>
              <w:rPr>
                <w:rFonts w:hint="eastAsia"/>
                <w:color w:val="auto"/>
                <w:sz w:val="24"/>
              </w:rPr>
            </w:pPr>
            <w:r>
              <w:rPr>
                <w:rFonts w:hint="eastAsia"/>
                <w:color w:val="auto"/>
                <w:sz w:val="24"/>
              </w:rPr>
              <w:t>机械噪声主要来源于大型柴油机、钻机、泥浆泵及各种机械转动产生的噪声；作业噪声主要来源于固井作业、下套管、起下钻具、起钻时吊环与水龙头的撞击等发出的噪声。</w:t>
            </w:r>
          </w:p>
          <w:p w14:paraId="3F150F14">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color w:val="auto"/>
                <w:sz w:val="24"/>
              </w:rPr>
              <w:t>根据《钻井作业现场健康危害因素及预防》（中国石油和化工标准与质量）中钻机噪声危害场所监测结果可知，钻井作业现场声源强度一般都在80dB（A）以上，具体噪声源</w:t>
            </w:r>
            <w:r>
              <w:rPr>
                <w:rFonts w:hint="eastAsia"/>
                <w:color w:val="auto"/>
                <w:sz w:val="24"/>
                <w:highlight w:val="none"/>
              </w:rPr>
              <w:t>强</w:t>
            </w:r>
            <w:r>
              <w:rPr>
                <w:rFonts w:hint="eastAsia"/>
                <w:color w:val="auto"/>
                <w:sz w:val="24"/>
              </w:rPr>
              <w:t>见下表</w:t>
            </w:r>
            <w:r>
              <w:rPr>
                <w:rFonts w:hint="default"/>
                <w:color w:val="auto"/>
                <w:sz w:val="24"/>
              </w:rPr>
              <w:t>。</w:t>
            </w:r>
          </w:p>
          <w:p w14:paraId="5AC2736D">
            <w:pPr>
              <w:keepNext w:val="0"/>
              <w:keepLines w:val="0"/>
              <w:suppressLineNumbers w:val="0"/>
              <w:autoSpaceDE w:val="0"/>
              <w:autoSpaceDN w:val="0"/>
              <w:adjustRightInd w:val="0"/>
              <w:spacing w:before="0" w:beforeAutospacing="0" w:after="0" w:afterAutospacing="0"/>
              <w:ind w:left="0" w:right="0"/>
              <w:jc w:val="center"/>
              <w:rPr>
                <w:rFonts w:hint="default"/>
                <w:b/>
                <w:color w:val="auto"/>
                <w:kern w:val="0"/>
                <w:sz w:val="24"/>
                <w:szCs w:val="21"/>
              </w:rPr>
            </w:pPr>
            <w:r>
              <w:rPr>
                <w:rFonts w:hint="default"/>
                <w:b/>
                <w:color w:val="auto"/>
                <w:kern w:val="0"/>
                <w:sz w:val="24"/>
                <w:szCs w:val="21"/>
              </w:rPr>
              <w:t>表</w:t>
            </w:r>
            <w:r>
              <w:rPr>
                <w:rFonts w:hint="eastAsia"/>
                <w:b/>
                <w:color w:val="auto"/>
                <w:kern w:val="0"/>
                <w:sz w:val="24"/>
                <w:szCs w:val="21"/>
              </w:rPr>
              <w:t>4</w:t>
            </w:r>
            <w:r>
              <w:rPr>
                <w:rFonts w:hint="default"/>
                <w:b/>
                <w:color w:val="auto"/>
                <w:kern w:val="0"/>
                <w:sz w:val="24"/>
                <w:szCs w:val="21"/>
              </w:rPr>
              <w:t>-</w:t>
            </w:r>
            <w:r>
              <w:rPr>
                <w:rFonts w:hint="eastAsia"/>
                <w:b/>
                <w:color w:val="auto"/>
                <w:kern w:val="0"/>
                <w:sz w:val="24"/>
                <w:szCs w:val="21"/>
              </w:rPr>
              <w:t>2 钻井作业现场噪声一览表</w:t>
            </w:r>
          </w:p>
          <w:tbl>
            <w:tblPr>
              <w:tblStyle w:val="30"/>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058"/>
              <w:gridCol w:w="1323"/>
              <w:gridCol w:w="764"/>
              <w:gridCol w:w="3629"/>
              <w:gridCol w:w="1421"/>
            </w:tblGrid>
            <w:tr w14:paraId="47AC509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45" w:hRule="atLeast"/>
              </w:trPr>
              <w:tc>
                <w:tcPr>
                  <w:tcW w:w="646" w:type="pct"/>
                  <w:noWrap w:val="0"/>
                  <w:vAlign w:val="center"/>
                </w:tcPr>
                <w:p w14:paraId="41E96AC9">
                  <w:pPr>
                    <w:keepNext w:val="0"/>
                    <w:keepLines w:val="0"/>
                    <w:suppressLineNumbers w:val="0"/>
                    <w:spacing w:before="0" w:beforeAutospacing="0" w:after="0" w:afterAutospacing="0"/>
                    <w:ind w:left="0" w:right="9"/>
                    <w:jc w:val="center"/>
                    <w:rPr>
                      <w:rFonts w:hint="default"/>
                      <w:color w:val="auto"/>
                      <w:kern w:val="0"/>
                      <w:szCs w:val="21"/>
                    </w:rPr>
                  </w:pPr>
                  <w:r>
                    <w:rPr>
                      <w:rFonts w:hint="default"/>
                      <w:color w:val="auto"/>
                      <w:kern w:val="0"/>
                      <w:szCs w:val="21"/>
                    </w:rPr>
                    <w:t>装置</w:t>
                  </w:r>
                </w:p>
              </w:tc>
              <w:tc>
                <w:tcPr>
                  <w:tcW w:w="807" w:type="pct"/>
                  <w:noWrap w:val="0"/>
                  <w:vAlign w:val="center"/>
                </w:tcPr>
                <w:p w14:paraId="4AF10236">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源强dB（A）</w:t>
                  </w:r>
                </w:p>
              </w:tc>
              <w:tc>
                <w:tcPr>
                  <w:tcW w:w="466" w:type="pct"/>
                  <w:noWrap w:val="0"/>
                  <w:vAlign w:val="center"/>
                </w:tcPr>
                <w:p w14:paraId="43C24211">
                  <w:pPr>
                    <w:keepNext w:val="0"/>
                    <w:keepLines w:val="0"/>
                    <w:suppressLineNumbers w:val="0"/>
                    <w:spacing w:before="0" w:beforeAutospacing="0" w:after="0" w:afterAutospacing="0"/>
                    <w:ind w:left="3" w:right="0"/>
                    <w:jc w:val="center"/>
                    <w:rPr>
                      <w:rFonts w:hint="default"/>
                      <w:color w:val="auto"/>
                      <w:kern w:val="0"/>
                      <w:szCs w:val="21"/>
                    </w:rPr>
                  </w:pPr>
                  <w:r>
                    <w:rPr>
                      <w:rFonts w:hint="default"/>
                      <w:color w:val="auto"/>
                      <w:kern w:val="0"/>
                      <w:szCs w:val="21"/>
                    </w:rPr>
                    <w:t>数量</w:t>
                  </w:r>
                </w:p>
              </w:tc>
              <w:tc>
                <w:tcPr>
                  <w:tcW w:w="2214" w:type="pct"/>
                  <w:noWrap w:val="0"/>
                  <w:vAlign w:val="center"/>
                </w:tcPr>
                <w:p w14:paraId="3F06F42D">
                  <w:pPr>
                    <w:keepNext w:val="0"/>
                    <w:keepLines w:val="0"/>
                    <w:suppressLineNumbers w:val="0"/>
                    <w:spacing w:before="0" w:beforeAutospacing="0" w:after="0" w:afterAutospacing="0"/>
                    <w:ind w:left="3" w:right="0"/>
                    <w:jc w:val="center"/>
                    <w:rPr>
                      <w:rFonts w:hint="default"/>
                      <w:color w:val="auto"/>
                      <w:kern w:val="0"/>
                      <w:szCs w:val="21"/>
                    </w:rPr>
                  </w:pPr>
                  <w:r>
                    <w:rPr>
                      <w:rFonts w:hint="default"/>
                      <w:color w:val="auto"/>
                      <w:kern w:val="0"/>
                      <w:szCs w:val="21"/>
                    </w:rPr>
                    <w:t>噪声治理措施</w:t>
                  </w:r>
                </w:p>
              </w:tc>
              <w:tc>
                <w:tcPr>
                  <w:tcW w:w="865" w:type="pct"/>
                  <w:noWrap w:val="0"/>
                  <w:vAlign w:val="center"/>
                </w:tcPr>
                <w:p w14:paraId="0254C0DD">
                  <w:pPr>
                    <w:keepNext w:val="0"/>
                    <w:keepLines w:val="0"/>
                    <w:suppressLineNumbers w:val="0"/>
                    <w:spacing w:before="0" w:beforeAutospacing="0" w:after="0" w:afterAutospacing="0"/>
                    <w:ind w:left="3" w:right="0"/>
                    <w:jc w:val="center"/>
                    <w:rPr>
                      <w:rFonts w:hint="default"/>
                      <w:color w:val="auto"/>
                      <w:kern w:val="0"/>
                      <w:szCs w:val="21"/>
                    </w:rPr>
                  </w:pPr>
                  <w:r>
                    <w:rPr>
                      <w:rFonts w:hint="default"/>
                      <w:color w:val="auto"/>
                      <w:kern w:val="0"/>
                      <w:szCs w:val="21"/>
                    </w:rPr>
                    <w:t>治理后源强</w:t>
                  </w:r>
                </w:p>
              </w:tc>
            </w:tr>
            <w:tr w14:paraId="3C4774C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47" w:hRule="atLeast"/>
              </w:trPr>
              <w:tc>
                <w:tcPr>
                  <w:tcW w:w="646" w:type="pct"/>
                  <w:noWrap w:val="0"/>
                  <w:vAlign w:val="center"/>
                </w:tcPr>
                <w:p w14:paraId="1B02F052">
                  <w:pPr>
                    <w:keepNext w:val="0"/>
                    <w:keepLines w:val="0"/>
                    <w:suppressLineNumbers w:val="0"/>
                    <w:spacing w:before="0" w:beforeAutospacing="0" w:after="0" w:afterAutospacing="0"/>
                    <w:ind w:left="0" w:right="9"/>
                    <w:jc w:val="center"/>
                    <w:rPr>
                      <w:rFonts w:hint="default"/>
                      <w:color w:val="auto"/>
                      <w:kern w:val="0"/>
                      <w:szCs w:val="21"/>
                    </w:rPr>
                  </w:pPr>
                  <w:r>
                    <w:rPr>
                      <w:rFonts w:hint="default"/>
                      <w:color w:val="auto"/>
                      <w:kern w:val="0"/>
                      <w:szCs w:val="21"/>
                    </w:rPr>
                    <w:t>柴油机</w:t>
                  </w:r>
                </w:p>
              </w:tc>
              <w:tc>
                <w:tcPr>
                  <w:tcW w:w="807" w:type="pct"/>
                  <w:noWrap w:val="0"/>
                  <w:vAlign w:val="center"/>
                </w:tcPr>
                <w:p w14:paraId="6B4D595A">
                  <w:pPr>
                    <w:keepNext w:val="0"/>
                    <w:keepLines w:val="0"/>
                    <w:suppressLineNumbers w:val="0"/>
                    <w:spacing w:before="14" w:beforeAutospacing="0" w:after="0" w:afterAutospacing="0"/>
                    <w:ind w:left="0" w:right="1"/>
                    <w:jc w:val="center"/>
                    <w:rPr>
                      <w:rFonts w:hint="default"/>
                      <w:color w:val="auto"/>
                      <w:kern w:val="0"/>
                      <w:szCs w:val="21"/>
                    </w:rPr>
                  </w:pPr>
                  <w:r>
                    <w:rPr>
                      <w:rFonts w:hint="default"/>
                      <w:color w:val="auto"/>
                      <w:kern w:val="0"/>
                      <w:szCs w:val="21"/>
                    </w:rPr>
                    <w:t>100</w:t>
                  </w:r>
                </w:p>
              </w:tc>
              <w:tc>
                <w:tcPr>
                  <w:tcW w:w="466" w:type="pct"/>
                  <w:noWrap w:val="0"/>
                  <w:vAlign w:val="center"/>
                </w:tcPr>
                <w:p w14:paraId="61AC8FC9">
                  <w:pPr>
                    <w:keepNext w:val="0"/>
                    <w:keepLines w:val="0"/>
                    <w:suppressLineNumbers w:val="0"/>
                    <w:spacing w:before="14" w:beforeAutospacing="0" w:after="0" w:afterAutospacing="0"/>
                    <w:ind w:left="7" w:right="0"/>
                    <w:jc w:val="center"/>
                    <w:rPr>
                      <w:rFonts w:hint="eastAsia" w:eastAsia="宋体"/>
                      <w:color w:val="auto"/>
                      <w:kern w:val="0"/>
                      <w:szCs w:val="21"/>
                      <w:lang w:eastAsia="zh-CN"/>
                    </w:rPr>
                  </w:pPr>
                  <w:r>
                    <w:rPr>
                      <w:rFonts w:hint="eastAsia"/>
                      <w:color w:val="auto"/>
                      <w:w w:val="99"/>
                      <w:kern w:val="0"/>
                      <w:szCs w:val="21"/>
                      <w:lang w:val="en-US" w:eastAsia="zh-CN"/>
                    </w:rPr>
                    <w:t>1</w:t>
                  </w:r>
                </w:p>
              </w:tc>
              <w:tc>
                <w:tcPr>
                  <w:tcW w:w="2214" w:type="pct"/>
                  <w:noWrap w:val="0"/>
                  <w:vAlign w:val="center"/>
                </w:tcPr>
                <w:p w14:paraId="23E6FEC9">
                  <w:pPr>
                    <w:keepNext w:val="0"/>
                    <w:keepLines w:val="0"/>
                    <w:suppressLineNumbers w:val="0"/>
                    <w:spacing w:before="0" w:beforeAutospacing="0" w:after="0" w:afterAutospacing="0"/>
                    <w:ind w:left="0" w:right="9"/>
                    <w:jc w:val="center"/>
                    <w:rPr>
                      <w:rFonts w:hint="default"/>
                      <w:color w:val="auto"/>
                      <w:kern w:val="0"/>
                      <w:szCs w:val="21"/>
                    </w:rPr>
                  </w:pPr>
                  <w:r>
                    <w:rPr>
                      <w:rFonts w:hint="default"/>
                      <w:color w:val="auto"/>
                      <w:kern w:val="0"/>
                      <w:szCs w:val="21"/>
                    </w:rPr>
                    <w:t>柴油发电机组排气口朝向避开办公生活的方位，并设置基础减振等措施</w:t>
                  </w:r>
                </w:p>
              </w:tc>
              <w:tc>
                <w:tcPr>
                  <w:tcW w:w="865" w:type="pct"/>
                  <w:noWrap w:val="0"/>
                  <w:vAlign w:val="center"/>
                </w:tcPr>
                <w:p w14:paraId="36F01433">
                  <w:pPr>
                    <w:keepNext w:val="0"/>
                    <w:keepLines w:val="0"/>
                    <w:suppressLineNumbers w:val="0"/>
                    <w:spacing w:before="0" w:beforeAutospacing="0" w:after="0" w:afterAutospacing="0"/>
                    <w:ind w:left="0" w:right="9"/>
                    <w:jc w:val="center"/>
                    <w:rPr>
                      <w:rFonts w:hint="default"/>
                      <w:color w:val="auto"/>
                      <w:kern w:val="0"/>
                      <w:szCs w:val="21"/>
                    </w:rPr>
                  </w:pPr>
                  <w:r>
                    <w:rPr>
                      <w:rFonts w:hint="default"/>
                      <w:color w:val="auto"/>
                      <w:kern w:val="0"/>
                      <w:szCs w:val="21"/>
                    </w:rPr>
                    <w:t>80</w:t>
                  </w:r>
                </w:p>
              </w:tc>
            </w:tr>
            <w:tr w14:paraId="6EAE1D7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83" w:hRule="atLeast"/>
              </w:trPr>
              <w:tc>
                <w:tcPr>
                  <w:tcW w:w="646" w:type="pct"/>
                  <w:noWrap w:val="0"/>
                  <w:vAlign w:val="center"/>
                </w:tcPr>
                <w:p w14:paraId="2437C15E">
                  <w:pPr>
                    <w:keepNext w:val="0"/>
                    <w:keepLines w:val="0"/>
                    <w:suppressLineNumbers w:val="0"/>
                    <w:spacing w:before="0" w:beforeAutospacing="0" w:after="0" w:afterAutospacing="0"/>
                    <w:ind w:left="0" w:right="9"/>
                    <w:jc w:val="center"/>
                    <w:rPr>
                      <w:rFonts w:hint="eastAsia" w:eastAsia="宋体"/>
                      <w:color w:val="auto"/>
                      <w:kern w:val="0"/>
                      <w:szCs w:val="21"/>
                      <w:lang w:eastAsia="zh-CN"/>
                    </w:rPr>
                  </w:pPr>
                  <w:r>
                    <w:rPr>
                      <w:rFonts w:hint="default"/>
                      <w:color w:val="auto"/>
                      <w:kern w:val="0"/>
                      <w:szCs w:val="21"/>
                    </w:rPr>
                    <w:t>钻机</w:t>
                  </w:r>
                  <w:r>
                    <w:rPr>
                      <w:rFonts w:hint="eastAsia"/>
                      <w:color w:val="auto"/>
                      <w:kern w:val="0"/>
                      <w:szCs w:val="21"/>
                      <w:lang w:eastAsia="zh-CN"/>
                    </w:rPr>
                    <w:t>（含提升、固控等系统）</w:t>
                  </w:r>
                </w:p>
              </w:tc>
              <w:tc>
                <w:tcPr>
                  <w:tcW w:w="807" w:type="pct"/>
                  <w:noWrap w:val="0"/>
                  <w:vAlign w:val="center"/>
                </w:tcPr>
                <w:p w14:paraId="06882BDC">
                  <w:pPr>
                    <w:keepNext w:val="0"/>
                    <w:keepLines w:val="0"/>
                    <w:suppressLineNumbers w:val="0"/>
                    <w:spacing w:before="16" w:beforeAutospacing="0" w:after="0" w:afterAutospacing="0"/>
                    <w:ind w:left="1" w:right="0"/>
                    <w:jc w:val="center"/>
                    <w:rPr>
                      <w:rFonts w:hint="default"/>
                      <w:color w:val="auto"/>
                      <w:kern w:val="0"/>
                      <w:szCs w:val="21"/>
                    </w:rPr>
                  </w:pPr>
                  <w:r>
                    <w:rPr>
                      <w:rFonts w:hint="default"/>
                      <w:color w:val="auto"/>
                      <w:kern w:val="0"/>
                      <w:szCs w:val="21"/>
                    </w:rPr>
                    <w:t>95</w:t>
                  </w:r>
                </w:p>
              </w:tc>
              <w:tc>
                <w:tcPr>
                  <w:tcW w:w="466" w:type="pct"/>
                  <w:noWrap w:val="0"/>
                  <w:vAlign w:val="center"/>
                </w:tcPr>
                <w:p w14:paraId="732B0945">
                  <w:pPr>
                    <w:keepNext w:val="0"/>
                    <w:keepLines w:val="0"/>
                    <w:suppressLineNumbers w:val="0"/>
                    <w:spacing w:before="16" w:beforeAutospacing="0" w:after="0" w:afterAutospacing="0"/>
                    <w:ind w:left="7" w:right="0"/>
                    <w:jc w:val="center"/>
                    <w:rPr>
                      <w:rFonts w:hint="default"/>
                      <w:color w:val="auto"/>
                      <w:kern w:val="0"/>
                      <w:szCs w:val="21"/>
                    </w:rPr>
                  </w:pPr>
                  <w:r>
                    <w:rPr>
                      <w:rFonts w:hint="default"/>
                      <w:color w:val="auto"/>
                      <w:w w:val="99"/>
                      <w:kern w:val="0"/>
                      <w:szCs w:val="21"/>
                    </w:rPr>
                    <w:t>1</w:t>
                  </w:r>
                </w:p>
              </w:tc>
              <w:tc>
                <w:tcPr>
                  <w:tcW w:w="2214" w:type="pct"/>
                  <w:noWrap w:val="0"/>
                  <w:vAlign w:val="center"/>
                </w:tcPr>
                <w:p w14:paraId="381149CA">
                  <w:pPr>
                    <w:keepNext w:val="0"/>
                    <w:keepLines w:val="0"/>
                    <w:suppressLineNumbers w:val="0"/>
                    <w:spacing w:before="0" w:beforeAutospacing="0" w:after="0" w:afterAutospacing="0"/>
                    <w:ind w:left="0" w:right="9"/>
                    <w:jc w:val="center"/>
                    <w:rPr>
                      <w:rFonts w:hint="default"/>
                      <w:color w:val="auto"/>
                      <w:kern w:val="0"/>
                      <w:szCs w:val="21"/>
                    </w:rPr>
                  </w:pPr>
                  <w:r>
                    <w:rPr>
                      <w:rFonts w:hint="default"/>
                      <w:color w:val="auto"/>
                      <w:kern w:val="0"/>
                      <w:szCs w:val="21"/>
                    </w:rPr>
                    <w:t>管理和作业过程中平稳操作</w:t>
                  </w:r>
                </w:p>
              </w:tc>
              <w:tc>
                <w:tcPr>
                  <w:tcW w:w="865" w:type="pct"/>
                  <w:noWrap w:val="0"/>
                  <w:vAlign w:val="center"/>
                </w:tcPr>
                <w:p w14:paraId="6698B59B">
                  <w:pPr>
                    <w:keepNext w:val="0"/>
                    <w:keepLines w:val="0"/>
                    <w:suppressLineNumbers w:val="0"/>
                    <w:spacing w:before="0" w:beforeAutospacing="0" w:after="0" w:afterAutospacing="0"/>
                    <w:ind w:left="0" w:right="9"/>
                    <w:jc w:val="center"/>
                    <w:rPr>
                      <w:rFonts w:hint="default"/>
                      <w:color w:val="auto"/>
                      <w:kern w:val="0"/>
                      <w:szCs w:val="21"/>
                    </w:rPr>
                  </w:pPr>
                  <w:r>
                    <w:rPr>
                      <w:rFonts w:hint="default"/>
                      <w:color w:val="auto"/>
                      <w:kern w:val="0"/>
                      <w:szCs w:val="21"/>
                    </w:rPr>
                    <w:t>85</w:t>
                  </w:r>
                </w:p>
              </w:tc>
            </w:tr>
            <w:tr w14:paraId="4825D95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60" w:hRule="atLeast"/>
              </w:trPr>
              <w:tc>
                <w:tcPr>
                  <w:tcW w:w="646" w:type="pct"/>
                  <w:noWrap w:val="0"/>
                  <w:vAlign w:val="center"/>
                </w:tcPr>
                <w:p w14:paraId="73701116">
                  <w:pPr>
                    <w:keepNext w:val="0"/>
                    <w:keepLines w:val="0"/>
                    <w:suppressLineNumbers w:val="0"/>
                    <w:spacing w:before="0" w:beforeAutospacing="0" w:after="0" w:afterAutospacing="0"/>
                    <w:ind w:left="0" w:right="9"/>
                    <w:jc w:val="center"/>
                    <w:rPr>
                      <w:rFonts w:hint="default"/>
                      <w:color w:val="auto"/>
                      <w:kern w:val="0"/>
                      <w:szCs w:val="21"/>
                    </w:rPr>
                  </w:pPr>
                  <w:r>
                    <w:rPr>
                      <w:rFonts w:hint="default"/>
                      <w:color w:val="auto"/>
                      <w:kern w:val="0"/>
                      <w:szCs w:val="21"/>
                    </w:rPr>
                    <w:t>泥浆泵</w:t>
                  </w:r>
                </w:p>
              </w:tc>
              <w:tc>
                <w:tcPr>
                  <w:tcW w:w="807" w:type="pct"/>
                  <w:noWrap w:val="0"/>
                  <w:vAlign w:val="center"/>
                </w:tcPr>
                <w:p w14:paraId="0D9F87B9">
                  <w:pPr>
                    <w:keepNext w:val="0"/>
                    <w:keepLines w:val="0"/>
                    <w:suppressLineNumbers w:val="0"/>
                    <w:spacing w:before="16" w:beforeAutospacing="0" w:after="0" w:afterAutospacing="0"/>
                    <w:ind w:left="1" w:right="0"/>
                    <w:jc w:val="center"/>
                    <w:rPr>
                      <w:rFonts w:hint="default"/>
                      <w:color w:val="auto"/>
                      <w:kern w:val="0"/>
                      <w:szCs w:val="21"/>
                    </w:rPr>
                  </w:pPr>
                  <w:r>
                    <w:rPr>
                      <w:rFonts w:hint="default"/>
                      <w:color w:val="auto"/>
                      <w:kern w:val="0"/>
                      <w:szCs w:val="21"/>
                    </w:rPr>
                    <w:t>90</w:t>
                  </w:r>
                </w:p>
              </w:tc>
              <w:tc>
                <w:tcPr>
                  <w:tcW w:w="466" w:type="pct"/>
                  <w:noWrap w:val="0"/>
                  <w:vAlign w:val="center"/>
                </w:tcPr>
                <w:p w14:paraId="7B70CA8A">
                  <w:pPr>
                    <w:keepNext w:val="0"/>
                    <w:keepLines w:val="0"/>
                    <w:suppressLineNumbers w:val="0"/>
                    <w:spacing w:before="16" w:beforeAutospacing="0" w:after="0" w:afterAutospacing="0"/>
                    <w:ind w:left="7" w:right="0"/>
                    <w:jc w:val="center"/>
                    <w:rPr>
                      <w:rFonts w:hint="default"/>
                      <w:color w:val="auto"/>
                      <w:w w:val="99"/>
                      <w:kern w:val="0"/>
                      <w:szCs w:val="21"/>
                    </w:rPr>
                  </w:pPr>
                  <w:r>
                    <w:rPr>
                      <w:rFonts w:hint="default"/>
                      <w:color w:val="auto"/>
                      <w:w w:val="99"/>
                      <w:kern w:val="0"/>
                      <w:szCs w:val="21"/>
                    </w:rPr>
                    <w:t>1</w:t>
                  </w:r>
                </w:p>
              </w:tc>
              <w:tc>
                <w:tcPr>
                  <w:tcW w:w="2214" w:type="pct"/>
                  <w:noWrap w:val="0"/>
                  <w:vAlign w:val="center"/>
                </w:tcPr>
                <w:p w14:paraId="706805CF">
                  <w:pPr>
                    <w:keepNext w:val="0"/>
                    <w:keepLines w:val="0"/>
                    <w:suppressLineNumbers w:val="0"/>
                    <w:spacing w:before="0" w:beforeAutospacing="0" w:after="0" w:afterAutospacing="0"/>
                    <w:ind w:left="0" w:right="9"/>
                    <w:jc w:val="center"/>
                    <w:rPr>
                      <w:rFonts w:hint="default"/>
                      <w:color w:val="auto"/>
                      <w:kern w:val="0"/>
                      <w:szCs w:val="21"/>
                    </w:rPr>
                  </w:pPr>
                  <w:r>
                    <w:rPr>
                      <w:rFonts w:hint="default"/>
                      <w:color w:val="auto"/>
                      <w:kern w:val="0"/>
                      <w:szCs w:val="21"/>
                    </w:rPr>
                    <w:t>减振基础</w:t>
                  </w:r>
                </w:p>
              </w:tc>
              <w:tc>
                <w:tcPr>
                  <w:tcW w:w="865" w:type="pct"/>
                  <w:noWrap w:val="0"/>
                  <w:vAlign w:val="center"/>
                </w:tcPr>
                <w:p w14:paraId="18317E22">
                  <w:pPr>
                    <w:keepNext w:val="0"/>
                    <w:keepLines w:val="0"/>
                    <w:suppressLineNumbers w:val="0"/>
                    <w:spacing w:before="0" w:beforeAutospacing="0" w:after="0" w:afterAutospacing="0"/>
                    <w:ind w:left="0" w:right="9"/>
                    <w:jc w:val="center"/>
                    <w:rPr>
                      <w:rFonts w:hint="default"/>
                      <w:color w:val="auto"/>
                      <w:kern w:val="0"/>
                      <w:szCs w:val="21"/>
                    </w:rPr>
                  </w:pPr>
                  <w:r>
                    <w:rPr>
                      <w:rFonts w:hint="default"/>
                      <w:color w:val="auto"/>
                      <w:kern w:val="0"/>
                      <w:szCs w:val="21"/>
                    </w:rPr>
                    <w:t>80</w:t>
                  </w:r>
                </w:p>
              </w:tc>
            </w:tr>
            <w:tr w14:paraId="64A40BF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60" w:hRule="atLeast"/>
              </w:trPr>
              <w:tc>
                <w:tcPr>
                  <w:tcW w:w="5000" w:type="pct"/>
                  <w:gridSpan w:val="5"/>
                  <w:noWrap w:val="0"/>
                  <w:vAlign w:val="center"/>
                </w:tcPr>
                <w:p w14:paraId="53A1ABBE">
                  <w:pPr>
                    <w:keepNext w:val="0"/>
                    <w:keepLines w:val="0"/>
                    <w:suppressLineNumbers w:val="0"/>
                    <w:spacing w:before="0" w:beforeAutospacing="0" w:after="0" w:afterAutospacing="0"/>
                    <w:ind w:left="0" w:right="9"/>
                    <w:jc w:val="center"/>
                    <w:rPr>
                      <w:rFonts w:hint="eastAsia" w:eastAsia="宋体"/>
                      <w:color w:val="auto"/>
                      <w:kern w:val="0"/>
                      <w:szCs w:val="21"/>
                      <w:lang w:val="en-US" w:eastAsia="zh-CN"/>
                    </w:rPr>
                  </w:pPr>
                  <w:r>
                    <w:rPr>
                      <w:rFonts w:hint="eastAsia"/>
                      <w:color w:val="auto"/>
                      <w:kern w:val="0"/>
                      <w:szCs w:val="21"/>
                    </w:rPr>
                    <w:t>注：本项目泥浆泵（钻井泵）三座，（一用两备），最多同时运行1座。柴油</w:t>
                  </w:r>
                  <w:r>
                    <w:rPr>
                      <w:rFonts w:hint="eastAsia"/>
                      <w:color w:val="auto"/>
                      <w:kern w:val="0"/>
                      <w:szCs w:val="21"/>
                      <w:lang w:eastAsia="zh-CN"/>
                    </w:rPr>
                    <w:t>发电</w:t>
                  </w:r>
                  <w:r>
                    <w:rPr>
                      <w:rFonts w:hint="eastAsia"/>
                      <w:color w:val="auto"/>
                      <w:kern w:val="0"/>
                      <w:szCs w:val="21"/>
                    </w:rPr>
                    <w:t>机</w:t>
                  </w:r>
                  <w:r>
                    <w:rPr>
                      <w:rFonts w:hint="eastAsia"/>
                      <w:color w:val="auto"/>
                      <w:kern w:val="0"/>
                      <w:szCs w:val="21"/>
                      <w:lang w:val="en-US" w:eastAsia="zh-CN"/>
                    </w:rPr>
                    <w:t>2座（一用一备）。</w:t>
                  </w:r>
                </w:p>
              </w:tc>
            </w:tr>
          </w:tbl>
          <w:p w14:paraId="6FF56A41">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钻井作业噪声源为钻机、钻井泵、大功率柴油发电机组等机械噪声，源强约90</w:t>
            </w:r>
            <w:r>
              <w:rPr>
                <w:rFonts w:hint="eastAsia"/>
                <w:color w:val="auto"/>
                <w:sz w:val="24"/>
              </w:rPr>
              <w:t>~</w:t>
            </w:r>
            <w:r>
              <w:rPr>
                <w:rFonts w:hint="default"/>
                <w:color w:val="auto"/>
                <w:sz w:val="24"/>
              </w:rPr>
              <w:t>100dB（A）。噪声距离衰减模式如下：</w:t>
            </w:r>
          </w:p>
          <w:p w14:paraId="2CC86E4D">
            <w:pPr>
              <w:keepNext w:val="0"/>
              <w:keepLines w:val="0"/>
              <w:suppressLineNumbers w:val="0"/>
              <w:adjustRightInd w:val="0"/>
              <w:snapToGrid w:val="0"/>
              <w:spacing w:before="0" w:beforeAutospacing="0" w:after="0" w:afterAutospacing="0" w:line="360" w:lineRule="auto"/>
              <w:ind w:left="0" w:right="0"/>
              <w:jc w:val="center"/>
              <w:rPr>
                <w:rFonts w:hint="default"/>
                <w:color w:val="auto"/>
                <w:sz w:val="24"/>
              </w:rPr>
            </w:pPr>
            <w:r>
              <w:rPr>
                <w:rFonts w:hint="default"/>
                <w:color w:val="auto"/>
                <w:sz w:val="24"/>
              </w:rPr>
              <w:t>L</w:t>
            </w:r>
            <w:r>
              <w:rPr>
                <w:rFonts w:hint="default"/>
                <w:color w:val="auto"/>
                <w:sz w:val="24"/>
                <w:highlight w:val="none"/>
              </w:rPr>
              <w:t>（</w:t>
            </w:r>
            <w:r>
              <w:rPr>
                <w:rFonts w:hint="default"/>
                <w:color w:val="auto"/>
                <w:sz w:val="24"/>
              </w:rPr>
              <w:t>p</w:t>
            </w:r>
            <w:r>
              <w:rPr>
                <w:rFonts w:hint="default"/>
                <w:color w:val="auto"/>
                <w:sz w:val="24"/>
                <w:highlight w:val="none"/>
              </w:rPr>
              <w:t>）</w:t>
            </w:r>
            <w:r>
              <w:rPr>
                <w:rFonts w:hint="default"/>
                <w:color w:val="auto"/>
                <w:sz w:val="24"/>
              </w:rPr>
              <w:t>=L</w:t>
            </w:r>
            <w:r>
              <w:rPr>
                <w:rFonts w:hint="default"/>
                <w:color w:val="auto"/>
                <w:sz w:val="24"/>
                <w:highlight w:val="none"/>
              </w:rPr>
              <w:t>（</w:t>
            </w:r>
            <w:r>
              <w:rPr>
                <w:rFonts w:hint="default"/>
                <w:color w:val="auto"/>
                <w:sz w:val="24"/>
              </w:rPr>
              <w:t>p0</w:t>
            </w:r>
            <w:r>
              <w:rPr>
                <w:rFonts w:hint="default"/>
                <w:color w:val="auto"/>
                <w:sz w:val="24"/>
                <w:highlight w:val="none"/>
              </w:rPr>
              <w:t>）</w:t>
            </w:r>
            <w:r>
              <w:rPr>
                <w:rFonts w:hint="default"/>
                <w:color w:val="auto"/>
                <w:sz w:val="24"/>
              </w:rPr>
              <w:t>-20lg</w:t>
            </w:r>
            <w:r>
              <w:rPr>
                <w:rFonts w:hint="default"/>
                <w:color w:val="auto"/>
                <w:sz w:val="24"/>
                <w:highlight w:val="none"/>
              </w:rPr>
              <w:t>（</w:t>
            </w:r>
            <w:r>
              <w:rPr>
                <w:rFonts w:hint="default"/>
                <w:color w:val="auto"/>
                <w:sz w:val="24"/>
              </w:rPr>
              <w:t>r/r0</w:t>
            </w:r>
            <w:r>
              <w:rPr>
                <w:rFonts w:hint="default"/>
                <w:color w:val="auto"/>
                <w:sz w:val="24"/>
                <w:highlight w:val="none"/>
              </w:rPr>
              <w:t>）</w:t>
            </w:r>
            <w:r>
              <w:rPr>
                <w:rFonts w:hint="default"/>
                <w:color w:val="auto"/>
                <w:sz w:val="24"/>
              </w:rPr>
              <w:t>–ΔL</w:t>
            </w:r>
          </w:p>
          <w:p w14:paraId="68C47E2A">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式中：L（r）——距噪声源距离为r处等效A声级值，dB（A）；</w:t>
            </w:r>
          </w:p>
          <w:p w14:paraId="79691C0C">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L（r0）——参考位置距噪声源距离为r0处等效A声级值，dB（A）；</w:t>
            </w:r>
          </w:p>
          <w:p w14:paraId="2309A27B">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r——预测点距噪声源距离，</w:t>
            </w:r>
            <w:r>
              <w:rPr>
                <w:rFonts w:hint="eastAsia"/>
                <w:color w:val="auto"/>
                <w:sz w:val="24"/>
              </w:rPr>
              <w:t>m</w:t>
            </w:r>
            <w:r>
              <w:rPr>
                <w:rFonts w:hint="default"/>
                <w:color w:val="auto"/>
                <w:sz w:val="24"/>
              </w:rPr>
              <w:t>；</w:t>
            </w:r>
          </w:p>
          <w:p w14:paraId="6D2D2A86">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r0——参考位置距噪声源距离，取1m；</w:t>
            </w:r>
          </w:p>
          <w:p w14:paraId="17EF9853">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ΔL——噪声源的防护结构（围挡）的隔声量，取5dB。</w:t>
            </w:r>
          </w:p>
          <w:p w14:paraId="7B0251FB">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按上式预测施工机械噪声对环境的影响，预测结果如下表所示。</w:t>
            </w:r>
          </w:p>
          <w:p w14:paraId="241DB230">
            <w:pPr>
              <w:keepNext w:val="0"/>
              <w:keepLines w:val="0"/>
              <w:suppressLineNumbers w:val="0"/>
              <w:autoSpaceDE w:val="0"/>
              <w:autoSpaceDN w:val="0"/>
              <w:adjustRightInd w:val="0"/>
              <w:spacing w:before="0" w:beforeAutospacing="0" w:after="0" w:afterAutospacing="0"/>
              <w:ind w:left="0" w:right="0"/>
              <w:jc w:val="center"/>
              <w:rPr>
                <w:rFonts w:hint="eastAsia"/>
                <w:b/>
                <w:bCs/>
                <w:color w:val="auto"/>
                <w:sz w:val="24"/>
              </w:rPr>
            </w:pPr>
            <w:r>
              <w:rPr>
                <w:rFonts w:hint="default"/>
                <w:b/>
                <w:color w:val="auto"/>
                <w:kern w:val="0"/>
                <w:sz w:val="24"/>
                <w:szCs w:val="21"/>
              </w:rPr>
              <w:t>表4-3</w:t>
            </w:r>
            <w:r>
              <w:rPr>
                <w:rFonts w:hint="eastAsia"/>
                <w:b/>
                <w:color w:val="auto"/>
                <w:kern w:val="0"/>
                <w:sz w:val="24"/>
                <w:szCs w:val="21"/>
              </w:rPr>
              <w:t xml:space="preserve"> </w:t>
            </w:r>
            <w:r>
              <w:rPr>
                <w:rFonts w:hint="default"/>
                <w:b/>
                <w:bCs/>
                <w:color w:val="auto"/>
                <w:sz w:val="24"/>
              </w:rPr>
              <w:t>钻井工程场界噪声</w:t>
            </w:r>
            <w:r>
              <w:rPr>
                <w:rFonts w:hint="eastAsia"/>
                <w:b/>
                <w:bCs/>
                <w:color w:val="auto"/>
                <w:sz w:val="24"/>
              </w:rPr>
              <w:t>贡献情况</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6" w:type="dxa"/>
                <w:bottom w:w="0" w:type="dxa"/>
                <w:right w:w="6" w:type="dxa"/>
              </w:tblCellMar>
            </w:tblPr>
            <w:tblGrid>
              <w:gridCol w:w="1403"/>
              <w:gridCol w:w="1406"/>
              <w:gridCol w:w="993"/>
              <w:gridCol w:w="992"/>
              <w:gridCol w:w="992"/>
              <w:gridCol w:w="972"/>
              <w:gridCol w:w="1437"/>
            </w:tblGrid>
            <w:tr w14:paraId="0075AC0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714" w:type="pct"/>
                  <w:gridSpan w:val="2"/>
                  <w:vMerge w:val="restart"/>
                  <w:noWrap w:val="0"/>
                  <w:vAlign w:val="center"/>
                </w:tcPr>
                <w:p w14:paraId="30422596">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default"/>
                      <w:bCs/>
                      <w:color w:val="auto"/>
                      <w:szCs w:val="21"/>
                    </w:rPr>
                    <w:t>预测点名称</w:t>
                  </w:r>
                </w:p>
              </w:tc>
              <w:tc>
                <w:tcPr>
                  <w:tcW w:w="1211" w:type="pct"/>
                  <w:gridSpan w:val="2"/>
                  <w:noWrap w:val="0"/>
                  <w:vAlign w:val="center"/>
                </w:tcPr>
                <w:p w14:paraId="4BA6BEFD">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eastAsia"/>
                      <w:bCs/>
                      <w:color w:val="auto"/>
                      <w:szCs w:val="21"/>
                    </w:rPr>
                    <w:t>贡献值dB（A）</w:t>
                  </w:r>
                </w:p>
              </w:tc>
              <w:tc>
                <w:tcPr>
                  <w:tcW w:w="1198" w:type="pct"/>
                  <w:gridSpan w:val="2"/>
                  <w:noWrap w:val="0"/>
                  <w:vAlign w:val="center"/>
                </w:tcPr>
                <w:p w14:paraId="5AD5BE65">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default"/>
                      <w:bCs/>
                      <w:color w:val="auto"/>
                      <w:szCs w:val="21"/>
                    </w:rPr>
                    <w:t>标准值</w:t>
                  </w:r>
                  <w:r>
                    <w:rPr>
                      <w:rFonts w:hint="eastAsia"/>
                      <w:bCs/>
                      <w:color w:val="auto"/>
                      <w:szCs w:val="21"/>
                    </w:rPr>
                    <w:t>dB（A）</w:t>
                  </w:r>
                </w:p>
              </w:tc>
              <w:tc>
                <w:tcPr>
                  <w:tcW w:w="877" w:type="pct"/>
                  <w:vMerge w:val="restart"/>
                  <w:noWrap w:val="0"/>
                  <w:vAlign w:val="center"/>
                </w:tcPr>
                <w:p w14:paraId="459F27F8">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default"/>
                      <w:bCs/>
                      <w:color w:val="auto"/>
                      <w:szCs w:val="21"/>
                    </w:rPr>
                    <w:t>达标情况</w:t>
                  </w:r>
                </w:p>
              </w:tc>
            </w:tr>
            <w:tr w14:paraId="3AB0EC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714" w:type="pct"/>
                  <w:gridSpan w:val="2"/>
                  <w:vMerge w:val="continue"/>
                  <w:noWrap w:val="0"/>
                  <w:vAlign w:val="center"/>
                </w:tcPr>
                <w:p w14:paraId="2D22A151">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p>
              </w:tc>
              <w:tc>
                <w:tcPr>
                  <w:tcW w:w="606" w:type="pct"/>
                  <w:noWrap w:val="0"/>
                  <w:vAlign w:val="center"/>
                </w:tcPr>
                <w:p w14:paraId="368BEBC8">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default"/>
                      <w:bCs/>
                      <w:color w:val="auto"/>
                      <w:szCs w:val="21"/>
                    </w:rPr>
                    <w:t>昼间</w:t>
                  </w:r>
                </w:p>
              </w:tc>
              <w:tc>
                <w:tcPr>
                  <w:tcW w:w="605" w:type="pct"/>
                  <w:tcBorders>
                    <w:right w:val="single" w:color="auto" w:sz="4" w:space="0"/>
                  </w:tcBorders>
                  <w:noWrap w:val="0"/>
                  <w:vAlign w:val="center"/>
                </w:tcPr>
                <w:p w14:paraId="20F13352">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default"/>
                      <w:bCs/>
                      <w:color w:val="auto"/>
                      <w:szCs w:val="21"/>
                    </w:rPr>
                    <w:t>夜间</w:t>
                  </w:r>
                </w:p>
              </w:tc>
              <w:tc>
                <w:tcPr>
                  <w:tcW w:w="605" w:type="pct"/>
                  <w:tcBorders>
                    <w:left w:val="single" w:color="auto" w:sz="4" w:space="0"/>
                    <w:right w:val="single" w:color="auto" w:sz="4" w:space="0"/>
                  </w:tcBorders>
                  <w:noWrap w:val="0"/>
                  <w:vAlign w:val="center"/>
                </w:tcPr>
                <w:p w14:paraId="1B05B71B">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default"/>
                      <w:bCs/>
                      <w:color w:val="auto"/>
                      <w:szCs w:val="21"/>
                    </w:rPr>
                    <w:t>昼间</w:t>
                  </w:r>
                </w:p>
              </w:tc>
              <w:tc>
                <w:tcPr>
                  <w:tcW w:w="593" w:type="pct"/>
                  <w:tcBorders>
                    <w:left w:val="single" w:color="auto" w:sz="4" w:space="0"/>
                  </w:tcBorders>
                  <w:noWrap w:val="0"/>
                  <w:vAlign w:val="center"/>
                </w:tcPr>
                <w:p w14:paraId="3EE05710">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default"/>
                      <w:bCs/>
                      <w:color w:val="auto"/>
                      <w:szCs w:val="21"/>
                    </w:rPr>
                    <w:t>夜间</w:t>
                  </w:r>
                </w:p>
              </w:tc>
              <w:tc>
                <w:tcPr>
                  <w:tcW w:w="877" w:type="pct"/>
                  <w:vMerge w:val="continue"/>
                  <w:noWrap w:val="0"/>
                  <w:vAlign w:val="center"/>
                </w:tcPr>
                <w:p w14:paraId="3EE31370">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p>
              </w:tc>
            </w:tr>
            <w:tr w14:paraId="7085AA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454" w:hRule="atLeast"/>
                <w:jc w:val="center"/>
              </w:trPr>
              <w:tc>
                <w:tcPr>
                  <w:tcW w:w="856" w:type="pct"/>
                  <w:vMerge w:val="restart"/>
                  <w:noWrap w:val="0"/>
                  <w:vAlign w:val="center"/>
                </w:tcPr>
                <w:p w14:paraId="7125FB38">
                  <w:pPr>
                    <w:keepNext w:val="0"/>
                    <w:keepLines w:val="0"/>
                    <w:widowControl/>
                    <w:suppressLineNumbers w:val="0"/>
                    <w:snapToGrid w:val="0"/>
                    <w:spacing w:before="0" w:beforeAutospacing="0" w:after="0" w:afterAutospacing="0" w:line="0" w:lineRule="atLeast"/>
                    <w:ind w:left="0" w:right="0"/>
                    <w:jc w:val="center"/>
                    <w:rPr>
                      <w:rFonts w:hint="default" w:eastAsia="宋体"/>
                      <w:bCs/>
                      <w:color w:val="auto"/>
                      <w:szCs w:val="21"/>
                      <w:lang w:val="en-US" w:eastAsia="zh-CN"/>
                    </w:rPr>
                  </w:pPr>
                  <w:r>
                    <w:rPr>
                      <w:rFonts w:hint="eastAsia"/>
                      <w:bCs/>
                      <w:color w:val="auto"/>
                      <w:szCs w:val="21"/>
                      <w:lang w:eastAsia="zh-CN"/>
                    </w:rPr>
                    <w:t>扎格</w:t>
                  </w:r>
                  <w:r>
                    <w:rPr>
                      <w:rFonts w:hint="eastAsia"/>
                      <w:bCs/>
                      <w:color w:val="auto"/>
                      <w:szCs w:val="21"/>
                      <w:lang w:val="en-US" w:eastAsia="zh-CN"/>
                    </w:rPr>
                    <w:t>6井</w:t>
                  </w:r>
                </w:p>
              </w:tc>
              <w:tc>
                <w:tcPr>
                  <w:tcW w:w="858" w:type="pct"/>
                  <w:noWrap w:val="0"/>
                  <w:vAlign w:val="center"/>
                </w:tcPr>
                <w:p w14:paraId="020EA20D">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default"/>
                      <w:bCs/>
                      <w:color w:val="auto"/>
                      <w:szCs w:val="21"/>
                    </w:rPr>
                    <w:t>东</w:t>
                  </w:r>
                  <w:r>
                    <w:rPr>
                      <w:rFonts w:hint="eastAsia"/>
                      <w:bCs/>
                      <w:color w:val="auto"/>
                      <w:szCs w:val="21"/>
                    </w:rPr>
                    <w:t>场</w:t>
                  </w:r>
                  <w:r>
                    <w:rPr>
                      <w:rFonts w:hint="default"/>
                      <w:bCs/>
                      <w:color w:val="auto"/>
                      <w:szCs w:val="21"/>
                    </w:rPr>
                    <w:t>界</w:t>
                  </w:r>
                </w:p>
              </w:tc>
              <w:tc>
                <w:tcPr>
                  <w:tcW w:w="606" w:type="pct"/>
                  <w:noWrap w:val="0"/>
                  <w:vAlign w:val="center"/>
                </w:tcPr>
                <w:p w14:paraId="55F9AC67">
                  <w:pPr>
                    <w:keepNext w:val="0"/>
                    <w:keepLines w:val="0"/>
                    <w:widowControl/>
                    <w:suppressLineNumbers w:val="0"/>
                    <w:snapToGrid w:val="0"/>
                    <w:spacing w:before="0" w:beforeAutospacing="0" w:after="0" w:afterAutospacing="0" w:line="0" w:lineRule="atLeast"/>
                    <w:ind w:left="0" w:right="0"/>
                    <w:jc w:val="center"/>
                    <w:rPr>
                      <w:rFonts w:hint="default" w:eastAsia="宋体"/>
                      <w:bCs/>
                      <w:color w:val="auto"/>
                      <w:szCs w:val="21"/>
                      <w:lang w:val="en-US" w:eastAsia="zh-CN"/>
                    </w:rPr>
                  </w:pPr>
                  <w:r>
                    <w:rPr>
                      <w:rFonts w:hint="eastAsia"/>
                      <w:bCs/>
                      <w:color w:val="auto"/>
                      <w:szCs w:val="21"/>
                      <w:lang w:val="en-US" w:eastAsia="zh-CN"/>
                    </w:rPr>
                    <w:t>35.51</w:t>
                  </w:r>
                </w:p>
              </w:tc>
              <w:tc>
                <w:tcPr>
                  <w:tcW w:w="992" w:type="dxa"/>
                  <w:tcBorders>
                    <w:right w:val="single" w:color="auto" w:sz="4" w:space="0"/>
                  </w:tcBorders>
                  <w:noWrap w:val="0"/>
                  <w:vAlign w:val="center"/>
                </w:tcPr>
                <w:p w14:paraId="76299455">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eastAsia"/>
                      <w:bCs/>
                      <w:color w:val="auto"/>
                      <w:szCs w:val="21"/>
                      <w:lang w:val="en-US" w:eastAsia="zh-CN"/>
                    </w:rPr>
                    <w:t>35.51</w:t>
                  </w:r>
                </w:p>
              </w:tc>
              <w:tc>
                <w:tcPr>
                  <w:tcW w:w="605" w:type="pct"/>
                  <w:tcBorders>
                    <w:left w:val="single" w:color="auto" w:sz="4" w:space="0"/>
                    <w:right w:val="single" w:color="auto" w:sz="4" w:space="0"/>
                  </w:tcBorders>
                  <w:noWrap w:val="0"/>
                  <w:vAlign w:val="center"/>
                </w:tcPr>
                <w:p w14:paraId="1F842112">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eastAsia"/>
                      <w:bCs/>
                      <w:color w:val="auto"/>
                      <w:szCs w:val="21"/>
                    </w:rPr>
                    <w:t>70</w:t>
                  </w:r>
                </w:p>
              </w:tc>
              <w:tc>
                <w:tcPr>
                  <w:tcW w:w="593" w:type="pct"/>
                  <w:tcBorders>
                    <w:left w:val="single" w:color="auto" w:sz="4" w:space="0"/>
                  </w:tcBorders>
                  <w:noWrap w:val="0"/>
                  <w:vAlign w:val="center"/>
                </w:tcPr>
                <w:p w14:paraId="45082968">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eastAsia"/>
                      <w:bCs/>
                      <w:color w:val="auto"/>
                      <w:szCs w:val="21"/>
                    </w:rPr>
                    <w:t>55</w:t>
                  </w:r>
                </w:p>
              </w:tc>
              <w:tc>
                <w:tcPr>
                  <w:tcW w:w="877" w:type="pct"/>
                  <w:noWrap w:val="0"/>
                  <w:vAlign w:val="center"/>
                </w:tcPr>
                <w:p w14:paraId="14216B1A">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default"/>
                      <w:bCs/>
                      <w:color w:val="auto"/>
                      <w:szCs w:val="21"/>
                    </w:rPr>
                    <w:t>达标</w:t>
                  </w:r>
                </w:p>
              </w:tc>
            </w:tr>
            <w:tr w14:paraId="073E51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454" w:hRule="atLeast"/>
                <w:jc w:val="center"/>
              </w:trPr>
              <w:tc>
                <w:tcPr>
                  <w:tcW w:w="856" w:type="pct"/>
                  <w:vMerge w:val="continue"/>
                  <w:noWrap w:val="0"/>
                  <w:vAlign w:val="center"/>
                </w:tcPr>
                <w:p w14:paraId="11096696">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p>
              </w:tc>
              <w:tc>
                <w:tcPr>
                  <w:tcW w:w="858" w:type="pct"/>
                  <w:noWrap w:val="0"/>
                  <w:vAlign w:val="center"/>
                </w:tcPr>
                <w:p w14:paraId="7D38CF1E">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default"/>
                      <w:bCs/>
                      <w:color w:val="auto"/>
                      <w:szCs w:val="21"/>
                    </w:rPr>
                    <w:t>南</w:t>
                  </w:r>
                  <w:r>
                    <w:rPr>
                      <w:rFonts w:hint="eastAsia"/>
                      <w:bCs/>
                      <w:color w:val="auto"/>
                      <w:szCs w:val="21"/>
                    </w:rPr>
                    <w:t>场</w:t>
                  </w:r>
                  <w:r>
                    <w:rPr>
                      <w:rFonts w:hint="default"/>
                      <w:bCs/>
                      <w:color w:val="auto"/>
                      <w:szCs w:val="21"/>
                    </w:rPr>
                    <w:t>界</w:t>
                  </w:r>
                </w:p>
              </w:tc>
              <w:tc>
                <w:tcPr>
                  <w:tcW w:w="606" w:type="pct"/>
                  <w:noWrap w:val="0"/>
                  <w:vAlign w:val="center"/>
                </w:tcPr>
                <w:p w14:paraId="70E98108">
                  <w:pPr>
                    <w:keepNext w:val="0"/>
                    <w:keepLines w:val="0"/>
                    <w:widowControl/>
                    <w:suppressLineNumbers w:val="0"/>
                    <w:snapToGrid w:val="0"/>
                    <w:spacing w:before="0" w:beforeAutospacing="0" w:after="0" w:afterAutospacing="0" w:line="0" w:lineRule="atLeast"/>
                    <w:ind w:left="0" w:right="0"/>
                    <w:jc w:val="center"/>
                    <w:rPr>
                      <w:rFonts w:hint="default" w:eastAsia="宋体"/>
                      <w:bCs/>
                      <w:color w:val="auto"/>
                      <w:szCs w:val="21"/>
                      <w:lang w:val="en-US" w:eastAsia="zh-CN"/>
                    </w:rPr>
                  </w:pPr>
                  <w:r>
                    <w:rPr>
                      <w:rFonts w:hint="eastAsia"/>
                      <w:bCs/>
                      <w:color w:val="auto"/>
                      <w:szCs w:val="21"/>
                      <w:lang w:val="en-US" w:eastAsia="zh-CN"/>
                    </w:rPr>
                    <w:t>41.14</w:t>
                  </w:r>
                </w:p>
              </w:tc>
              <w:tc>
                <w:tcPr>
                  <w:tcW w:w="992" w:type="dxa"/>
                  <w:tcBorders>
                    <w:right w:val="single" w:color="auto" w:sz="4" w:space="0"/>
                  </w:tcBorders>
                  <w:noWrap w:val="0"/>
                  <w:vAlign w:val="center"/>
                </w:tcPr>
                <w:p w14:paraId="346B1E79">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eastAsia"/>
                      <w:bCs/>
                      <w:color w:val="auto"/>
                      <w:szCs w:val="21"/>
                      <w:lang w:val="en-US" w:eastAsia="zh-CN"/>
                    </w:rPr>
                    <w:t>41.14</w:t>
                  </w:r>
                </w:p>
              </w:tc>
              <w:tc>
                <w:tcPr>
                  <w:tcW w:w="605" w:type="pct"/>
                  <w:tcBorders>
                    <w:left w:val="single" w:color="auto" w:sz="4" w:space="0"/>
                    <w:right w:val="single" w:color="auto" w:sz="4" w:space="0"/>
                  </w:tcBorders>
                  <w:noWrap w:val="0"/>
                  <w:vAlign w:val="center"/>
                </w:tcPr>
                <w:p w14:paraId="080E803E">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eastAsia"/>
                      <w:bCs/>
                      <w:color w:val="auto"/>
                      <w:szCs w:val="21"/>
                    </w:rPr>
                    <w:t>70</w:t>
                  </w:r>
                </w:p>
              </w:tc>
              <w:tc>
                <w:tcPr>
                  <w:tcW w:w="593" w:type="pct"/>
                  <w:tcBorders>
                    <w:left w:val="single" w:color="auto" w:sz="4" w:space="0"/>
                  </w:tcBorders>
                  <w:noWrap w:val="0"/>
                  <w:vAlign w:val="center"/>
                </w:tcPr>
                <w:p w14:paraId="70972F3E">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eastAsia"/>
                      <w:bCs/>
                      <w:color w:val="auto"/>
                      <w:szCs w:val="21"/>
                    </w:rPr>
                    <w:t>55</w:t>
                  </w:r>
                </w:p>
              </w:tc>
              <w:tc>
                <w:tcPr>
                  <w:tcW w:w="877" w:type="pct"/>
                  <w:noWrap w:val="0"/>
                  <w:vAlign w:val="center"/>
                </w:tcPr>
                <w:p w14:paraId="52B2C984">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default"/>
                      <w:bCs/>
                      <w:color w:val="auto"/>
                      <w:szCs w:val="21"/>
                    </w:rPr>
                    <w:t>达标</w:t>
                  </w:r>
                </w:p>
              </w:tc>
            </w:tr>
            <w:tr w14:paraId="277599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454" w:hRule="atLeast"/>
                <w:jc w:val="center"/>
              </w:trPr>
              <w:tc>
                <w:tcPr>
                  <w:tcW w:w="856" w:type="pct"/>
                  <w:vMerge w:val="continue"/>
                  <w:noWrap w:val="0"/>
                  <w:vAlign w:val="center"/>
                </w:tcPr>
                <w:p w14:paraId="7F1AF90F">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p>
              </w:tc>
              <w:tc>
                <w:tcPr>
                  <w:tcW w:w="858" w:type="pct"/>
                  <w:noWrap w:val="0"/>
                  <w:vAlign w:val="center"/>
                </w:tcPr>
                <w:p w14:paraId="2FC6C65C">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default"/>
                      <w:bCs/>
                      <w:color w:val="auto"/>
                      <w:szCs w:val="21"/>
                    </w:rPr>
                    <w:t>西</w:t>
                  </w:r>
                  <w:r>
                    <w:rPr>
                      <w:rFonts w:hint="eastAsia"/>
                      <w:bCs/>
                      <w:color w:val="auto"/>
                      <w:szCs w:val="21"/>
                    </w:rPr>
                    <w:t>场</w:t>
                  </w:r>
                  <w:r>
                    <w:rPr>
                      <w:rFonts w:hint="default"/>
                      <w:bCs/>
                      <w:color w:val="auto"/>
                      <w:szCs w:val="21"/>
                    </w:rPr>
                    <w:t>界</w:t>
                  </w:r>
                </w:p>
              </w:tc>
              <w:tc>
                <w:tcPr>
                  <w:tcW w:w="606" w:type="pct"/>
                  <w:noWrap w:val="0"/>
                  <w:vAlign w:val="center"/>
                </w:tcPr>
                <w:p w14:paraId="4CCB6E74">
                  <w:pPr>
                    <w:keepNext w:val="0"/>
                    <w:keepLines w:val="0"/>
                    <w:widowControl/>
                    <w:suppressLineNumbers w:val="0"/>
                    <w:snapToGrid w:val="0"/>
                    <w:spacing w:before="0" w:beforeAutospacing="0" w:after="0" w:afterAutospacing="0" w:line="0" w:lineRule="atLeast"/>
                    <w:ind w:left="0" w:right="0"/>
                    <w:jc w:val="center"/>
                    <w:rPr>
                      <w:rFonts w:hint="default" w:eastAsia="宋体"/>
                      <w:bCs/>
                      <w:color w:val="auto"/>
                      <w:szCs w:val="21"/>
                      <w:lang w:val="en-US" w:eastAsia="zh-CN"/>
                    </w:rPr>
                  </w:pPr>
                  <w:r>
                    <w:rPr>
                      <w:rFonts w:hint="eastAsia"/>
                      <w:bCs/>
                      <w:color w:val="auto"/>
                      <w:szCs w:val="21"/>
                      <w:lang w:val="en-US" w:eastAsia="zh-CN"/>
                    </w:rPr>
                    <w:t>36.25</w:t>
                  </w:r>
                </w:p>
              </w:tc>
              <w:tc>
                <w:tcPr>
                  <w:tcW w:w="992" w:type="dxa"/>
                  <w:tcBorders>
                    <w:right w:val="single" w:color="auto" w:sz="4" w:space="0"/>
                  </w:tcBorders>
                  <w:noWrap w:val="0"/>
                  <w:vAlign w:val="center"/>
                </w:tcPr>
                <w:p w14:paraId="78C3DB3B">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eastAsia"/>
                      <w:bCs/>
                      <w:color w:val="auto"/>
                      <w:szCs w:val="21"/>
                      <w:lang w:val="en-US" w:eastAsia="zh-CN"/>
                    </w:rPr>
                    <w:t>36.25</w:t>
                  </w:r>
                </w:p>
              </w:tc>
              <w:tc>
                <w:tcPr>
                  <w:tcW w:w="605" w:type="pct"/>
                  <w:tcBorders>
                    <w:left w:val="single" w:color="auto" w:sz="4" w:space="0"/>
                    <w:right w:val="single" w:color="auto" w:sz="4" w:space="0"/>
                  </w:tcBorders>
                  <w:noWrap w:val="0"/>
                  <w:vAlign w:val="center"/>
                </w:tcPr>
                <w:p w14:paraId="4FFC7B2B">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eastAsia"/>
                      <w:bCs/>
                      <w:color w:val="auto"/>
                      <w:szCs w:val="21"/>
                    </w:rPr>
                    <w:t>70</w:t>
                  </w:r>
                </w:p>
              </w:tc>
              <w:tc>
                <w:tcPr>
                  <w:tcW w:w="593" w:type="pct"/>
                  <w:tcBorders>
                    <w:left w:val="single" w:color="auto" w:sz="4" w:space="0"/>
                  </w:tcBorders>
                  <w:noWrap w:val="0"/>
                  <w:vAlign w:val="center"/>
                </w:tcPr>
                <w:p w14:paraId="355AF1B7">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eastAsia"/>
                      <w:bCs/>
                      <w:color w:val="auto"/>
                      <w:szCs w:val="21"/>
                    </w:rPr>
                    <w:t>55</w:t>
                  </w:r>
                </w:p>
              </w:tc>
              <w:tc>
                <w:tcPr>
                  <w:tcW w:w="877" w:type="pct"/>
                  <w:noWrap w:val="0"/>
                  <w:vAlign w:val="center"/>
                </w:tcPr>
                <w:p w14:paraId="78556556">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default"/>
                      <w:bCs/>
                      <w:color w:val="auto"/>
                      <w:szCs w:val="21"/>
                    </w:rPr>
                    <w:t>达标</w:t>
                  </w:r>
                </w:p>
              </w:tc>
            </w:tr>
            <w:tr w14:paraId="3CDDC56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454" w:hRule="atLeast"/>
                <w:jc w:val="center"/>
              </w:trPr>
              <w:tc>
                <w:tcPr>
                  <w:tcW w:w="856" w:type="pct"/>
                  <w:vMerge w:val="continue"/>
                  <w:noWrap w:val="0"/>
                  <w:vAlign w:val="center"/>
                </w:tcPr>
                <w:p w14:paraId="74ACC51F">
                  <w:pPr>
                    <w:keepNext w:val="0"/>
                    <w:keepLines w:val="0"/>
                    <w:widowControl/>
                    <w:suppressLineNumbers w:val="0"/>
                    <w:snapToGrid w:val="0"/>
                    <w:spacing w:before="0" w:beforeAutospacing="0" w:after="0" w:afterAutospacing="0" w:line="0" w:lineRule="atLeast"/>
                    <w:ind w:left="0" w:right="0"/>
                    <w:jc w:val="center"/>
                    <w:rPr>
                      <w:rFonts w:hint="eastAsia"/>
                      <w:bCs/>
                      <w:color w:val="auto"/>
                      <w:szCs w:val="21"/>
                    </w:rPr>
                  </w:pPr>
                </w:p>
              </w:tc>
              <w:tc>
                <w:tcPr>
                  <w:tcW w:w="858" w:type="pct"/>
                  <w:noWrap w:val="0"/>
                  <w:vAlign w:val="center"/>
                </w:tcPr>
                <w:p w14:paraId="5295B825">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default"/>
                      <w:bCs/>
                      <w:color w:val="auto"/>
                      <w:szCs w:val="21"/>
                    </w:rPr>
                    <w:t>北</w:t>
                  </w:r>
                  <w:r>
                    <w:rPr>
                      <w:rFonts w:hint="eastAsia"/>
                      <w:bCs/>
                      <w:color w:val="auto"/>
                      <w:szCs w:val="21"/>
                    </w:rPr>
                    <w:t>场</w:t>
                  </w:r>
                  <w:r>
                    <w:rPr>
                      <w:rFonts w:hint="default"/>
                      <w:bCs/>
                      <w:color w:val="auto"/>
                      <w:szCs w:val="21"/>
                    </w:rPr>
                    <w:t>界</w:t>
                  </w:r>
                </w:p>
              </w:tc>
              <w:tc>
                <w:tcPr>
                  <w:tcW w:w="606" w:type="pct"/>
                  <w:noWrap w:val="0"/>
                  <w:vAlign w:val="center"/>
                </w:tcPr>
                <w:p w14:paraId="27A387A9">
                  <w:pPr>
                    <w:keepNext w:val="0"/>
                    <w:keepLines w:val="0"/>
                    <w:widowControl/>
                    <w:suppressLineNumbers w:val="0"/>
                    <w:snapToGrid w:val="0"/>
                    <w:spacing w:before="0" w:beforeAutospacing="0" w:after="0" w:afterAutospacing="0" w:line="0" w:lineRule="atLeast"/>
                    <w:ind w:left="0" w:right="0"/>
                    <w:jc w:val="center"/>
                    <w:rPr>
                      <w:rFonts w:hint="default" w:eastAsia="宋体"/>
                      <w:bCs/>
                      <w:color w:val="auto"/>
                      <w:szCs w:val="21"/>
                      <w:lang w:val="en-US" w:eastAsia="zh-CN"/>
                    </w:rPr>
                  </w:pPr>
                  <w:r>
                    <w:rPr>
                      <w:rFonts w:hint="eastAsia"/>
                      <w:bCs/>
                      <w:color w:val="auto"/>
                      <w:szCs w:val="21"/>
                      <w:lang w:val="en-US" w:eastAsia="zh-CN"/>
                    </w:rPr>
                    <w:t>41.13</w:t>
                  </w:r>
                </w:p>
              </w:tc>
              <w:tc>
                <w:tcPr>
                  <w:tcW w:w="992" w:type="dxa"/>
                  <w:tcBorders>
                    <w:right w:val="single" w:color="auto" w:sz="4" w:space="0"/>
                  </w:tcBorders>
                  <w:noWrap w:val="0"/>
                  <w:vAlign w:val="center"/>
                </w:tcPr>
                <w:p w14:paraId="5BBE15ED">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eastAsia"/>
                      <w:bCs/>
                      <w:color w:val="auto"/>
                      <w:szCs w:val="21"/>
                      <w:lang w:val="en-US" w:eastAsia="zh-CN"/>
                    </w:rPr>
                    <w:t>41.13</w:t>
                  </w:r>
                </w:p>
              </w:tc>
              <w:tc>
                <w:tcPr>
                  <w:tcW w:w="605" w:type="pct"/>
                  <w:tcBorders>
                    <w:left w:val="single" w:color="auto" w:sz="4" w:space="0"/>
                    <w:right w:val="single" w:color="auto" w:sz="4" w:space="0"/>
                  </w:tcBorders>
                  <w:noWrap w:val="0"/>
                  <w:vAlign w:val="center"/>
                </w:tcPr>
                <w:p w14:paraId="5EFCACF1">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eastAsia"/>
                      <w:bCs/>
                      <w:color w:val="auto"/>
                      <w:szCs w:val="21"/>
                    </w:rPr>
                    <w:t>70</w:t>
                  </w:r>
                </w:p>
              </w:tc>
              <w:tc>
                <w:tcPr>
                  <w:tcW w:w="593" w:type="pct"/>
                  <w:tcBorders>
                    <w:left w:val="single" w:color="auto" w:sz="4" w:space="0"/>
                  </w:tcBorders>
                  <w:noWrap w:val="0"/>
                  <w:vAlign w:val="center"/>
                </w:tcPr>
                <w:p w14:paraId="55305544">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eastAsia"/>
                      <w:bCs/>
                      <w:color w:val="auto"/>
                      <w:szCs w:val="21"/>
                    </w:rPr>
                    <w:t>55</w:t>
                  </w:r>
                </w:p>
              </w:tc>
              <w:tc>
                <w:tcPr>
                  <w:tcW w:w="877" w:type="pct"/>
                  <w:noWrap w:val="0"/>
                  <w:vAlign w:val="center"/>
                </w:tcPr>
                <w:p w14:paraId="44C0A9FF">
                  <w:pPr>
                    <w:keepNext w:val="0"/>
                    <w:keepLines w:val="0"/>
                    <w:widowControl/>
                    <w:suppressLineNumbers w:val="0"/>
                    <w:snapToGrid w:val="0"/>
                    <w:spacing w:before="0" w:beforeAutospacing="0" w:after="0" w:afterAutospacing="0" w:line="0" w:lineRule="atLeast"/>
                    <w:ind w:left="0" w:right="0"/>
                    <w:jc w:val="center"/>
                    <w:rPr>
                      <w:rFonts w:hint="eastAsia"/>
                      <w:bCs/>
                      <w:color w:val="auto"/>
                      <w:szCs w:val="21"/>
                    </w:rPr>
                  </w:pPr>
                  <w:r>
                    <w:rPr>
                      <w:rFonts w:hint="default"/>
                      <w:bCs/>
                      <w:color w:val="auto"/>
                      <w:szCs w:val="21"/>
                    </w:rPr>
                    <w:t>达标</w:t>
                  </w:r>
                </w:p>
              </w:tc>
            </w:tr>
          </w:tbl>
          <w:p w14:paraId="4ED38125">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sz w:val="24"/>
                <w:lang w:val="en-GB"/>
              </w:rPr>
            </w:pPr>
            <w:r>
              <w:rPr>
                <w:rFonts w:hint="default"/>
                <w:bCs/>
                <w:color w:val="auto"/>
                <w:sz w:val="24"/>
                <w:lang w:val="en-GB"/>
              </w:rPr>
              <w:t>由预测结果可知，东、西、南、北场界的噪声</w:t>
            </w:r>
            <w:r>
              <w:rPr>
                <w:rFonts w:hint="eastAsia"/>
                <w:bCs/>
                <w:color w:val="auto"/>
                <w:sz w:val="24"/>
                <w:lang w:val="en-GB"/>
              </w:rPr>
              <w:t>贡献值</w:t>
            </w:r>
            <w:r>
              <w:rPr>
                <w:rFonts w:hint="default"/>
                <w:bCs/>
                <w:color w:val="auto"/>
                <w:sz w:val="24"/>
                <w:lang w:val="en-GB"/>
              </w:rPr>
              <w:t>最大值</w:t>
            </w:r>
            <w:r>
              <w:rPr>
                <w:rFonts w:hint="eastAsia"/>
                <w:bCs/>
                <w:color w:val="auto"/>
                <w:sz w:val="24"/>
                <w:lang w:val="en-US" w:eastAsia="zh-CN"/>
              </w:rPr>
              <w:t>41.14</w:t>
            </w:r>
            <w:r>
              <w:rPr>
                <w:rFonts w:hint="default"/>
                <w:bCs/>
                <w:color w:val="auto"/>
                <w:sz w:val="24"/>
                <w:lang w:val="en-GB"/>
              </w:rPr>
              <w:t>dB（A），符合《建筑施工场界环境噪声排放标准》（GB12523-2001）要求</w:t>
            </w:r>
            <w:r>
              <w:rPr>
                <w:rFonts w:hint="eastAsia"/>
                <w:bCs/>
                <w:color w:val="auto"/>
                <w:sz w:val="24"/>
                <w:lang w:val="en-GB"/>
              </w:rPr>
              <w:t>，</w:t>
            </w:r>
            <w:r>
              <w:rPr>
                <w:rFonts w:hint="default"/>
                <w:bCs/>
                <w:color w:val="auto"/>
                <w:sz w:val="24"/>
                <w:lang w:val="en-GB"/>
              </w:rPr>
              <w:t>对区域声环境质量影响可接受</w:t>
            </w:r>
            <w:r>
              <w:rPr>
                <w:rFonts w:hint="eastAsia"/>
                <w:bCs/>
                <w:color w:val="auto"/>
                <w:sz w:val="24"/>
                <w:lang w:val="en-GB"/>
              </w:rPr>
              <w:t>。</w:t>
            </w:r>
          </w:p>
          <w:p w14:paraId="134A9C36">
            <w:pPr>
              <w:keepNext w:val="0"/>
              <w:keepLines w:val="0"/>
              <w:suppressLineNumbers w:val="0"/>
              <w:spacing w:before="0" w:beforeAutospacing="0" w:after="0" w:afterAutospacing="0" w:line="360" w:lineRule="auto"/>
              <w:ind w:left="0" w:right="0" w:firstLine="480"/>
              <w:rPr>
                <w:rFonts w:hint="default"/>
                <w:color w:val="auto"/>
                <w:sz w:val="24"/>
                <w:szCs w:val="22"/>
              </w:rPr>
            </w:pPr>
            <w:r>
              <w:rPr>
                <w:rFonts w:hint="eastAsia"/>
                <w:color w:val="auto"/>
                <w:sz w:val="24"/>
                <w:szCs w:val="22"/>
              </w:rPr>
              <w:t>2、</w:t>
            </w:r>
            <w:r>
              <w:rPr>
                <w:rFonts w:hint="eastAsia"/>
                <w:color w:val="auto"/>
                <w:sz w:val="24"/>
                <w:szCs w:val="22"/>
                <w:lang w:eastAsia="zh-CN"/>
              </w:rPr>
              <w:t>本工程</w:t>
            </w:r>
            <w:r>
              <w:rPr>
                <w:rFonts w:hint="default"/>
                <w:color w:val="auto"/>
                <w:sz w:val="24"/>
                <w:szCs w:val="22"/>
              </w:rPr>
              <w:t>试油阶段的噪声主要为</w:t>
            </w:r>
            <w:r>
              <w:rPr>
                <w:rFonts w:hint="eastAsia"/>
                <w:color w:val="auto"/>
                <w:sz w:val="24"/>
                <w:szCs w:val="22"/>
              </w:rPr>
              <w:t>抽</w:t>
            </w:r>
            <w:r>
              <w:rPr>
                <w:rFonts w:hint="default"/>
                <w:color w:val="auto"/>
                <w:sz w:val="24"/>
                <w:szCs w:val="22"/>
              </w:rPr>
              <w:t>油机产生的噪声，设备源强及采取的降噪措施见下表。</w:t>
            </w:r>
          </w:p>
          <w:p w14:paraId="35A5C101">
            <w:pPr>
              <w:keepNext w:val="0"/>
              <w:keepLines w:val="0"/>
              <w:suppressLineNumbers w:val="0"/>
              <w:autoSpaceDE w:val="0"/>
              <w:autoSpaceDN w:val="0"/>
              <w:adjustRightInd w:val="0"/>
              <w:spacing w:before="0" w:beforeAutospacing="0" w:after="0" w:afterAutospacing="0"/>
              <w:ind w:left="0" w:right="0"/>
              <w:jc w:val="center"/>
              <w:rPr>
                <w:rFonts w:hint="default"/>
                <w:b/>
                <w:color w:val="auto"/>
                <w:kern w:val="0"/>
                <w:sz w:val="24"/>
                <w:szCs w:val="21"/>
              </w:rPr>
            </w:pPr>
            <w:r>
              <w:rPr>
                <w:rFonts w:hint="default"/>
                <w:b/>
                <w:color w:val="auto"/>
                <w:kern w:val="0"/>
                <w:sz w:val="24"/>
                <w:szCs w:val="21"/>
              </w:rPr>
              <w:t>表4-</w:t>
            </w:r>
            <w:r>
              <w:rPr>
                <w:rFonts w:hint="eastAsia"/>
                <w:b/>
                <w:color w:val="auto"/>
                <w:kern w:val="0"/>
                <w:sz w:val="24"/>
                <w:szCs w:val="21"/>
              </w:rPr>
              <w:t>4</w:t>
            </w:r>
            <w:r>
              <w:rPr>
                <w:rFonts w:hint="default"/>
                <w:b/>
                <w:color w:val="auto"/>
                <w:kern w:val="0"/>
                <w:sz w:val="24"/>
                <w:szCs w:val="21"/>
              </w:rPr>
              <w:t xml:space="preserve"> 试油阶段噪声源强情况表</w:t>
            </w:r>
          </w:p>
          <w:tbl>
            <w:tblPr>
              <w:tblStyle w:val="30"/>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782"/>
              <w:gridCol w:w="1136"/>
              <w:gridCol w:w="1712"/>
              <w:gridCol w:w="1141"/>
              <w:gridCol w:w="2062"/>
              <w:gridCol w:w="1362"/>
            </w:tblGrid>
            <w:tr w14:paraId="4E0139C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477" w:type="pct"/>
                  <w:noWrap w:val="0"/>
                  <w:vAlign w:val="center"/>
                </w:tcPr>
                <w:p w14:paraId="2B8436B8">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序号</w:t>
                  </w:r>
                </w:p>
              </w:tc>
              <w:tc>
                <w:tcPr>
                  <w:tcW w:w="693" w:type="pct"/>
                  <w:noWrap w:val="0"/>
                  <w:vAlign w:val="center"/>
                </w:tcPr>
                <w:p w14:paraId="672FF10D">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噪声源</w:t>
                  </w:r>
                </w:p>
              </w:tc>
              <w:tc>
                <w:tcPr>
                  <w:tcW w:w="1044" w:type="pct"/>
                  <w:noWrap w:val="0"/>
                  <w:vAlign w:val="center"/>
                </w:tcPr>
                <w:p w14:paraId="587CC987">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噪声级dB（A）</w:t>
                  </w:r>
                </w:p>
              </w:tc>
              <w:tc>
                <w:tcPr>
                  <w:tcW w:w="696" w:type="pct"/>
                  <w:noWrap w:val="0"/>
                  <w:vAlign w:val="center"/>
                </w:tcPr>
                <w:p w14:paraId="55188392">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设备数量</w:t>
                  </w:r>
                </w:p>
              </w:tc>
              <w:tc>
                <w:tcPr>
                  <w:tcW w:w="1258" w:type="pct"/>
                  <w:noWrap w:val="0"/>
                  <w:vAlign w:val="center"/>
                </w:tcPr>
                <w:p w14:paraId="0F097B10">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降噪措施</w:t>
                  </w:r>
                </w:p>
              </w:tc>
              <w:tc>
                <w:tcPr>
                  <w:tcW w:w="831" w:type="pct"/>
                  <w:noWrap w:val="0"/>
                  <w:vAlign w:val="center"/>
                </w:tcPr>
                <w:p w14:paraId="7BB56652">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降噪后源强</w:t>
                  </w:r>
                </w:p>
              </w:tc>
            </w:tr>
            <w:tr w14:paraId="279F8A3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477" w:type="pct"/>
                  <w:noWrap w:val="0"/>
                  <w:vAlign w:val="center"/>
                </w:tcPr>
                <w:p w14:paraId="307D752E">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1</w:t>
                  </w:r>
                </w:p>
              </w:tc>
              <w:tc>
                <w:tcPr>
                  <w:tcW w:w="693" w:type="pct"/>
                  <w:noWrap w:val="0"/>
                  <w:vAlign w:val="center"/>
                </w:tcPr>
                <w:p w14:paraId="6C51C00F">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抽</w:t>
                  </w:r>
                  <w:r>
                    <w:rPr>
                      <w:rFonts w:hint="default"/>
                      <w:color w:val="auto"/>
                      <w:szCs w:val="21"/>
                    </w:rPr>
                    <w:t>油机</w:t>
                  </w:r>
                </w:p>
              </w:tc>
              <w:tc>
                <w:tcPr>
                  <w:tcW w:w="1044" w:type="pct"/>
                  <w:noWrap w:val="0"/>
                  <w:vAlign w:val="center"/>
                </w:tcPr>
                <w:p w14:paraId="692F6F27">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75</w:t>
                  </w:r>
                </w:p>
              </w:tc>
              <w:tc>
                <w:tcPr>
                  <w:tcW w:w="696" w:type="pct"/>
                  <w:noWrap w:val="0"/>
                  <w:vAlign w:val="center"/>
                </w:tcPr>
                <w:p w14:paraId="14A01E73">
                  <w:pPr>
                    <w:keepNext w:val="0"/>
                    <w:keepLines w:val="0"/>
                    <w:suppressLineNumbers w:val="0"/>
                    <w:spacing w:before="0" w:beforeAutospacing="0" w:after="0" w:afterAutospacing="0"/>
                    <w:ind w:left="0" w:right="0"/>
                    <w:jc w:val="center"/>
                    <w:rPr>
                      <w:rFonts w:hint="eastAsia" w:eastAsia="宋体"/>
                      <w:color w:val="auto"/>
                      <w:szCs w:val="21"/>
                      <w:lang w:eastAsia="zh-CN"/>
                    </w:rPr>
                  </w:pPr>
                  <w:r>
                    <w:rPr>
                      <w:rFonts w:hint="eastAsia"/>
                      <w:color w:val="auto"/>
                      <w:szCs w:val="21"/>
                      <w:lang w:val="en-US" w:eastAsia="zh-CN"/>
                    </w:rPr>
                    <w:t>1</w:t>
                  </w:r>
                </w:p>
              </w:tc>
              <w:tc>
                <w:tcPr>
                  <w:tcW w:w="1258" w:type="pct"/>
                  <w:noWrap w:val="0"/>
                  <w:vAlign w:val="center"/>
                </w:tcPr>
                <w:p w14:paraId="106214C7">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基础减振</w:t>
                  </w:r>
                </w:p>
              </w:tc>
              <w:tc>
                <w:tcPr>
                  <w:tcW w:w="831" w:type="pct"/>
                  <w:noWrap w:val="0"/>
                  <w:vAlign w:val="center"/>
                </w:tcPr>
                <w:p w14:paraId="5D5F713B">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65</w:t>
                  </w:r>
                </w:p>
              </w:tc>
            </w:tr>
          </w:tbl>
          <w:p w14:paraId="6ADA45E2">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color w:val="auto"/>
                <w:sz w:val="24"/>
              </w:rPr>
              <w:t>根据噪声距离衰减模式</w:t>
            </w:r>
            <w:r>
              <w:rPr>
                <w:rFonts w:hint="default"/>
                <w:color w:val="auto"/>
                <w:sz w:val="24"/>
              </w:rPr>
              <w:t>，预测结果如下表所示。</w:t>
            </w:r>
          </w:p>
          <w:p w14:paraId="0DD376C2">
            <w:pPr>
              <w:keepNext w:val="0"/>
              <w:keepLines w:val="0"/>
              <w:suppressLineNumbers w:val="0"/>
              <w:autoSpaceDE w:val="0"/>
              <w:autoSpaceDN w:val="0"/>
              <w:adjustRightInd w:val="0"/>
              <w:spacing w:before="0" w:beforeAutospacing="0" w:after="0" w:afterAutospacing="0"/>
              <w:ind w:left="0" w:right="0"/>
              <w:jc w:val="center"/>
              <w:rPr>
                <w:rFonts w:hint="eastAsia"/>
                <w:b/>
                <w:bCs/>
                <w:color w:val="auto"/>
                <w:sz w:val="24"/>
              </w:rPr>
            </w:pPr>
            <w:r>
              <w:rPr>
                <w:rFonts w:hint="default"/>
                <w:b/>
                <w:color w:val="auto"/>
                <w:kern w:val="0"/>
                <w:sz w:val="24"/>
                <w:szCs w:val="21"/>
              </w:rPr>
              <w:t>表4-</w:t>
            </w:r>
            <w:r>
              <w:rPr>
                <w:rFonts w:hint="eastAsia"/>
                <w:b/>
                <w:color w:val="auto"/>
                <w:kern w:val="0"/>
                <w:sz w:val="24"/>
                <w:szCs w:val="21"/>
              </w:rPr>
              <w:t xml:space="preserve">5 </w:t>
            </w:r>
            <w:r>
              <w:rPr>
                <w:rFonts w:hint="eastAsia"/>
                <w:b/>
                <w:bCs/>
                <w:color w:val="auto"/>
                <w:sz w:val="24"/>
                <w:highlight w:val="none"/>
              </w:rPr>
              <w:t>试油</w:t>
            </w:r>
            <w:r>
              <w:rPr>
                <w:rFonts w:hint="default"/>
                <w:b/>
                <w:bCs/>
                <w:color w:val="auto"/>
                <w:sz w:val="24"/>
                <w:highlight w:val="none"/>
              </w:rPr>
              <w:t>工程</w:t>
            </w:r>
            <w:r>
              <w:rPr>
                <w:rFonts w:hint="default"/>
                <w:b/>
                <w:bCs/>
                <w:color w:val="auto"/>
                <w:sz w:val="24"/>
              </w:rPr>
              <w:t>场界噪声</w:t>
            </w:r>
            <w:r>
              <w:rPr>
                <w:rFonts w:hint="eastAsia"/>
                <w:b/>
                <w:bCs/>
                <w:color w:val="auto"/>
                <w:sz w:val="24"/>
              </w:rPr>
              <w:t>贡献情况</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6" w:type="dxa"/>
                <w:bottom w:w="0" w:type="dxa"/>
                <w:right w:w="6" w:type="dxa"/>
              </w:tblCellMar>
            </w:tblPr>
            <w:tblGrid>
              <w:gridCol w:w="1403"/>
              <w:gridCol w:w="1406"/>
              <w:gridCol w:w="993"/>
              <w:gridCol w:w="992"/>
              <w:gridCol w:w="992"/>
              <w:gridCol w:w="972"/>
              <w:gridCol w:w="1437"/>
            </w:tblGrid>
            <w:tr w14:paraId="27AD365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714" w:type="pct"/>
                  <w:gridSpan w:val="2"/>
                  <w:vMerge w:val="restart"/>
                  <w:noWrap w:val="0"/>
                  <w:vAlign w:val="center"/>
                </w:tcPr>
                <w:p w14:paraId="534A8A01">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default"/>
                      <w:bCs/>
                      <w:color w:val="auto"/>
                      <w:szCs w:val="21"/>
                    </w:rPr>
                    <w:t>预测点名称</w:t>
                  </w:r>
                </w:p>
              </w:tc>
              <w:tc>
                <w:tcPr>
                  <w:tcW w:w="1211" w:type="pct"/>
                  <w:gridSpan w:val="2"/>
                  <w:noWrap w:val="0"/>
                  <w:vAlign w:val="center"/>
                </w:tcPr>
                <w:p w14:paraId="32B39EBF">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eastAsia"/>
                      <w:bCs/>
                      <w:color w:val="auto"/>
                      <w:szCs w:val="21"/>
                    </w:rPr>
                    <w:t>贡献值dB（A）</w:t>
                  </w:r>
                </w:p>
              </w:tc>
              <w:tc>
                <w:tcPr>
                  <w:tcW w:w="1198" w:type="pct"/>
                  <w:gridSpan w:val="2"/>
                  <w:noWrap w:val="0"/>
                  <w:vAlign w:val="center"/>
                </w:tcPr>
                <w:p w14:paraId="77EA335E">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default"/>
                      <w:bCs/>
                      <w:color w:val="auto"/>
                      <w:szCs w:val="21"/>
                    </w:rPr>
                    <w:t>标准值</w:t>
                  </w:r>
                  <w:r>
                    <w:rPr>
                      <w:rFonts w:hint="eastAsia"/>
                      <w:bCs/>
                      <w:color w:val="auto"/>
                      <w:szCs w:val="21"/>
                    </w:rPr>
                    <w:t>dB（A）</w:t>
                  </w:r>
                </w:p>
              </w:tc>
              <w:tc>
                <w:tcPr>
                  <w:tcW w:w="877" w:type="pct"/>
                  <w:vMerge w:val="restart"/>
                  <w:noWrap w:val="0"/>
                  <w:vAlign w:val="center"/>
                </w:tcPr>
                <w:p w14:paraId="62E176DF">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default"/>
                      <w:bCs/>
                      <w:color w:val="auto"/>
                      <w:szCs w:val="21"/>
                    </w:rPr>
                    <w:t>达标情况</w:t>
                  </w:r>
                </w:p>
              </w:tc>
            </w:tr>
            <w:tr w14:paraId="5197CB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714" w:type="pct"/>
                  <w:gridSpan w:val="2"/>
                  <w:vMerge w:val="continue"/>
                  <w:noWrap w:val="0"/>
                  <w:vAlign w:val="center"/>
                </w:tcPr>
                <w:p w14:paraId="304B3FBF">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p>
              </w:tc>
              <w:tc>
                <w:tcPr>
                  <w:tcW w:w="606" w:type="pct"/>
                  <w:noWrap w:val="0"/>
                  <w:vAlign w:val="center"/>
                </w:tcPr>
                <w:p w14:paraId="0701F651">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default"/>
                      <w:bCs/>
                      <w:color w:val="auto"/>
                      <w:szCs w:val="21"/>
                    </w:rPr>
                    <w:t>昼间</w:t>
                  </w:r>
                </w:p>
              </w:tc>
              <w:tc>
                <w:tcPr>
                  <w:tcW w:w="605" w:type="pct"/>
                  <w:tcBorders>
                    <w:right w:val="single" w:color="auto" w:sz="4" w:space="0"/>
                  </w:tcBorders>
                  <w:noWrap w:val="0"/>
                  <w:vAlign w:val="center"/>
                </w:tcPr>
                <w:p w14:paraId="05F2879B">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default"/>
                      <w:bCs/>
                      <w:color w:val="auto"/>
                      <w:szCs w:val="21"/>
                    </w:rPr>
                    <w:t>夜间</w:t>
                  </w:r>
                </w:p>
              </w:tc>
              <w:tc>
                <w:tcPr>
                  <w:tcW w:w="605" w:type="pct"/>
                  <w:tcBorders>
                    <w:left w:val="single" w:color="auto" w:sz="4" w:space="0"/>
                    <w:right w:val="single" w:color="auto" w:sz="4" w:space="0"/>
                  </w:tcBorders>
                  <w:noWrap w:val="0"/>
                  <w:vAlign w:val="center"/>
                </w:tcPr>
                <w:p w14:paraId="551D9B0C">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default"/>
                      <w:bCs/>
                      <w:color w:val="auto"/>
                      <w:szCs w:val="21"/>
                    </w:rPr>
                    <w:t>昼间</w:t>
                  </w:r>
                </w:p>
              </w:tc>
              <w:tc>
                <w:tcPr>
                  <w:tcW w:w="593" w:type="pct"/>
                  <w:tcBorders>
                    <w:left w:val="single" w:color="auto" w:sz="4" w:space="0"/>
                  </w:tcBorders>
                  <w:noWrap w:val="0"/>
                  <w:vAlign w:val="center"/>
                </w:tcPr>
                <w:p w14:paraId="40DC8864">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default"/>
                      <w:bCs/>
                      <w:color w:val="auto"/>
                      <w:szCs w:val="21"/>
                    </w:rPr>
                    <w:t>夜间</w:t>
                  </w:r>
                </w:p>
              </w:tc>
              <w:tc>
                <w:tcPr>
                  <w:tcW w:w="877" w:type="pct"/>
                  <w:vMerge w:val="continue"/>
                  <w:noWrap w:val="0"/>
                  <w:vAlign w:val="center"/>
                </w:tcPr>
                <w:p w14:paraId="10B96152">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p>
              </w:tc>
            </w:tr>
            <w:tr w14:paraId="0A3D13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454" w:hRule="atLeast"/>
                <w:jc w:val="center"/>
              </w:trPr>
              <w:tc>
                <w:tcPr>
                  <w:tcW w:w="856" w:type="pct"/>
                  <w:vMerge w:val="restart"/>
                  <w:noWrap w:val="0"/>
                  <w:vAlign w:val="center"/>
                </w:tcPr>
                <w:p w14:paraId="1810A5A4">
                  <w:pPr>
                    <w:keepNext w:val="0"/>
                    <w:keepLines w:val="0"/>
                    <w:widowControl/>
                    <w:suppressLineNumbers w:val="0"/>
                    <w:snapToGrid w:val="0"/>
                    <w:spacing w:before="0" w:beforeAutospacing="0" w:after="0" w:afterAutospacing="0" w:line="0" w:lineRule="atLeast"/>
                    <w:ind w:left="0" w:right="0"/>
                    <w:jc w:val="center"/>
                    <w:rPr>
                      <w:rFonts w:hint="default" w:eastAsia="宋体"/>
                      <w:bCs/>
                      <w:color w:val="auto"/>
                      <w:szCs w:val="21"/>
                      <w:lang w:val="en-US" w:eastAsia="zh-CN"/>
                    </w:rPr>
                  </w:pPr>
                  <w:r>
                    <w:rPr>
                      <w:rFonts w:hint="eastAsia"/>
                      <w:bCs/>
                      <w:color w:val="auto"/>
                      <w:szCs w:val="21"/>
                      <w:lang w:eastAsia="zh-CN"/>
                    </w:rPr>
                    <w:t>扎格</w:t>
                  </w:r>
                  <w:r>
                    <w:rPr>
                      <w:rFonts w:hint="eastAsia"/>
                      <w:bCs/>
                      <w:color w:val="auto"/>
                      <w:szCs w:val="21"/>
                      <w:lang w:val="en-US" w:eastAsia="zh-CN"/>
                    </w:rPr>
                    <w:t>6井</w:t>
                  </w:r>
                </w:p>
              </w:tc>
              <w:tc>
                <w:tcPr>
                  <w:tcW w:w="858" w:type="pct"/>
                  <w:noWrap w:val="0"/>
                  <w:vAlign w:val="center"/>
                </w:tcPr>
                <w:p w14:paraId="53EC24E3">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default"/>
                      <w:bCs/>
                      <w:color w:val="auto"/>
                      <w:szCs w:val="21"/>
                    </w:rPr>
                    <w:t>东</w:t>
                  </w:r>
                  <w:r>
                    <w:rPr>
                      <w:rFonts w:hint="eastAsia"/>
                      <w:bCs/>
                      <w:color w:val="auto"/>
                      <w:szCs w:val="21"/>
                    </w:rPr>
                    <w:t>场</w:t>
                  </w:r>
                  <w:r>
                    <w:rPr>
                      <w:rFonts w:hint="default"/>
                      <w:bCs/>
                      <w:color w:val="auto"/>
                      <w:szCs w:val="21"/>
                    </w:rPr>
                    <w:t>界</w:t>
                  </w:r>
                </w:p>
              </w:tc>
              <w:tc>
                <w:tcPr>
                  <w:tcW w:w="606" w:type="pct"/>
                  <w:noWrap w:val="0"/>
                  <w:vAlign w:val="center"/>
                </w:tcPr>
                <w:p w14:paraId="675D4FE5">
                  <w:pPr>
                    <w:keepNext w:val="0"/>
                    <w:keepLines w:val="0"/>
                    <w:widowControl/>
                    <w:suppressLineNumbers w:val="0"/>
                    <w:snapToGrid w:val="0"/>
                    <w:spacing w:before="0" w:beforeAutospacing="0" w:after="0" w:afterAutospacing="0" w:line="0" w:lineRule="atLeast"/>
                    <w:ind w:left="0" w:right="0"/>
                    <w:jc w:val="center"/>
                    <w:rPr>
                      <w:rFonts w:hint="default" w:eastAsia="宋体"/>
                      <w:bCs/>
                      <w:color w:val="auto"/>
                      <w:szCs w:val="21"/>
                      <w:lang w:val="en-US" w:eastAsia="zh-CN"/>
                    </w:rPr>
                  </w:pPr>
                  <w:r>
                    <w:rPr>
                      <w:rFonts w:hint="eastAsia"/>
                      <w:bCs/>
                      <w:color w:val="auto"/>
                      <w:szCs w:val="21"/>
                      <w:lang w:val="en-US" w:eastAsia="zh-CN"/>
                    </w:rPr>
                    <w:t>12.51</w:t>
                  </w:r>
                </w:p>
              </w:tc>
              <w:tc>
                <w:tcPr>
                  <w:tcW w:w="992" w:type="dxa"/>
                  <w:tcBorders>
                    <w:right w:val="single" w:color="auto" w:sz="4" w:space="0"/>
                  </w:tcBorders>
                  <w:noWrap w:val="0"/>
                  <w:vAlign w:val="center"/>
                </w:tcPr>
                <w:p w14:paraId="6A97516D">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eastAsia"/>
                      <w:bCs/>
                      <w:color w:val="auto"/>
                      <w:szCs w:val="21"/>
                      <w:lang w:val="en-US" w:eastAsia="zh-CN"/>
                    </w:rPr>
                    <w:t>12.51</w:t>
                  </w:r>
                </w:p>
              </w:tc>
              <w:tc>
                <w:tcPr>
                  <w:tcW w:w="605" w:type="pct"/>
                  <w:tcBorders>
                    <w:left w:val="single" w:color="auto" w:sz="4" w:space="0"/>
                    <w:right w:val="single" w:color="auto" w:sz="4" w:space="0"/>
                  </w:tcBorders>
                  <w:noWrap w:val="0"/>
                  <w:vAlign w:val="center"/>
                </w:tcPr>
                <w:p w14:paraId="4E102D6A">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eastAsia"/>
                      <w:bCs/>
                      <w:color w:val="auto"/>
                      <w:szCs w:val="21"/>
                    </w:rPr>
                    <w:t>70</w:t>
                  </w:r>
                </w:p>
              </w:tc>
              <w:tc>
                <w:tcPr>
                  <w:tcW w:w="593" w:type="pct"/>
                  <w:tcBorders>
                    <w:left w:val="single" w:color="auto" w:sz="4" w:space="0"/>
                  </w:tcBorders>
                  <w:noWrap w:val="0"/>
                  <w:vAlign w:val="center"/>
                </w:tcPr>
                <w:p w14:paraId="48C247C8">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eastAsia"/>
                      <w:bCs/>
                      <w:color w:val="auto"/>
                      <w:szCs w:val="21"/>
                    </w:rPr>
                    <w:t>55</w:t>
                  </w:r>
                </w:p>
              </w:tc>
              <w:tc>
                <w:tcPr>
                  <w:tcW w:w="877" w:type="pct"/>
                  <w:noWrap w:val="0"/>
                  <w:vAlign w:val="center"/>
                </w:tcPr>
                <w:p w14:paraId="22A8F676">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default"/>
                      <w:bCs/>
                      <w:color w:val="auto"/>
                      <w:szCs w:val="21"/>
                    </w:rPr>
                    <w:t>达标</w:t>
                  </w:r>
                </w:p>
              </w:tc>
            </w:tr>
            <w:tr w14:paraId="294311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454" w:hRule="atLeast"/>
                <w:jc w:val="center"/>
              </w:trPr>
              <w:tc>
                <w:tcPr>
                  <w:tcW w:w="856" w:type="pct"/>
                  <w:vMerge w:val="continue"/>
                  <w:noWrap w:val="0"/>
                  <w:vAlign w:val="center"/>
                </w:tcPr>
                <w:p w14:paraId="56C918B5">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p>
              </w:tc>
              <w:tc>
                <w:tcPr>
                  <w:tcW w:w="858" w:type="pct"/>
                  <w:noWrap w:val="0"/>
                  <w:vAlign w:val="center"/>
                </w:tcPr>
                <w:p w14:paraId="1C9B5C77">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default"/>
                      <w:bCs/>
                      <w:color w:val="auto"/>
                      <w:szCs w:val="21"/>
                    </w:rPr>
                    <w:t>南</w:t>
                  </w:r>
                  <w:r>
                    <w:rPr>
                      <w:rFonts w:hint="eastAsia"/>
                      <w:bCs/>
                      <w:color w:val="auto"/>
                      <w:szCs w:val="21"/>
                    </w:rPr>
                    <w:t>场</w:t>
                  </w:r>
                  <w:r>
                    <w:rPr>
                      <w:rFonts w:hint="default"/>
                      <w:bCs/>
                      <w:color w:val="auto"/>
                      <w:szCs w:val="21"/>
                    </w:rPr>
                    <w:t>界</w:t>
                  </w:r>
                </w:p>
              </w:tc>
              <w:tc>
                <w:tcPr>
                  <w:tcW w:w="606" w:type="pct"/>
                  <w:noWrap w:val="0"/>
                  <w:vAlign w:val="center"/>
                </w:tcPr>
                <w:p w14:paraId="66F42459">
                  <w:pPr>
                    <w:keepNext w:val="0"/>
                    <w:keepLines w:val="0"/>
                    <w:widowControl/>
                    <w:suppressLineNumbers w:val="0"/>
                    <w:snapToGrid w:val="0"/>
                    <w:spacing w:before="0" w:beforeAutospacing="0" w:after="0" w:afterAutospacing="0" w:line="0" w:lineRule="atLeast"/>
                    <w:ind w:left="0" w:right="0"/>
                    <w:jc w:val="center"/>
                    <w:rPr>
                      <w:rFonts w:hint="default" w:eastAsia="宋体"/>
                      <w:bCs/>
                      <w:color w:val="auto"/>
                      <w:szCs w:val="21"/>
                      <w:lang w:val="en-US" w:eastAsia="zh-CN"/>
                    </w:rPr>
                  </w:pPr>
                  <w:r>
                    <w:rPr>
                      <w:rFonts w:hint="eastAsia"/>
                      <w:bCs/>
                      <w:color w:val="auto"/>
                      <w:szCs w:val="21"/>
                      <w:lang w:val="en-US" w:eastAsia="zh-CN"/>
                    </w:rPr>
                    <w:t>23.18</w:t>
                  </w:r>
                </w:p>
              </w:tc>
              <w:tc>
                <w:tcPr>
                  <w:tcW w:w="992" w:type="dxa"/>
                  <w:tcBorders>
                    <w:right w:val="single" w:color="auto" w:sz="4" w:space="0"/>
                  </w:tcBorders>
                  <w:noWrap w:val="0"/>
                  <w:vAlign w:val="center"/>
                </w:tcPr>
                <w:p w14:paraId="7E92ED0C">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eastAsia"/>
                      <w:bCs/>
                      <w:color w:val="auto"/>
                      <w:szCs w:val="21"/>
                      <w:lang w:val="en-US" w:eastAsia="zh-CN"/>
                    </w:rPr>
                    <w:t>23.18</w:t>
                  </w:r>
                </w:p>
              </w:tc>
              <w:tc>
                <w:tcPr>
                  <w:tcW w:w="605" w:type="pct"/>
                  <w:tcBorders>
                    <w:left w:val="single" w:color="auto" w:sz="4" w:space="0"/>
                    <w:right w:val="single" w:color="auto" w:sz="4" w:space="0"/>
                  </w:tcBorders>
                  <w:noWrap w:val="0"/>
                  <w:vAlign w:val="center"/>
                </w:tcPr>
                <w:p w14:paraId="010F2D09">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eastAsia"/>
                      <w:bCs/>
                      <w:color w:val="auto"/>
                      <w:szCs w:val="21"/>
                    </w:rPr>
                    <w:t>70</w:t>
                  </w:r>
                </w:p>
              </w:tc>
              <w:tc>
                <w:tcPr>
                  <w:tcW w:w="593" w:type="pct"/>
                  <w:tcBorders>
                    <w:left w:val="single" w:color="auto" w:sz="4" w:space="0"/>
                  </w:tcBorders>
                  <w:noWrap w:val="0"/>
                  <w:vAlign w:val="center"/>
                </w:tcPr>
                <w:p w14:paraId="0E60B5B0">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eastAsia"/>
                      <w:bCs/>
                      <w:color w:val="auto"/>
                      <w:szCs w:val="21"/>
                    </w:rPr>
                    <w:t>55</w:t>
                  </w:r>
                </w:p>
              </w:tc>
              <w:tc>
                <w:tcPr>
                  <w:tcW w:w="877" w:type="pct"/>
                  <w:noWrap w:val="0"/>
                  <w:vAlign w:val="center"/>
                </w:tcPr>
                <w:p w14:paraId="49901DD7">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default"/>
                      <w:bCs/>
                      <w:color w:val="auto"/>
                      <w:szCs w:val="21"/>
                    </w:rPr>
                    <w:t>达标</w:t>
                  </w:r>
                </w:p>
              </w:tc>
            </w:tr>
            <w:tr w14:paraId="75966F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454" w:hRule="atLeast"/>
                <w:jc w:val="center"/>
              </w:trPr>
              <w:tc>
                <w:tcPr>
                  <w:tcW w:w="856" w:type="pct"/>
                  <w:vMerge w:val="continue"/>
                  <w:noWrap w:val="0"/>
                  <w:vAlign w:val="center"/>
                </w:tcPr>
                <w:p w14:paraId="1C859CE4">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p>
              </w:tc>
              <w:tc>
                <w:tcPr>
                  <w:tcW w:w="858" w:type="pct"/>
                  <w:noWrap w:val="0"/>
                  <w:vAlign w:val="center"/>
                </w:tcPr>
                <w:p w14:paraId="04C0142B">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default"/>
                      <w:bCs/>
                      <w:color w:val="auto"/>
                      <w:szCs w:val="21"/>
                    </w:rPr>
                    <w:t>西</w:t>
                  </w:r>
                  <w:r>
                    <w:rPr>
                      <w:rFonts w:hint="eastAsia"/>
                      <w:bCs/>
                      <w:color w:val="auto"/>
                      <w:szCs w:val="21"/>
                    </w:rPr>
                    <w:t>场</w:t>
                  </w:r>
                  <w:r>
                    <w:rPr>
                      <w:rFonts w:hint="default"/>
                      <w:bCs/>
                      <w:color w:val="auto"/>
                      <w:szCs w:val="21"/>
                    </w:rPr>
                    <w:t>界</w:t>
                  </w:r>
                </w:p>
              </w:tc>
              <w:tc>
                <w:tcPr>
                  <w:tcW w:w="606" w:type="pct"/>
                  <w:noWrap w:val="0"/>
                  <w:vAlign w:val="center"/>
                </w:tcPr>
                <w:p w14:paraId="3F64FAC7">
                  <w:pPr>
                    <w:keepNext w:val="0"/>
                    <w:keepLines w:val="0"/>
                    <w:widowControl/>
                    <w:suppressLineNumbers w:val="0"/>
                    <w:snapToGrid w:val="0"/>
                    <w:spacing w:before="0" w:beforeAutospacing="0" w:after="0" w:afterAutospacing="0" w:line="0" w:lineRule="atLeast"/>
                    <w:ind w:left="0" w:right="0"/>
                    <w:jc w:val="center"/>
                    <w:rPr>
                      <w:rFonts w:hint="default" w:eastAsia="宋体"/>
                      <w:bCs/>
                      <w:color w:val="auto"/>
                      <w:szCs w:val="21"/>
                      <w:lang w:val="en-US" w:eastAsia="zh-CN"/>
                    </w:rPr>
                  </w:pPr>
                  <w:r>
                    <w:rPr>
                      <w:rFonts w:hint="eastAsia"/>
                      <w:bCs/>
                      <w:color w:val="auto"/>
                      <w:szCs w:val="21"/>
                      <w:lang w:val="en-US" w:eastAsia="zh-CN"/>
                    </w:rPr>
                    <w:t>11.71</w:t>
                  </w:r>
                </w:p>
              </w:tc>
              <w:tc>
                <w:tcPr>
                  <w:tcW w:w="992" w:type="dxa"/>
                  <w:tcBorders>
                    <w:right w:val="single" w:color="auto" w:sz="4" w:space="0"/>
                  </w:tcBorders>
                  <w:noWrap w:val="0"/>
                  <w:vAlign w:val="center"/>
                </w:tcPr>
                <w:p w14:paraId="2F60CC47">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eastAsia"/>
                      <w:bCs/>
                      <w:color w:val="auto"/>
                      <w:szCs w:val="21"/>
                      <w:lang w:val="en-US" w:eastAsia="zh-CN"/>
                    </w:rPr>
                    <w:t>11.71</w:t>
                  </w:r>
                </w:p>
              </w:tc>
              <w:tc>
                <w:tcPr>
                  <w:tcW w:w="605" w:type="pct"/>
                  <w:tcBorders>
                    <w:left w:val="single" w:color="auto" w:sz="4" w:space="0"/>
                    <w:right w:val="single" w:color="auto" w:sz="4" w:space="0"/>
                  </w:tcBorders>
                  <w:noWrap w:val="0"/>
                  <w:vAlign w:val="center"/>
                </w:tcPr>
                <w:p w14:paraId="02963C46">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eastAsia"/>
                      <w:bCs/>
                      <w:color w:val="auto"/>
                      <w:szCs w:val="21"/>
                    </w:rPr>
                    <w:t>70</w:t>
                  </w:r>
                </w:p>
              </w:tc>
              <w:tc>
                <w:tcPr>
                  <w:tcW w:w="593" w:type="pct"/>
                  <w:tcBorders>
                    <w:left w:val="single" w:color="auto" w:sz="4" w:space="0"/>
                  </w:tcBorders>
                  <w:noWrap w:val="0"/>
                  <w:vAlign w:val="center"/>
                </w:tcPr>
                <w:p w14:paraId="7B217466">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eastAsia"/>
                      <w:bCs/>
                      <w:color w:val="auto"/>
                      <w:szCs w:val="21"/>
                    </w:rPr>
                    <w:t>55</w:t>
                  </w:r>
                </w:p>
              </w:tc>
              <w:tc>
                <w:tcPr>
                  <w:tcW w:w="877" w:type="pct"/>
                  <w:noWrap w:val="0"/>
                  <w:vAlign w:val="center"/>
                </w:tcPr>
                <w:p w14:paraId="434FECF4">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default"/>
                      <w:bCs/>
                      <w:color w:val="auto"/>
                      <w:szCs w:val="21"/>
                    </w:rPr>
                    <w:t>达标</w:t>
                  </w:r>
                </w:p>
              </w:tc>
            </w:tr>
            <w:tr w14:paraId="7B50BA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454" w:hRule="atLeast"/>
                <w:jc w:val="center"/>
              </w:trPr>
              <w:tc>
                <w:tcPr>
                  <w:tcW w:w="856" w:type="pct"/>
                  <w:vMerge w:val="continue"/>
                  <w:noWrap w:val="0"/>
                  <w:vAlign w:val="center"/>
                </w:tcPr>
                <w:p w14:paraId="30E74BE0">
                  <w:pPr>
                    <w:keepNext w:val="0"/>
                    <w:keepLines w:val="0"/>
                    <w:widowControl/>
                    <w:suppressLineNumbers w:val="0"/>
                    <w:snapToGrid w:val="0"/>
                    <w:spacing w:before="0" w:beforeAutospacing="0" w:after="0" w:afterAutospacing="0" w:line="0" w:lineRule="atLeast"/>
                    <w:ind w:left="0" w:right="0"/>
                    <w:jc w:val="center"/>
                    <w:rPr>
                      <w:rFonts w:hint="eastAsia"/>
                      <w:bCs/>
                      <w:color w:val="auto"/>
                      <w:szCs w:val="21"/>
                    </w:rPr>
                  </w:pPr>
                </w:p>
              </w:tc>
              <w:tc>
                <w:tcPr>
                  <w:tcW w:w="858" w:type="pct"/>
                  <w:noWrap w:val="0"/>
                  <w:vAlign w:val="center"/>
                </w:tcPr>
                <w:p w14:paraId="18542A1C">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default"/>
                      <w:bCs/>
                      <w:color w:val="auto"/>
                      <w:szCs w:val="21"/>
                    </w:rPr>
                    <w:t>北</w:t>
                  </w:r>
                  <w:r>
                    <w:rPr>
                      <w:rFonts w:hint="eastAsia"/>
                      <w:bCs/>
                      <w:color w:val="auto"/>
                      <w:szCs w:val="21"/>
                    </w:rPr>
                    <w:t>场</w:t>
                  </w:r>
                  <w:r>
                    <w:rPr>
                      <w:rFonts w:hint="default"/>
                      <w:bCs/>
                      <w:color w:val="auto"/>
                      <w:szCs w:val="21"/>
                    </w:rPr>
                    <w:t>界</w:t>
                  </w:r>
                </w:p>
              </w:tc>
              <w:tc>
                <w:tcPr>
                  <w:tcW w:w="606" w:type="pct"/>
                  <w:noWrap w:val="0"/>
                  <w:vAlign w:val="center"/>
                </w:tcPr>
                <w:p w14:paraId="42C7C055">
                  <w:pPr>
                    <w:keepNext w:val="0"/>
                    <w:keepLines w:val="0"/>
                    <w:widowControl/>
                    <w:suppressLineNumbers w:val="0"/>
                    <w:snapToGrid w:val="0"/>
                    <w:spacing w:before="0" w:beforeAutospacing="0" w:after="0" w:afterAutospacing="0" w:line="0" w:lineRule="atLeast"/>
                    <w:ind w:left="0" w:right="0"/>
                    <w:jc w:val="center"/>
                    <w:rPr>
                      <w:rFonts w:hint="default" w:eastAsia="宋体"/>
                      <w:bCs/>
                      <w:color w:val="auto"/>
                      <w:szCs w:val="21"/>
                      <w:lang w:val="en-US" w:eastAsia="zh-CN"/>
                    </w:rPr>
                  </w:pPr>
                  <w:r>
                    <w:rPr>
                      <w:rFonts w:hint="eastAsia"/>
                      <w:bCs/>
                      <w:color w:val="auto"/>
                      <w:szCs w:val="21"/>
                      <w:lang w:val="en-US" w:eastAsia="zh-CN"/>
                    </w:rPr>
                    <w:t>17.68</w:t>
                  </w:r>
                </w:p>
              </w:tc>
              <w:tc>
                <w:tcPr>
                  <w:tcW w:w="992" w:type="dxa"/>
                  <w:tcBorders>
                    <w:right w:val="single" w:color="auto" w:sz="4" w:space="0"/>
                  </w:tcBorders>
                  <w:noWrap w:val="0"/>
                  <w:vAlign w:val="center"/>
                </w:tcPr>
                <w:p w14:paraId="3632334A">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eastAsia"/>
                      <w:bCs/>
                      <w:color w:val="auto"/>
                      <w:szCs w:val="21"/>
                      <w:lang w:val="en-US" w:eastAsia="zh-CN"/>
                    </w:rPr>
                    <w:t>17.68</w:t>
                  </w:r>
                </w:p>
              </w:tc>
              <w:tc>
                <w:tcPr>
                  <w:tcW w:w="605" w:type="pct"/>
                  <w:tcBorders>
                    <w:left w:val="single" w:color="auto" w:sz="4" w:space="0"/>
                    <w:right w:val="single" w:color="auto" w:sz="4" w:space="0"/>
                  </w:tcBorders>
                  <w:noWrap w:val="0"/>
                  <w:vAlign w:val="center"/>
                </w:tcPr>
                <w:p w14:paraId="24C824CE">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eastAsia"/>
                      <w:bCs/>
                      <w:color w:val="auto"/>
                      <w:szCs w:val="21"/>
                    </w:rPr>
                    <w:t>70</w:t>
                  </w:r>
                </w:p>
              </w:tc>
              <w:tc>
                <w:tcPr>
                  <w:tcW w:w="593" w:type="pct"/>
                  <w:tcBorders>
                    <w:left w:val="single" w:color="auto" w:sz="4" w:space="0"/>
                  </w:tcBorders>
                  <w:noWrap w:val="0"/>
                  <w:vAlign w:val="center"/>
                </w:tcPr>
                <w:p w14:paraId="29B5AF8B">
                  <w:pPr>
                    <w:keepNext w:val="0"/>
                    <w:keepLines w:val="0"/>
                    <w:widowControl/>
                    <w:suppressLineNumbers w:val="0"/>
                    <w:snapToGrid w:val="0"/>
                    <w:spacing w:before="0" w:beforeAutospacing="0" w:after="0" w:afterAutospacing="0" w:line="0" w:lineRule="atLeast"/>
                    <w:ind w:left="0" w:right="0"/>
                    <w:jc w:val="center"/>
                    <w:rPr>
                      <w:rFonts w:hint="default"/>
                      <w:bCs/>
                      <w:color w:val="auto"/>
                      <w:szCs w:val="21"/>
                    </w:rPr>
                  </w:pPr>
                  <w:r>
                    <w:rPr>
                      <w:rFonts w:hint="eastAsia"/>
                      <w:bCs/>
                      <w:color w:val="auto"/>
                      <w:szCs w:val="21"/>
                    </w:rPr>
                    <w:t>55</w:t>
                  </w:r>
                </w:p>
              </w:tc>
              <w:tc>
                <w:tcPr>
                  <w:tcW w:w="877" w:type="pct"/>
                  <w:noWrap w:val="0"/>
                  <w:vAlign w:val="center"/>
                </w:tcPr>
                <w:p w14:paraId="099048FB">
                  <w:pPr>
                    <w:keepNext w:val="0"/>
                    <w:keepLines w:val="0"/>
                    <w:widowControl/>
                    <w:suppressLineNumbers w:val="0"/>
                    <w:snapToGrid w:val="0"/>
                    <w:spacing w:before="0" w:beforeAutospacing="0" w:after="0" w:afterAutospacing="0" w:line="0" w:lineRule="atLeast"/>
                    <w:ind w:left="0" w:right="0"/>
                    <w:jc w:val="center"/>
                    <w:rPr>
                      <w:rFonts w:hint="eastAsia"/>
                      <w:bCs/>
                      <w:color w:val="auto"/>
                      <w:szCs w:val="21"/>
                    </w:rPr>
                  </w:pPr>
                  <w:r>
                    <w:rPr>
                      <w:rFonts w:hint="default"/>
                      <w:bCs/>
                      <w:color w:val="auto"/>
                      <w:szCs w:val="21"/>
                    </w:rPr>
                    <w:t>达标</w:t>
                  </w:r>
                </w:p>
              </w:tc>
            </w:tr>
          </w:tbl>
          <w:p w14:paraId="1E83674C">
            <w:pPr>
              <w:keepNext w:val="0"/>
              <w:keepLines w:val="0"/>
              <w:suppressLineNumbers w:val="0"/>
              <w:spacing w:before="0" w:beforeAutospacing="0" w:after="0" w:afterAutospacing="0" w:line="360" w:lineRule="auto"/>
              <w:ind w:left="0" w:right="0" w:firstLine="480"/>
              <w:rPr>
                <w:rFonts w:hint="eastAsia"/>
                <w:color w:val="auto"/>
                <w:sz w:val="24"/>
              </w:rPr>
            </w:pPr>
            <w:r>
              <w:rPr>
                <w:rFonts w:hint="default"/>
                <w:bCs/>
                <w:color w:val="auto"/>
                <w:sz w:val="24"/>
                <w:lang w:val="en-GB"/>
              </w:rPr>
              <w:t>由预测结果可知，东、西、南、北场界的噪声</w:t>
            </w:r>
            <w:r>
              <w:rPr>
                <w:rFonts w:hint="eastAsia"/>
                <w:bCs/>
                <w:color w:val="auto"/>
                <w:sz w:val="24"/>
                <w:lang w:val="en-GB"/>
              </w:rPr>
              <w:t>贡献值</w:t>
            </w:r>
            <w:r>
              <w:rPr>
                <w:rFonts w:hint="default"/>
                <w:bCs/>
                <w:color w:val="auto"/>
                <w:sz w:val="24"/>
                <w:lang w:val="en-GB"/>
              </w:rPr>
              <w:t>最大值</w:t>
            </w:r>
            <w:r>
              <w:rPr>
                <w:rFonts w:hint="eastAsia"/>
                <w:bCs/>
                <w:color w:val="auto"/>
                <w:sz w:val="24"/>
                <w:lang w:val="en-US" w:eastAsia="zh-CN"/>
              </w:rPr>
              <w:t>23.18</w:t>
            </w:r>
            <w:r>
              <w:rPr>
                <w:rFonts w:hint="default"/>
                <w:bCs/>
                <w:color w:val="auto"/>
                <w:sz w:val="24"/>
                <w:lang w:val="en-GB"/>
              </w:rPr>
              <w:t>dB（A），符合《建筑施工场界环境噪声排放标准》（GB12523-2001）要求</w:t>
            </w:r>
            <w:r>
              <w:rPr>
                <w:rFonts w:hint="eastAsia"/>
                <w:bCs/>
                <w:color w:val="auto"/>
                <w:sz w:val="24"/>
                <w:lang w:val="en-GB"/>
              </w:rPr>
              <w:t>。</w:t>
            </w:r>
          </w:p>
          <w:p w14:paraId="6302396D">
            <w:pPr>
              <w:keepNext w:val="0"/>
              <w:keepLines w:val="0"/>
              <w:suppressLineNumbers w:val="0"/>
              <w:spacing w:before="0" w:beforeAutospacing="0" w:after="0" w:afterAutospacing="0" w:line="360" w:lineRule="auto"/>
              <w:ind w:left="0" w:right="0" w:firstLine="480"/>
              <w:rPr>
                <w:rFonts w:hint="eastAsia"/>
                <w:color w:val="auto"/>
                <w:sz w:val="24"/>
              </w:rPr>
            </w:pPr>
            <w:r>
              <w:rPr>
                <w:rFonts w:hint="eastAsia"/>
                <w:color w:val="auto"/>
                <w:sz w:val="24"/>
                <w:lang w:eastAsia="zh-CN"/>
              </w:rPr>
              <w:t>本工程</w:t>
            </w:r>
            <w:r>
              <w:rPr>
                <w:rFonts w:hint="default"/>
                <w:color w:val="auto"/>
                <w:sz w:val="24"/>
              </w:rPr>
              <w:t>施工期较短，施工结束后，噪声影响随即消失，对声环境影响较小</w:t>
            </w:r>
            <w:r>
              <w:rPr>
                <w:rFonts w:hint="eastAsia"/>
                <w:color w:val="auto"/>
                <w:sz w:val="24"/>
              </w:rPr>
              <w:t>。</w:t>
            </w:r>
          </w:p>
          <w:p w14:paraId="4037B7EC">
            <w:pPr>
              <w:keepNext w:val="0"/>
              <w:keepLines w:val="0"/>
              <w:suppressLineNumbers w:val="0"/>
              <w:spacing w:before="0" w:beforeAutospacing="0" w:after="0" w:afterAutospacing="0" w:line="360" w:lineRule="auto"/>
              <w:ind w:left="0" w:right="0" w:firstLine="480"/>
              <w:rPr>
                <w:rFonts w:hint="default"/>
                <w:b/>
                <w:color w:val="auto"/>
                <w:sz w:val="24"/>
              </w:rPr>
            </w:pPr>
            <w:r>
              <w:rPr>
                <w:rFonts w:hint="eastAsia"/>
                <w:b/>
                <w:color w:val="auto"/>
                <w:sz w:val="24"/>
              </w:rPr>
              <w:t>四、</w:t>
            </w:r>
            <w:r>
              <w:rPr>
                <w:rFonts w:hint="default"/>
                <w:b/>
                <w:color w:val="auto"/>
                <w:sz w:val="24"/>
              </w:rPr>
              <w:t>固体废物污染源分析</w:t>
            </w:r>
          </w:p>
          <w:p w14:paraId="537DE1D9">
            <w:pPr>
              <w:keepNext w:val="0"/>
              <w:keepLines w:val="0"/>
              <w:suppressLineNumbers w:val="0"/>
              <w:spacing w:before="0" w:beforeAutospacing="0" w:after="0" w:afterAutospacing="0" w:line="360" w:lineRule="auto"/>
              <w:ind w:left="0" w:right="0" w:firstLine="480"/>
              <w:rPr>
                <w:rFonts w:hint="default"/>
                <w:color w:val="auto"/>
                <w:sz w:val="24"/>
              </w:rPr>
            </w:pPr>
            <w:r>
              <w:rPr>
                <w:rFonts w:hint="default"/>
                <w:color w:val="auto"/>
                <w:sz w:val="24"/>
              </w:rPr>
              <w:t>钻井</w:t>
            </w:r>
            <w:r>
              <w:rPr>
                <w:rFonts w:hint="eastAsia"/>
                <w:color w:val="auto"/>
                <w:sz w:val="24"/>
                <w:lang w:eastAsia="zh-CN"/>
              </w:rPr>
              <w:t>工程时</w:t>
            </w:r>
            <w:r>
              <w:rPr>
                <w:rFonts w:hint="default"/>
                <w:color w:val="auto"/>
                <w:sz w:val="24"/>
              </w:rPr>
              <w:t>的废弃物主要有废弃钻井泥浆</w:t>
            </w:r>
            <w:r>
              <w:rPr>
                <w:rFonts w:hint="eastAsia"/>
                <w:color w:val="auto"/>
                <w:sz w:val="24"/>
              </w:rPr>
              <w:t>、</w:t>
            </w:r>
            <w:r>
              <w:rPr>
                <w:rFonts w:hint="default"/>
                <w:color w:val="auto"/>
                <w:sz w:val="24"/>
              </w:rPr>
              <w:t>岩屑</w:t>
            </w:r>
            <w:r>
              <w:rPr>
                <w:rFonts w:hint="eastAsia"/>
                <w:color w:val="auto"/>
                <w:sz w:val="24"/>
              </w:rPr>
              <w:t>，废机油，事故状态下的落地油及</w:t>
            </w:r>
            <w:r>
              <w:rPr>
                <w:rFonts w:hint="default"/>
                <w:color w:val="auto"/>
                <w:sz w:val="24"/>
              </w:rPr>
              <w:t>办公生活区产生的生活垃圾。</w:t>
            </w:r>
          </w:p>
          <w:p w14:paraId="744FCADA">
            <w:pPr>
              <w:keepNext w:val="0"/>
              <w:keepLines w:val="0"/>
              <w:suppressLineNumbers w:val="0"/>
              <w:spacing w:before="0" w:beforeAutospacing="0" w:after="0" w:afterAutospacing="0" w:line="360" w:lineRule="auto"/>
              <w:ind w:left="0" w:right="0" w:firstLine="480"/>
              <w:rPr>
                <w:rFonts w:hint="default"/>
                <w:color w:val="auto"/>
                <w:sz w:val="24"/>
              </w:rPr>
            </w:pPr>
            <w:r>
              <w:rPr>
                <w:rFonts w:hint="default"/>
                <w:color w:val="auto"/>
                <w:sz w:val="24"/>
              </w:rPr>
              <w:t>1、废弃钻井泥浆</w:t>
            </w:r>
            <w:r>
              <w:rPr>
                <w:rFonts w:hint="eastAsia"/>
                <w:color w:val="auto"/>
                <w:sz w:val="24"/>
              </w:rPr>
              <w:t>、</w:t>
            </w:r>
            <w:r>
              <w:rPr>
                <w:rFonts w:hint="default"/>
                <w:color w:val="auto"/>
                <w:sz w:val="24"/>
              </w:rPr>
              <w:t>岩屑</w:t>
            </w:r>
          </w:p>
          <w:p w14:paraId="5F1B373D">
            <w:pPr>
              <w:keepNext w:val="0"/>
              <w:keepLines w:val="0"/>
              <w:suppressLineNumbers w:val="0"/>
              <w:spacing w:before="0" w:beforeAutospacing="0" w:after="0" w:afterAutospacing="0" w:line="360" w:lineRule="auto"/>
              <w:ind w:left="0" w:right="0" w:firstLine="480"/>
              <w:rPr>
                <w:rFonts w:hint="eastAsia"/>
                <w:color w:val="auto"/>
                <w:sz w:val="24"/>
              </w:rPr>
            </w:pPr>
            <w:r>
              <w:rPr>
                <w:rFonts w:hint="eastAsia"/>
                <w:color w:val="auto"/>
                <w:sz w:val="24"/>
              </w:rPr>
              <w:t>（1）</w:t>
            </w:r>
            <w:r>
              <w:rPr>
                <w:rFonts w:hint="default"/>
                <w:color w:val="auto"/>
                <w:sz w:val="24"/>
              </w:rPr>
              <w:t>废弃钻井泥浆</w:t>
            </w:r>
          </w:p>
          <w:p w14:paraId="181BE117">
            <w:pPr>
              <w:keepNext w:val="0"/>
              <w:keepLines w:val="0"/>
              <w:suppressLineNumbers w:val="0"/>
              <w:spacing w:before="0" w:beforeAutospacing="0" w:after="0" w:afterAutospacing="0" w:line="360" w:lineRule="auto"/>
              <w:ind w:left="0" w:right="0" w:firstLine="480"/>
              <w:rPr>
                <w:rFonts w:hint="default"/>
                <w:color w:val="auto"/>
                <w:sz w:val="24"/>
              </w:rPr>
            </w:pPr>
            <w:r>
              <w:rPr>
                <w:rFonts w:hint="default"/>
                <w:color w:val="auto"/>
                <w:sz w:val="24"/>
              </w:rPr>
              <w:t>废弃钻井泥浆是指在钻井过程中无法利用或钻井完工后剩余的泥浆，其产生量随井深和井径的不同而改变。废弃钻井泥浆产生量可按照经验公式推算：</w:t>
            </w:r>
          </w:p>
          <w:p w14:paraId="07C2ABD9">
            <w:pPr>
              <w:keepNext w:val="0"/>
              <w:keepLines w:val="0"/>
              <w:suppressLineNumbers w:val="0"/>
              <w:spacing w:before="0" w:beforeAutospacing="0" w:after="0" w:afterAutospacing="0" w:line="360" w:lineRule="auto"/>
              <w:ind w:left="0" w:right="0"/>
              <w:jc w:val="center"/>
              <w:rPr>
                <w:rFonts w:hint="default"/>
                <w:color w:val="auto"/>
                <w:sz w:val="24"/>
              </w:rPr>
            </w:pPr>
            <w:r>
              <w:rPr>
                <w:rFonts w:hint="default"/>
                <w:color w:val="auto"/>
                <w:sz w:val="24"/>
              </w:rPr>
              <w:t>V=0.125πD</w:t>
            </w:r>
            <w:r>
              <w:rPr>
                <w:rFonts w:hint="default"/>
                <w:color w:val="auto"/>
                <w:sz w:val="24"/>
                <w:vertAlign w:val="superscript"/>
              </w:rPr>
              <w:t>2</w:t>
            </w:r>
            <w:r>
              <w:rPr>
                <w:rFonts w:hint="default"/>
                <w:color w:val="auto"/>
                <w:sz w:val="24"/>
              </w:rPr>
              <w:t>h+18</w:t>
            </w:r>
            <w:r>
              <w:rPr>
                <w:rFonts w:hint="default"/>
                <w:color w:val="auto"/>
                <w:sz w:val="24"/>
                <w:highlight w:val="none"/>
              </w:rPr>
              <w:t>（</w:t>
            </w:r>
            <w:r>
              <w:rPr>
                <w:rFonts w:hint="default"/>
                <w:color w:val="auto"/>
                <w:sz w:val="24"/>
              </w:rPr>
              <w:t>h-1000</w:t>
            </w:r>
            <w:r>
              <w:rPr>
                <w:rFonts w:hint="default"/>
                <w:color w:val="auto"/>
                <w:sz w:val="24"/>
                <w:highlight w:val="none"/>
              </w:rPr>
              <w:t>）</w:t>
            </w:r>
            <w:r>
              <w:rPr>
                <w:rFonts w:hint="default"/>
                <w:color w:val="auto"/>
                <w:sz w:val="24"/>
              </w:rPr>
              <w:t>/500+116</w:t>
            </w:r>
          </w:p>
          <w:p w14:paraId="3EC5DD2D">
            <w:pPr>
              <w:keepNext w:val="0"/>
              <w:keepLines w:val="0"/>
              <w:suppressLineNumbers w:val="0"/>
              <w:spacing w:before="0" w:beforeAutospacing="0" w:after="0" w:afterAutospacing="0" w:line="360" w:lineRule="auto"/>
              <w:ind w:left="0" w:right="0" w:firstLine="480"/>
              <w:rPr>
                <w:rFonts w:hint="default"/>
                <w:color w:val="auto"/>
                <w:sz w:val="24"/>
              </w:rPr>
            </w:pPr>
            <w:r>
              <w:rPr>
                <w:rFonts w:hint="default"/>
                <w:color w:val="auto"/>
                <w:sz w:val="24"/>
              </w:rPr>
              <w:t>式中：V</w:t>
            </w:r>
            <w:r>
              <w:rPr>
                <w:rFonts w:hint="eastAsia"/>
                <w:color w:val="auto"/>
                <w:sz w:val="24"/>
                <w:highlight w:val="none"/>
              </w:rPr>
              <w:t>-</w:t>
            </w:r>
            <w:r>
              <w:rPr>
                <w:rFonts w:hint="eastAsia"/>
                <w:color w:val="auto"/>
                <w:sz w:val="24"/>
              </w:rPr>
              <w:t>废弃</w:t>
            </w:r>
            <w:r>
              <w:rPr>
                <w:rFonts w:hint="default"/>
                <w:color w:val="auto"/>
                <w:sz w:val="24"/>
              </w:rPr>
              <w:t>钻井泥浆产生量，m</w:t>
            </w:r>
            <w:r>
              <w:rPr>
                <w:rFonts w:hint="default"/>
                <w:color w:val="auto"/>
                <w:sz w:val="24"/>
                <w:vertAlign w:val="superscript"/>
              </w:rPr>
              <w:t>3</w:t>
            </w:r>
            <w:r>
              <w:rPr>
                <w:rFonts w:hint="default"/>
                <w:color w:val="auto"/>
                <w:sz w:val="24"/>
              </w:rPr>
              <w:t>；</w:t>
            </w:r>
          </w:p>
          <w:p w14:paraId="798B151B">
            <w:pPr>
              <w:keepNext w:val="0"/>
              <w:keepLines w:val="0"/>
              <w:suppressLineNumbers w:val="0"/>
              <w:spacing w:before="0" w:beforeAutospacing="0" w:after="0" w:afterAutospacing="0" w:line="360" w:lineRule="auto"/>
              <w:ind w:left="0" w:right="0" w:firstLine="1200" w:firstLineChars="500"/>
              <w:rPr>
                <w:rFonts w:hint="default"/>
                <w:color w:val="auto"/>
                <w:sz w:val="24"/>
              </w:rPr>
            </w:pPr>
            <w:r>
              <w:rPr>
                <w:rFonts w:hint="default"/>
                <w:color w:val="auto"/>
                <w:sz w:val="24"/>
              </w:rPr>
              <w:t>D</w:t>
            </w:r>
            <w:r>
              <w:rPr>
                <w:rFonts w:hint="eastAsia"/>
                <w:color w:val="auto"/>
                <w:sz w:val="24"/>
                <w:highlight w:val="none"/>
              </w:rPr>
              <w:t>-</w:t>
            </w:r>
            <w:r>
              <w:rPr>
                <w:rFonts w:hint="default"/>
                <w:color w:val="auto"/>
                <w:sz w:val="24"/>
              </w:rPr>
              <w:t>钻井的直径，m，一开0.</w:t>
            </w:r>
            <w:r>
              <w:rPr>
                <w:rFonts w:hint="eastAsia"/>
                <w:color w:val="auto"/>
                <w:sz w:val="24"/>
              </w:rPr>
              <w:t>3111</w:t>
            </w:r>
            <w:r>
              <w:rPr>
                <w:rFonts w:hint="default"/>
                <w:color w:val="auto"/>
                <w:sz w:val="24"/>
              </w:rPr>
              <w:t>m</w:t>
            </w:r>
            <w:r>
              <w:rPr>
                <w:rFonts w:hint="eastAsia"/>
                <w:color w:val="auto"/>
                <w:sz w:val="24"/>
              </w:rPr>
              <w:t>，</w:t>
            </w:r>
            <w:r>
              <w:rPr>
                <w:rFonts w:hint="default"/>
                <w:color w:val="auto"/>
                <w:sz w:val="24"/>
              </w:rPr>
              <w:t>二开</w:t>
            </w:r>
            <w:r>
              <w:rPr>
                <w:rFonts w:hint="eastAsia"/>
                <w:color w:val="auto"/>
                <w:sz w:val="24"/>
              </w:rPr>
              <w:t>0.2159m</w:t>
            </w:r>
            <w:r>
              <w:rPr>
                <w:rFonts w:hint="default"/>
                <w:color w:val="auto"/>
                <w:sz w:val="24"/>
              </w:rPr>
              <w:t>；</w:t>
            </w:r>
          </w:p>
          <w:p w14:paraId="507FD744">
            <w:pPr>
              <w:keepNext w:val="0"/>
              <w:keepLines w:val="0"/>
              <w:suppressLineNumbers w:val="0"/>
              <w:spacing w:before="0" w:beforeAutospacing="0" w:after="0" w:afterAutospacing="0" w:line="360" w:lineRule="auto"/>
              <w:ind w:left="0" w:right="0" w:firstLine="1200" w:firstLineChars="500"/>
              <w:rPr>
                <w:rFonts w:hint="default"/>
                <w:color w:val="auto"/>
                <w:sz w:val="24"/>
              </w:rPr>
            </w:pPr>
            <w:r>
              <w:rPr>
                <w:rFonts w:hint="default"/>
                <w:color w:val="auto"/>
                <w:sz w:val="24"/>
              </w:rPr>
              <w:t>h</w:t>
            </w:r>
            <w:r>
              <w:rPr>
                <w:rFonts w:hint="eastAsia"/>
                <w:color w:val="auto"/>
                <w:sz w:val="24"/>
                <w:highlight w:val="none"/>
              </w:rPr>
              <w:t>-</w:t>
            </w:r>
            <w:r>
              <w:rPr>
                <w:rFonts w:hint="default"/>
                <w:color w:val="auto"/>
                <w:sz w:val="24"/>
              </w:rPr>
              <w:t>钻井</w:t>
            </w:r>
            <w:r>
              <w:rPr>
                <w:rFonts w:hint="eastAsia"/>
                <w:color w:val="auto"/>
                <w:sz w:val="24"/>
                <w:lang w:eastAsia="zh-CN"/>
              </w:rPr>
              <w:t>地</w:t>
            </w:r>
            <w:r>
              <w:rPr>
                <w:rFonts w:hint="default"/>
                <w:color w:val="auto"/>
                <w:sz w:val="24"/>
              </w:rPr>
              <w:t>深度，m</w:t>
            </w:r>
            <w:r>
              <w:rPr>
                <w:rFonts w:hint="eastAsia"/>
                <w:color w:val="auto"/>
                <w:sz w:val="24"/>
              </w:rPr>
              <w:t>；</w:t>
            </w:r>
          </w:p>
          <w:p w14:paraId="217A2955">
            <w:pPr>
              <w:keepNext w:val="0"/>
              <w:keepLines w:val="0"/>
              <w:suppressLineNumbers w:val="0"/>
              <w:autoSpaceDE w:val="0"/>
              <w:autoSpaceDN w:val="0"/>
              <w:adjustRightInd w:val="0"/>
              <w:spacing w:before="0" w:beforeAutospacing="0" w:after="0" w:afterAutospacing="0"/>
              <w:ind w:left="0" w:right="0"/>
              <w:jc w:val="center"/>
              <w:rPr>
                <w:rFonts w:hint="default"/>
                <w:b/>
                <w:color w:val="auto"/>
                <w:kern w:val="0"/>
                <w:sz w:val="24"/>
                <w:szCs w:val="21"/>
              </w:rPr>
            </w:pPr>
            <w:r>
              <w:rPr>
                <w:rFonts w:hint="default"/>
                <w:b/>
                <w:color w:val="auto"/>
                <w:kern w:val="0"/>
                <w:sz w:val="24"/>
                <w:szCs w:val="21"/>
              </w:rPr>
              <w:t>表</w:t>
            </w:r>
            <w:r>
              <w:rPr>
                <w:rFonts w:hint="eastAsia"/>
                <w:b/>
                <w:color w:val="auto"/>
                <w:kern w:val="0"/>
                <w:sz w:val="24"/>
                <w:szCs w:val="21"/>
              </w:rPr>
              <w:t>4</w:t>
            </w:r>
            <w:r>
              <w:rPr>
                <w:rFonts w:hint="default"/>
                <w:b/>
                <w:color w:val="auto"/>
                <w:kern w:val="0"/>
                <w:sz w:val="24"/>
                <w:szCs w:val="21"/>
              </w:rPr>
              <w:t>-</w:t>
            </w:r>
            <w:r>
              <w:rPr>
                <w:rFonts w:hint="eastAsia"/>
                <w:b/>
                <w:color w:val="auto"/>
                <w:kern w:val="0"/>
                <w:sz w:val="24"/>
                <w:szCs w:val="21"/>
              </w:rPr>
              <w:t xml:space="preserve">4 </w:t>
            </w:r>
            <w:r>
              <w:rPr>
                <w:rFonts w:hint="default"/>
                <w:b/>
                <w:color w:val="auto"/>
                <w:kern w:val="0"/>
                <w:sz w:val="24"/>
                <w:szCs w:val="21"/>
              </w:rPr>
              <w:t>勘探期</w:t>
            </w:r>
            <w:r>
              <w:rPr>
                <w:rFonts w:hint="eastAsia"/>
                <w:b/>
                <w:color w:val="auto"/>
                <w:kern w:val="0"/>
                <w:sz w:val="24"/>
                <w:szCs w:val="21"/>
              </w:rPr>
              <w:t>废弃钻井泥浆产生量</w:t>
            </w:r>
          </w:p>
          <w:tbl>
            <w:tblPr>
              <w:tblStyle w:val="30"/>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2050"/>
              <w:gridCol w:w="2046"/>
              <w:gridCol w:w="1654"/>
              <w:gridCol w:w="2445"/>
            </w:tblGrid>
            <w:tr w14:paraId="7DB46A4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250" w:type="pct"/>
                  <w:noWrap w:val="0"/>
                  <w:vAlign w:val="center"/>
                </w:tcPr>
                <w:p w14:paraId="45B3889F">
                  <w:pPr>
                    <w:keepNext w:val="0"/>
                    <w:keepLines w:val="0"/>
                    <w:suppressLineNumbers w:val="0"/>
                    <w:spacing w:before="0" w:beforeAutospacing="0" w:after="0" w:afterAutospacing="0"/>
                    <w:ind w:left="0" w:right="0"/>
                    <w:jc w:val="center"/>
                    <w:rPr>
                      <w:rFonts w:hint="default"/>
                      <w:color w:val="auto"/>
                    </w:rPr>
                  </w:pPr>
                  <w:r>
                    <w:rPr>
                      <w:rFonts w:hint="eastAsia"/>
                      <w:color w:val="auto"/>
                    </w:rPr>
                    <w:t>序号</w:t>
                  </w:r>
                </w:p>
              </w:tc>
              <w:tc>
                <w:tcPr>
                  <w:tcW w:w="1248" w:type="pct"/>
                  <w:noWrap w:val="0"/>
                  <w:vAlign w:val="center"/>
                </w:tcPr>
                <w:p w14:paraId="2294CB55">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井号</w:t>
                  </w:r>
                </w:p>
              </w:tc>
              <w:tc>
                <w:tcPr>
                  <w:tcW w:w="1009" w:type="pct"/>
                  <w:noWrap w:val="0"/>
                  <w:vAlign w:val="center"/>
                </w:tcPr>
                <w:p w14:paraId="4F511180">
                  <w:pPr>
                    <w:keepNext w:val="0"/>
                    <w:keepLines w:val="0"/>
                    <w:suppressLineNumbers w:val="0"/>
                    <w:spacing w:before="0" w:beforeAutospacing="0" w:after="0" w:afterAutospacing="0"/>
                    <w:ind w:left="0" w:right="0"/>
                    <w:jc w:val="center"/>
                    <w:rPr>
                      <w:rFonts w:hint="default"/>
                      <w:color w:val="auto"/>
                    </w:rPr>
                  </w:pPr>
                  <w:r>
                    <w:rPr>
                      <w:rFonts w:hint="default"/>
                      <w:color w:val="auto"/>
                    </w:rPr>
                    <w:t>井深m</w:t>
                  </w:r>
                </w:p>
              </w:tc>
              <w:tc>
                <w:tcPr>
                  <w:tcW w:w="1491" w:type="pct"/>
                  <w:noWrap w:val="0"/>
                  <w:vAlign w:val="center"/>
                </w:tcPr>
                <w:p w14:paraId="6A98E524">
                  <w:pPr>
                    <w:keepNext w:val="0"/>
                    <w:keepLines w:val="0"/>
                    <w:suppressLineNumbers w:val="0"/>
                    <w:spacing w:before="0" w:beforeAutospacing="0" w:after="0" w:afterAutospacing="0"/>
                    <w:ind w:left="0" w:right="0"/>
                    <w:jc w:val="center"/>
                    <w:rPr>
                      <w:rFonts w:hint="eastAsia" w:eastAsia="宋体"/>
                      <w:color w:val="auto"/>
                      <w:vertAlign w:val="baseline"/>
                      <w:lang w:val="en-US" w:eastAsia="zh-CN"/>
                    </w:rPr>
                  </w:pPr>
                  <w:r>
                    <w:rPr>
                      <w:rFonts w:hint="eastAsia"/>
                      <w:color w:val="auto"/>
                    </w:rPr>
                    <w:t>废弃钻井泥浆产生m</w:t>
                  </w:r>
                  <w:r>
                    <w:rPr>
                      <w:rFonts w:hint="eastAsia"/>
                      <w:color w:val="auto"/>
                      <w:vertAlign w:val="superscript"/>
                    </w:rPr>
                    <w:t>3</w:t>
                  </w:r>
                  <w:r>
                    <w:rPr>
                      <w:rFonts w:hint="eastAsia"/>
                      <w:color w:val="auto"/>
                      <w:vertAlign w:val="baseline"/>
                      <w:lang w:val="en-US" w:eastAsia="zh-CN"/>
                    </w:rPr>
                    <w:t>/勘探期</w:t>
                  </w:r>
                </w:p>
              </w:tc>
            </w:tr>
            <w:tr w14:paraId="6913E91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250" w:type="pct"/>
                  <w:noWrap w:val="0"/>
                  <w:vAlign w:val="center"/>
                </w:tcPr>
                <w:p w14:paraId="53CDB48E">
                  <w:pPr>
                    <w:keepNext w:val="0"/>
                    <w:keepLines w:val="0"/>
                    <w:suppressLineNumbers w:val="0"/>
                    <w:spacing w:before="0" w:beforeAutospacing="0" w:after="0" w:afterAutospacing="0"/>
                    <w:ind w:left="0" w:right="0"/>
                    <w:jc w:val="center"/>
                    <w:rPr>
                      <w:rFonts w:hint="eastAsia"/>
                      <w:color w:val="auto"/>
                    </w:rPr>
                  </w:pPr>
                  <w:r>
                    <w:rPr>
                      <w:rFonts w:hint="eastAsia"/>
                      <w:color w:val="auto"/>
                    </w:rPr>
                    <w:t>1</w:t>
                  </w:r>
                </w:p>
              </w:tc>
              <w:tc>
                <w:tcPr>
                  <w:tcW w:w="1248" w:type="pct"/>
                  <w:noWrap w:val="0"/>
                  <w:vAlign w:val="center"/>
                </w:tcPr>
                <w:p w14:paraId="191AA81D">
                  <w:pPr>
                    <w:keepNext w:val="0"/>
                    <w:keepLines w:val="0"/>
                    <w:suppressLineNumbers w:val="0"/>
                    <w:adjustRightInd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eastAsia="zh-CN"/>
                    </w:rPr>
                    <w:t>扎格6</w:t>
                  </w:r>
                </w:p>
              </w:tc>
              <w:tc>
                <w:tcPr>
                  <w:tcW w:w="1009" w:type="pct"/>
                  <w:noWrap w:val="0"/>
                  <w:vAlign w:val="center"/>
                </w:tcPr>
                <w:p w14:paraId="4E0FF1A8">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6600</w:t>
                  </w:r>
                </w:p>
              </w:tc>
              <w:tc>
                <w:tcPr>
                  <w:tcW w:w="1491" w:type="pct"/>
                  <w:noWrap w:val="0"/>
                  <w:vAlign w:val="center"/>
                </w:tcPr>
                <w:p w14:paraId="641BDC4E">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549.86</w:t>
                  </w:r>
                </w:p>
              </w:tc>
            </w:tr>
          </w:tbl>
          <w:p w14:paraId="7996FD35">
            <w:pPr>
              <w:keepNext w:val="0"/>
              <w:keepLines w:val="0"/>
              <w:suppressLineNumbers w:val="0"/>
              <w:spacing w:before="0" w:beforeAutospacing="0" w:after="0" w:afterAutospacing="0" w:line="360" w:lineRule="auto"/>
              <w:ind w:left="0" w:right="0" w:firstLine="480"/>
              <w:rPr>
                <w:rFonts w:hint="eastAsia"/>
                <w:color w:val="auto"/>
                <w:sz w:val="24"/>
                <w:vertAlign w:val="baseline"/>
                <w:lang w:val="en-US" w:eastAsia="zh-CN"/>
              </w:rPr>
            </w:pPr>
            <w:r>
              <w:rPr>
                <w:rFonts w:hint="eastAsia"/>
                <w:color w:val="auto"/>
                <w:sz w:val="24"/>
              </w:rPr>
              <w:t>通过计算可知，</w:t>
            </w:r>
            <w:r>
              <w:rPr>
                <w:rFonts w:hint="eastAsia"/>
                <w:color w:val="auto"/>
                <w:sz w:val="24"/>
                <w:lang w:eastAsia="zh-CN"/>
              </w:rPr>
              <w:t>本工程</w:t>
            </w:r>
            <w:r>
              <w:rPr>
                <w:rFonts w:hint="default"/>
                <w:color w:val="auto"/>
                <w:sz w:val="24"/>
              </w:rPr>
              <w:t>废弃钻井泥浆产生量为</w:t>
            </w:r>
            <w:r>
              <w:rPr>
                <w:rFonts w:hint="eastAsia"/>
                <w:color w:val="auto"/>
                <w:sz w:val="24"/>
                <w:lang w:val="en-US" w:eastAsia="zh-CN"/>
              </w:rPr>
              <w:t>549.86</w:t>
            </w:r>
            <w:r>
              <w:rPr>
                <w:rFonts w:hint="default"/>
                <w:color w:val="auto"/>
                <w:sz w:val="24"/>
              </w:rPr>
              <w:t>m</w:t>
            </w:r>
            <w:r>
              <w:rPr>
                <w:rFonts w:hint="default"/>
                <w:color w:val="auto"/>
                <w:sz w:val="24"/>
                <w:vertAlign w:val="superscript"/>
              </w:rPr>
              <w:t>3</w:t>
            </w:r>
            <w:r>
              <w:rPr>
                <w:rFonts w:hint="eastAsia"/>
                <w:color w:val="auto"/>
                <w:sz w:val="24"/>
                <w:vertAlign w:val="baseline"/>
                <w:lang w:val="en-US" w:eastAsia="zh-CN"/>
              </w:rPr>
              <w:t>/勘探期。</w:t>
            </w:r>
          </w:p>
          <w:p w14:paraId="5B4E09BF">
            <w:pPr>
              <w:keepNext w:val="0"/>
              <w:keepLines w:val="0"/>
              <w:suppressLineNumbers w:val="0"/>
              <w:spacing w:before="0" w:beforeAutospacing="0" w:after="0" w:afterAutospacing="0" w:line="360" w:lineRule="auto"/>
              <w:ind w:left="0" w:right="0" w:firstLine="480"/>
              <w:rPr>
                <w:rFonts w:hint="default"/>
                <w:color w:val="auto"/>
                <w:sz w:val="24"/>
              </w:rPr>
            </w:pPr>
            <w:r>
              <w:rPr>
                <w:rFonts w:hint="eastAsia"/>
                <w:color w:val="auto"/>
                <w:sz w:val="24"/>
              </w:rPr>
              <w:t>（2）</w:t>
            </w:r>
            <w:r>
              <w:rPr>
                <w:rFonts w:hint="default"/>
                <w:color w:val="auto"/>
                <w:sz w:val="24"/>
              </w:rPr>
              <w:t>钻井岩屑</w:t>
            </w:r>
          </w:p>
          <w:p w14:paraId="722B446D">
            <w:pPr>
              <w:keepNext w:val="0"/>
              <w:keepLines w:val="0"/>
              <w:suppressLineNumbers w:val="0"/>
              <w:spacing w:before="0" w:beforeAutospacing="0" w:after="0" w:afterAutospacing="0" w:line="360" w:lineRule="auto"/>
              <w:ind w:left="0" w:right="0" w:firstLine="480"/>
              <w:rPr>
                <w:rFonts w:hint="default"/>
                <w:color w:val="auto"/>
                <w:sz w:val="24"/>
              </w:rPr>
            </w:pPr>
            <w:r>
              <w:rPr>
                <w:rFonts w:hint="default"/>
                <w:color w:val="auto"/>
                <w:sz w:val="24"/>
              </w:rPr>
              <w:t>钻井过程中，岩石被钻头破碎成岩屑，其中50%混入泥浆中，其余经泥浆循环泵带出井口。钻井岩屑的产生量可按经验公式计算：</w:t>
            </w:r>
          </w:p>
          <w:p w14:paraId="5D3B39E8">
            <w:pPr>
              <w:keepNext w:val="0"/>
              <w:keepLines w:val="0"/>
              <w:suppressLineNumbers w:val="0"/>
              <w:spacing w:before="0" w:beforeAutospacing="0" w:after="0" w:afterAutospacing="0" w:line="360" w:lineRule="auto"/>
              <w:ind w:left="0" w:right="0"/>
              <w:jc w:val="center"/>
              <w:rPr>
                <w:rFonts w:hint="default"/>
                <w:color w:val="auto"/>
                <w:sz w:val="24"/>
              </w:rPr>
            </w:pPr>
            <w:r>
              <w:rPr>
                <w:rFonts w:hint="default"/>
                <w:color w:val="auto"/>
                <w:sz w:val="24"/>
              </w:rPr>
              <w:t>W=πD</w:t>
            </w:r>
            <w:r>
              <w:rPr>
                <w:rFonts w:hint="default"/>
                <w:color w:val="auto"/>
                <w:sz w:val="24"/>
                <w:vertAlign w:val="superscript"/>
              </w:rPr>
              <w:t>2</w:t>
            </w:r>
            <w:r>
              <w:rPr>
                <w:rFonts w:hint="default"/>
                <w:color w:val="auto"/>
                <w:sz w:val="24"/>
              </w:rPr>
              <w:t>hd/4×50%</w:t>
            </w:r>
          </w:p>
          <w:p w14:paraId="0EE43ECB">
            <w:pPr>
              <w:keepNext w:val="0"/>
              <w:keepLines w:val="0"/>
              <w:suppressLineNumbers w:val="0"/>
              <w:spacing w:before="0" w:beforeAutospacing="0" w:after="0" w:afterAutospacing="0" w:line="360" w:lineRule="auto"/>
              <w:ind w:left="0" w:right="0" w:firstLine="480"/>
              <w:rPr>
                <w:rFonts w:hint="default"/>
                <w:color w:val="auto"/>
                <w:sz w:val="24"/>
              </w:rPr>
            </w:pPr>
            <w:r>
              <w:rPr>
                <w:rFonts w:hint="default"/>
                <w:color w:val="auto"/>
                <w:sz w:val="24"/>
              </w:rPr>
              <w:t>式中：W—井场岩屑产生量，t；</w:t>
            </w:r>
          </w:p>
          <w:p w14:paraId="0C9128FF">
            <w:pPr>
              <w:keepNext w:val="0"/>
              <w:keepLines w:val="0"/>
              <w:suppressLineNumbers w:val="0"/>
              <w:spacing w:before="0" w:beforeAutospacing="0" w:after="0" w:afterAutospacing="0" w:line="360" w:lineRule="auto"/>
              <w:ind w:left="0" w:right="0" w:firstLine="1200" w:firstLineChars="500"/>
              <w:rPr>
                <w:rFonts w:hint="default"/>
                <w:color w:val="auto"/>
                <w:sz w:val="24"/>
              </w:rPr>
            </w:pPr>
            <w:r>
              <w:rPr>
                <w:rFonts w:hint="default"/>
                <w:color w:val="auto"/>
                <w:sz w:val="24"/>
              </w:rPr>
              <w:t>D</w:t>
            </w:r>
            <w:r>
              <w:rPr>
                <w:rFonts w:hint="eastAsia"/>
                <w:color w:val="auto"/>
                <w:sz w:val="24"/>
                <w:highlight w:val="none"/>
              </w:rPr>
              <w:t>-</w:t>
            </w:r>
            <w:r>
              <w:rPr>
                <w:rFonts w:hint="default"/>
                <w:color w:val="auto"/>
                <w:sz w:val="24"/>
              </w:rPr>
              <w:t>钻井直径，m，一开0.</w:t>
            </w:r>
            <w:r>
              <w:rPr>
                <w:rFonts w:hint="eastAsia"/>
                <w:color w:val="auto"/>
                <w:sz w:val="24"/>
              </w:rPr>
              <w:t>3111</w:t>
            </w:r>
            <w:r>
              <w:rPr>
                <w:rFonts w:hint="default"/>
                <w:color w:val="auto"/>
                <w:sz w:val="24"/>
              </w:rPr>
              <w:t>m</w:t>
            </w:r>
            <w:r>
              <w:rPr>
                <w:rFonts w:hint="eastAsia"/>
                <w:color w:val="auto"/>
                <w:sz w:val="24"/>
              </w:rPr>
              <w:t>，</w:t>
            </w:r>
            <w:r>
              <w:rPr>
                <w:rFonts w:hint="default"/>
                <w:color w:val="auto"/>
                <w:sz w:val="24"/>
              </w:rPr>
              <w:t>二开</w:t>
            </w:r>
            <w:r>
              <w:rPr>
                <w:rFonts w:hint="eastAsia"/>
                <w:color w:val="auto"/>
                <w:sz w:val="24"/>
              </w:rPr>
              <w:t>0.2159m</w:t>
            </w:r>
            <w:r>
              <w:rPr>
                <w:rFonts w:hint="default"/>
                <w:color w:val="auto"/>
                <w:sz w:val="24"/>
              </w:rPr>
              <w:t>；</w:t>
            </w:r>
          </w:p>
          <w:p w14:paraId="6D03D539">
            <w:pPr>
              <w:keepNext w:val="0"/>
              <w:keepLines w:val="0"/>
              <w:suppressLineNumbers w:val="0"/>
              <w:spacing w:before="0" w:beforeAutospacing="0" w:after="0" w:afterAutospacing="0" w:line="360" w:lineRule="auto"/>
              <w:ind w:left="0" w:right="0" w:firstLine="1200" w:firstLineChars="500"/>
              <w:rPr>
                <w:rFonts w:hint="default"/>
                <w:color w:val="auto"/>
                <w:sz w:val="24"/>
              </w:rPr>
            </w:pPr>
            <w:r>
              <w:rPr>
                <w:rFonts w:hint="default"/>
                <w:color w:val="auto"/>
                <w:sz w:val="24"/>
              </w:rPr>
              <w:t>h</w:t>
            </w:r>
            <w:r>
              <w:rPr>
                <w:rFonts w:hint="eastAsia"/>
                <w:color w:val="auto"/>
                <w:sz w:val="24"/>
                <w:highlight w:val="none"/>
              </w:rPr>
              <w:t>-</w:t>
            </w:r>
            <w:r>
              <w:rPr>
                <w:rFonts w:hint="default"/>
                <w:color w:val="auto"/>
                <w:sz w:val="24"/>
              </w:rPr>
              <w:t>钻井深度，m；</w:t>
            </w:r>
          </w:p>
          <w:p w14:paraId="6CCE25D9">
            <w:pPr>
              <w:keepNext w:val="0"/>
              <w:keepLines w:val="0"/>
              <w:suppressLineNumbers w:val="0"/>
              <w:spacing w:before="0" w:beforeAutospacing="0" w:after="0" w:afterAutospacing="0" w:line="360" w:lineRule="auto"/>
              <w:ind w:left="0" w:right="0" w:firstLine="1200" w:firstLineChars="500"/>
              <w:rPr>
                <w:rFonts w:hint="default"/>
                <w:color w:val="auto"/>
                <w:sz w:val="24"/>
              </w:rPr>
            </w:pPr>
            <w:r>
              <w:rPr>
                <w:rFonts w:hint="default"/>
                <w:color w:val="auto"/>
                <w:sz w:val="24"/>
              </w:rPr>
              <w:t>d</w:t>
            </w:r>
            <w:r>
              <w:rPr>
                <w:rFonts w:hint="eastAsia"/>
                <w:color w:val="auto"/>
                <w:sz w:val="24"/>
                <w:highlight w:val="none"/>
              </w:rPr>
              <w:t>-</w:t>
            </w:r>
            <w:r>
              <w:rPr>
                <w:rFonts w:hint="default"/>
                <w:color w:val="auto"/>
                <w:sz w:val="24"/>
              </w:rPr>
              <w:t>岩石密度，t/m</w:t>
            </w:r>
            <w:r>
              <w:rPr>
                <w:rFonts w:hint="default"/>
                <w:color w:val="auto"/>
                <w:sz w:val="24"/>
                <w:vertAlign w:val="superscript"/>
              </w:rPr>
              <w:t>3</w:t>
            </w:r>
            <w:r>
              <w:rPr>
                <w:rFonts w:hint="default"/>
                <w:color w:val="auto"/>
                <w:sz w:val="24"/>
              </w:rPr>
              <w:t>，取2.2t/m</w:t>
            </w:r>
            <w:r>
              <w:rPr>
                <w:rFonts w:hint="default"/>
                <w:color w:val="auto"/>
                <w:sz w:val="24"/>
                <w:vertAlign w:val="superscript"/>
              </w:rPr>
              <w:t>3</w:t>
            </w:r>
            <w:r>
              <w:rPr>
                <w:rFonts w:hint="default"/>
                <w:color w:val="auto"/>
                <w:sz w:val="24"/>
              </w:rPr>
              <w:t>。</w:t>
            </w:r>
          </w:p>
          <w:p w14:paraId="6C37719B">
            <w:pPr>
              <w:keepNext w:val="0"/>
              <w:keepLines w:val="0"/>
              <w:suppressLineNumbers w:val="0"/>
              <w:autoSpaceDE w:val="0"/>
              <w:autoSpaceDN w:val="0"/>
              <w:adjustRightInd w:val="0"/>
              <w:spacing w:before="0" w:beforeAutospacing="0" w:after="0" w:afterAutospacing="0"/>
              <w:ind w:left="0" w:right="0"/>
              <w:jc w:val="center"/>
              <w:rPr>
                <w:rFonts w:hint="default"/>
                <w:b/>
                <w:color w:val="auto"/>
                <w:kern w:val="0"/>
                <w:sz w:val="24"/>
                <w:szCs w:val="21"/>
              </w:rPr>
            </w:pPr>
            <w:r>
              <w:rPr>
                <w:rFonts w:hint="default"/>
                <w:b/>
                <w:color w:val="auto"/>
                <w:kern w:val="0"/>
                <w:sz w:val="24"/>
                <w:szCs w:val="21"/>
              </w:rPr>
              <w:t>表</w:t>
            </w:r>
            <w:r>
              <w:rPr>
                <w:rFonts w:hint="eastAsia"/>
                <w:b/>
                <w:color w:val="auto"/>
                <w:kern w:val="0"/>
                <w:sz w:val="24"/>
                <w:szCs w:val="21"/>
              </w:rPr>
              <w:t>4</w:t>
            </w:r>
            <w:r>
              <w:rPr>
                <w:rFonts w:hint="default"/>
                <w:b/>
                <w:color w:val="auto"/>
                <w:kern w:val="0"/>
                <w:sz w:val="24"/>
                <w:szCs w:val="21"/>
              </w:rPr>
              <w:t>-</w:t>
            </w:r>
            <w:r>
              <w:rPr>
                <w:rFonts w:hint="eastAsia"/>
                <w:b/>
                <w:color w:val="auto"/>
                <w:kern w:val="0"/>
                <w:sz w:val="24"/>
                <w:szCs w:val="21"/>
              </w:rPr>
              <w:t xml:space="preserve">5 </w:t>
            </w:r>
            <w:r>
              <w:rPr>
                <w:rFonts w:hint="default"/>
                <w:b/>
                <w:color w:val="auto"/>
                <w:kern w:val="0"/>
                <w:sz w:val="24"/>
                <w:szCs w:val="21"/>
              </w:rPr>
              <w:t>勘探期</w:t>
            </w:r>
            <w:r>
              <w:rPr>
                <w:rFonts w:hint="eastAsia"/>
                <w:b/>
                <w:color w:val="auto"/>
                <w:kern w:val="0"/>
                <w:sz w:val="24"/>
                <w:szCs w:val="21"/>
              </w:rPr>
              <w:t>钻井岩屑产生量</w:t>
            </w:r>
          </w:p>
          <w:tbl>
            <w:tblPr>
              <w:tblStyle w:val="30"/>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703"/>
              <w:gridCol w:w="1572"/>
              <w:gridCol w:w="1641"/>
              <w:gridCol w:w="1639"/>
              <w:gridCol w:w="1640"/>
            </w:tblGrid>
            <w:tr w14:paraId="58697D9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68" w:hRule="atLeast"/>
              </w:trPr>
              <w:tc>
                <w:tcPr>
                  <w:tcW w:w="1039" w:type="pct"/>
                  <w:noWrap w:val="0"/>
                  <w:vAlign w:val="center"/>
                </w:tcPr>
                <w:p w14:paraId="4F88CD74">
                  <w:pPr>
                    <w:keepNext w:val="0"/>
                    <w:keepLines w:val="0"/>
                    <w:suppressLineNumbers w:val="0"/>
                    <w:spacing w:before="0" w:beforeAutospacing="0" w:after="0" w:afterAutospacing="0"/>
                    <w:ind w:left="0" w:right="0"/>
                    <w:jc w:val="center"/>
                    <w:rPr>
                      <w:rFonts w:hint="default"/>
                      <w:color w:val="auto"/>
                    </w:rPr>
                  </w:pPr>
                  <w:r>
                    <w:rPr>
                      <w:rFonts w:hint="eastAsia"/>
                      <w:color w:val="auto"/>
                    </w:rPr>
                    <w:t>名称</w:t>
                  </w:r>
                </w:p>
              </w:tc>
              <w:tc>
                <w:tcPr>
                  <w:tcW w:w="959" w:type="pct"/>
                  <w:noWrap w:val="0"/>
                  <w:vAlign w:val="center"/>
                </w:tcPr>
                <w:p w14:paraId="7A9F2898">
                  <w:pPr>
                    <w:keepNext w:val="0"/>
                    <w:keepLines w:val="0"/>
                    <w:suppressLineNumbers w:val="0"/>
                    <w:spacing w:before="0" w:beforeAutospacing="0" w:after="0" w:afterAutospacing="0"/>
                    <w:ind w:left="0" w:right="0"/>
                    <w:jc w:val="center"/>
                    <w:rPr>
                      <w:rFonts w:hint="default"/>
                      <w:color w:val="auto"/>
                    </w:rPr>
                  </w:pPr>
                  <w:r>
                    <w:rPr>
                      <w:rFonts w:hint="default"/>
                      <w:color w:val="auto"/>
                    </w:rPr>
                    <w:t>井号</w:t>
                  </w:r>
                </w:p>
              </w:tc>
              <w:tc>
                <w:tcPr>
                  <w:tcW w:w="1001" w:type="pct"/>
                  <w:noWrap w:val="0"/>
                  <w:vAlign w:val="center"/>
                </w:tcPr>
                <w:p w14:paraId="00B325FF">
                  <w:pPr>
                    <w:keepNext w:val="0"/>
                    <w:keepLines w:val="0"/>
                    <w:suppressLineNumbers w:val="0"/>
                    <w:spacing w:before="0" w:beforeAutospacing="0" w:after="0" w:afterAutospacing="0"/>
                    <w:ind w:left="0" w:right="0"/>
                    <w:jc w:val="center"/>
                    <w:rPr>
                      <w:rFonts w:hint="eastAsia"/>
                      <w:color w:val="auto"/>
                    </w:rPr>
                  </w:pPr>
                  <w:r>
                    <w:rPr>
                      <w:rFonts w:hint="default"/>
                      <w:color w:val="auto"/>
                    </w:rPr>
                    <w:t>井深</w:t>
                  </w:r>
                </w:p>
                <w:p w14:paraId="1AD1D330">
                  <w:pPr>
                    <w:keepNext w:val="0"/>
                    <w:keepLines w:val="0"/>
                    <w:suppressLineNumbers w:val="0"/>
                    <w:spacing w:before="0" w:beforeAutospacing="0" w:after="0" w:afterAutospacing="0"/>
                    <w:ind w:left="0" w:right="0"/>
                    <w:jc w:val="center"/>
                    <w:rPr>
                      <w:rFonts w:hint="default"/>
                      <w:color w:val="auto"/>
                    </w:rPr>
                  </w:pPr>
                  <w:r>
                    <w:rPr>
                      <w:rFonts w:hint="default"/>
                      <w:color w:val="auto"/>
                    </w:rPr>
                    <w:t>m</w:t>
                  </w:r>
                </w:p>
              </w:tc>
              <w:tc>
                <w:tcPr>
                  <w:tcW w:w="1000" w:type="pct"/>
                  <w:noWrap w:val="0"/>
                  <w:vAlign w:val="center"/>
                </w:tcPr>
                <w:p w14:paraId="10DA2342">
                  <w:pPr>
                    <w:keepNext w:val="0"/>
                    <w:keepLines w:val="0"/>
                    <w:suppressLineNumbers w:val="0"/>
                    <w:spacing w:before="0" w:beforeAutospacing="0" w:after="0" w:afterAutospacing="0"/>
                    <w:ind w:left="0" w:right="0"/>
                    <w:jc w:val="center"/>
                    <w:rPr>
                      <w:rFonts w:hint="default"/>
                      <w:color w:val="auto"/>
                    </w:rPr>
                  </w:pPr>
                  <w:r>
                    <w:rPr>
                      <w:rFonts w:hint="eastAsia"/>
                      <w:color w:val="auto"/>
                    </w:rPr>
                    <w:t>废弃钻井岩屑产生量t</w:t>
                  </w:r>
                  <w:r>
                    <w:rPr>
                      <w:rFonts w:hint="eastAsia"/>
                      <w:color w:val="auto"/>
                      <w:lang w:val="en-US" w:eastAsia="zh-CN"/>
                    </w:rPr>
                    <w:t>/勘探期</w:t>
                  </w:r>
                </w:p>
              </w:tc>
              <w:tc>
                <w:tcPr>
                  <w:tcW w:w="1000" w:type="pct"/>
                  <w:noWrap w:val="0"/>
                  <w:vAlign w:val="center"/>
                </w:tcPr>
                <w:p w14:paraId="28D15067">
                  <w:pPr>
                    <w:keepNext w:val="0"/>
                    <w:keepLines w:val="0"/>
                    <w:suppressLineNumbers w:val="0"/>
                    <w:spacing w:before="0" w:beforeAutospacing="0" w:after="0" w:afterAutospacing="0"/>
                    <w:ind w:left="0" w:right="0"/>
                    <w:jc w:val="center"/>
                    <w:rPr>
                      <w:rFonts w:hint="eastAsia"/>
                      <w:color w:val="auto"/>
                      <w:vertAlign w:val="baseline"/>
                    </w:rPr>
                  </w:pPr>
                  <w:r>
                    <w:rPr>
                      <w:rFonts w:hint="eastAsia"/>
                      <w:color w:val="auto"/>
                    </w:rPr>
                    <w:t>废弃钻井岩屑产生量m</w:t>
                  </w:r>
                  <w:r>
                    <w:rPr>
                      <w:rFonts w:hint="eastAsia"/>
                      <w:color w:val="auto"/>
                      <w:vertAlign w:val="superscript"/>
                    </w:rPr>
                    <w:t>3</w:t>
                  </w:r>
                  <w:r>
                    <w:rPr>
                      <w:rFonts w:hint="eastAsia"/>
                      <w:color w:val="auto"/>
                      <w:vertAlign w:val="baseline"/>
                      <w:lang w:val="en-US" w:eastAsia="zh-CN"/>
                    </w:rPr>
                    <w:t>/勘探期</w:t>
                  </w:r>
                </w:p>
              </w:tc>
            </w:tr>
            <w:tr w14:paraId="6BD5541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039" w:type="pct"/>
                  <w:noWrap w:val="0"/>
                  <w:vAlign w:val="center"/>
                </w:tcPr>
                <w:p w14:paraId="240244C2">
                  <w:pPr>
                    <w:keepNext w:val="0"/>
                    <w:keepLines w:val="0"/>
                    <w:suppressLineNumbers w:val="0"/>
                    <w:spacing w:before="0" w:beforeAutospacing="0" w:after="0" w:afterAutospacing="0"/>
                    <w:ind w:left="0" w:right="0"/>
                    <w:jc w:val="center"/>
                    <w:rPr>
                      <w:rFonts w:hint="eastAsia"/>
                      <w:color w:val="auto"/>
                    </w:rPr>
                  </w:pPr>
                  <w:r>
                    <w:rPr>
                      <w:rFonts w:hint="eastAsia"/>
                      <w:color w:val="auto"/>
                    </w:rPr>
                    <w:t>1</w:t>
                  </w:r>
                </w:p>
              </w:tc>
              <w:tc>
                <w:tcPr>
                  <w:tcW w:w="1572" w:type="dxa"/>
                  <w:noWrap w:val="0"/>
                  <w:vAlign w:val="center"/>
                </w:tcPr>
                <w:p w14:paraId="65A33A3A">
                  <w:pPr>
                    <w:keepNext w:val="0"/>
                    <w:keepLines w:val="0"/>
                    <w:suppressLineNumbers w:val="0"/>
                    <w:adjustRightInd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eastAsia="zh-CN"/>
                    </w:rPr>
                    <w:t>扎格6</w:t>
                  </w:r>
                </w:p>
              </w:tc>
              <w:tc>
                <w:tcPr>
                  <w:tcW w:w="1641" w:type="dxa"/>
                  <w:noWrap w:val="0"/>
                  <w:vAlign w:val="center"/>
                </w:tcPr>
                <w:p w14:paraId="5CF8948F">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6600</w:t>
                  </w:r>
                </w:p>
              </w:tc>
              <w:tc>
                <w:tcPr>
                  <w:tcW w:w="1000" w:type="pct"/>
                  <w:noWrap w:val="0"/>
                  <w:vAlign w:val="center"/>
                </w:tcPr>
                <w:p w14:paraId="23529E49">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334.97</w:t>
                  </w:r>
                </w:p>
              </w:tc>
              <w:tc>
                <w:tcPr>
                  <w:tcW w:w="1000" w:type="pct"/>
                  <w:noWrap w:val="0"/>
                  <w:vAlign w:val="center"/>
                </w:tcPr>
                <w:p w14:paraId="47E75F21">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eastAsia="宋体"/>
                      <w:color w:val="auto"/>
                      <w:lang w:val="en-US" w:eastAsia="zh-CN"/>
                    </w:rPr>
                    <w:t>152.26</w:t>
                  </w:r>
                </w:p>
              </w:tc>
            </w:tr>
          </w:tbl>
          <w:p w14:paraId="0DEECBDC">
            <w:pPr>
              <w:keepNext w:val="0"/>
              <w:keepLines w:val="0"/>
              <w:suppressLineNumbers w:val="0"/>
              <w:spacing w:before="0" w:beforeAutospacing="0" w:after="0" w:afterAutospacing="0" w:line="360" w:lineRule="auto"/>
              <w:ind w:left="0" w:right="0" w:firstLine="480"/>
              <w:rPr>
                <w:rFonts w:hint="default"/>
                <w:color w:val="auto"/>
                <w:sz w:val="24"/>
                <w:highlight w:val="none"/>
              </w:rPr>
            </w:pPr>
            <w:r>
              <w:rPr>
                <w:rFonts w:hint="default"/>
                <w:color w:val="auto"/>
                <w:sz w:val="24"/>
              </w:rPr>
              <w:t>计算可知</w:t>
            </w:r>
            <w:r>
              <w:rPr>
                <w:rFonts w:hint="eastAsia"/>
                <w:color w:val="auto"/>
                <w:sz w:val="24"/>
              </w:rPr>
              <w:t>，</w:t>
            </w:r>
            <w:r>
              <w:rPr>
                <w:rFonts w:hint="eastAsia"/>
                <w:color w:val="auto"/>
                <w:sz w:val="24"/>
                <w:lang w:eastAsia="zh-CN"/>
              </w:rPr>
              <w:t>本工程</w:t>
            </w:r>
            <w:r>
              <w:rPr>
                <w:rFonts w:hint="eastAsia"/>
                <w:color w:val="auto"/>
                <w:sz w:val="24"/>
              </w:rPr>
              <w:t>废弃钻</w:t>
            </w:r>
            <w:r>
              <w:rPr>
                <w:rFonts w:hint="eastAsia"/>
                <w:color w:val="auto"/>
                <w:sz w:val="24"/>
                <w:highlight w:val="none"/>
              </w:rPr>
              <w:t>井岩屑产生量为</w:t>
            </w:r>
            <w:r>
              <w:rPr>
                <w:rFonts w:hint="eastAsia"/>
                <w:color w:val="auto"/>
                <w:sz w:val="24"/>
                <w:highlight w:val="none"/>
                <w:lang w:val="en-US" w:eastAsia="zh-CN"/>
              </w:rPr>
              <w:t>152.26</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vertAlign w:val="baseline"/>
                <w:lang w:val="en-US" w:eastAsia="zh-CN"/>
              </w:rPr>
              <w:t>/勘探期</w:t>
            </w:r>
            <w:r>
              <w:rPr>
                <w:rFonts w:hint="eastAsia"/>
                <w:color w:val="auto"/>
                <w:sz w:val="24"/>
                <w:highlight w:val="none"/>
              </w:rPr>
              <w:t>（</w:t>
            </w:r>
            <w:r>
              <w:rPr>
                <w:rFonts w:hint="eastAsia"/>
                <w:color w:val="auto"/>
                <w:sz w:val="24"/>
                <w:highlight w:val="none"/>
                <w:lang w:val="en-US" w:eastAsia="zh-CN"/>
              </w:rPr>
              <w:t>334.97</w:t>
            </w:r>
            <w:r>
              <w:rPr>
                <w:rFonts w:hint="eastAsia"/>
                <w:color w:val="auto"/>
                <w:sz w:val="24"/>
                <w:highlight w:val="none"/>
              </w:rPr>
              <w:t>t</w:t>
            </w:r>
            <w:r>
              <w:rPr>
                <w:rFonts w:hint="eastAsia"/>
                <w:color w:val="auto"/>
                <w:sz w:val="24"/>
                <w:highlight w:val="none"/>
                <w:lang w:val="en-US" w:eastAsia="zh-CN"/>
              </w:rPr>
              <w:t>/勘探期</w:t>
            </w:r>
            <w:r>
              <w:rPr>
                <w:rFonts w:hint="eastAsia"/>
                <w:color w:val="auto"/>
                <w:sz w:val="24"/>
                <w:highlight w:val="none"/>
              </w:rPr>
              <w:t>）。</w:t>
            </w:r>
          </w:p>
          <w:p w14:paraId="03B78FA5">
            <w:pPr>
              <w:keepNext w:val="0"/>
              <w:keepLines w:val="0"/>
              <w:suppressLineNumbers w:val="0"/>
              <w:snapToGrid w:val="0"/>
              <w:spacing w:before="0" w:beforeAutospacing="0" w:after="0" w:afterAutospacing="0" w:line="360" w:lineRule="auto"/>
              <w:ind w:left="0" w:right="0" w:firstLine="480" w:firstLineChars="200"/>
              <w:jc w:val="left"/>
              <w:rPr>
                <w:rFonts w:hint="default"/>
                <w:color w:val="auto"/>
                <w:sz w:val="24"/>
                <w:highlight w:val="none"/>
              </w:rPr>
            </w:pPr>
            <w:r>
              <w:rPr>
                <w:rFonts w:hint="eastAsia"/>
                <w:bCs/>
                <w:color w:val="auto"/>
                <w:sz w:val="24"/>
                <w:highlight w:val="none"/>
                <w:lang w:eastAsia="zh-CN"/>
              </w:rPr>
              <w:t>本工程</w:t>
            </w:r>
            <w:r>
              <w:rPr>
                <w:rFonts w:hint="default"/>
                <w:bCs/>
                <w:color w:val="auto"/>
                <w:sz w:val="24"/>
                <w:highlight w:val="none"/>
              </w:rPr>
              <w:t>采用水基型钻井泥浆，根据《国家危险废物名录》（202</w:t>
            </w:r>
            <w:r>
              <w:rPr>
                <w:rFonts w:hint="eastAsia"/>
                <w:bCs/>
                <w:color w:val="auto"/>
                <w:sz w:val="24"/>
                <w:highlight w:val="none"/>
                <w:lang w:val="en-US" w:eastAsia="zh-CN"/>
              </w:rPr>
              <w:t>5</w:t>
            </w:r>
            <w:r>
              <w:rPr>
                <w:rFonts w:hint="default"/>
                <w:bCs/>
                <w:color w:val="auto"/>
                <w:sz w:val="24"/>
                <w:highlight w:val="none"/>
              </w:rPr>
              <w:t>年）以及《关于发布〈危险废物排除管理清单（2021年版）〉的公告》（生</w:t>
            </w:r>
            <w:r>
              <w:rPr>
                <w:rFonts w:hint="default"/>
                <w:bCs/>
                <w:color w:val="auto"/>
                <w:sz w:val="24"/>
              </w:rPr>
              <w:t>态环境部公告2021年第</w:t>
            </w:r>
            <w:r>
              <w:rPr>
                <w:rFonts w:hint="default"/>
                <w:bCs/>
                <w:color w:val="auto"/>
                <w:sz w:val="24"/>
                <w:highlight w:val="none"/>
              </w:rPr>
              <w:t>66号）判定</w:t>
            </w:r>
            <w:r>
              <w:rPr>
                <w:rFonts w:hint="eastAsia"/>
                <w:bCs/>
                <w:color w:val="auto"/>
                <w:sz w:val="24"/>
                <w:highlight w:val="none"/>
                <w:lang w:eastAsia="zh-CN"/>
              </w:rPr>
              <w:t>本工程</w:t>
            </w:r>
            <w:r>
              <w:rPr>
                <w:rFonts w:hint="default"/>
                <w:bCs/>
                <w:color w:val="auto"/>
                <w:sz w:val="24"/>
                <w:highlight w:val="none"/>
              </w:rPr>
              <w:t>经固液分离后的固相废弃物</w:t>
            </w:r>
            <w:r>
              <w:rPr>
                <w:rFonts w:hint="eastAsia"/>
                <w:bCs/>
                <w:color w:val="auto"/>
                <w:sz w:val="24"/>
                <w:highlight w:val="none"/>
              </w:rPr>
              <w:t>（</w:t>
            </w:r>
            <w:r>
              <w:rPr>
                <w:rFonts w:hint="default"/>
                <w:bCs/>
                <w:color w:val="auto"/>
                <w:sz w:val="24"/>
                <w:highlight w:val="none"/>
              </w:rPr>
              <w:t>泥饼</w:t>
            </w:r>
            <w:r>
              <w:rPr>
                <w:rFonts w:hint="eastAsia"/>
                <w:bCs/>
                <w:color w:val="auto"/>
                <w:sz w:val="24"/>
                <w:highlight w:val="none"/>
              </w:rPr>
              <w:t>）</w:t>
            </w:r>
            <w:r>
              <w:rPr>
                <w:rFonts w:hint="default"/>
                <w:bCs/>
                <w:color w:val="auto"/>
                <w:sz w:val="24"/>
                <w:highlight w:val="none"/>
              </w:rPr>
              <w:t>为一般工业固体废物。</w:t>
            </w:r>
          </w:p>
          <w:p w14:paraId="59F81E88">
            <w:pPr>
              <w:keepNext w:val="0"/>
              <w:keepLines w:val="0"/>
              <w:suppressLineNumbers w:val="0"/>
              <w:spacing w:before="0" w:beforeAutospacing="0" w:after="0" w:afterAutospacing="0" w:line="360" w:lineRule="auto"/>
              <w:ind w:left="0" w:right="0" w:firstLine="480"/>
              <w:rPr>
                <w:rFonts w:hint="default"/>
                <w:color w:val="auto"/>
                <w:sz w:val="24"/>
              </w:rPr>
            </w:pPr>
            <w:r>
              <w:rPr>
                <w:rFonts w:hint="default"/>
                <w:color w:val="auto"/>
                <w:sz w:val="24"/>
              </w:rPr>
              <w:t>钻井泥浆经泥浆不落地工艺系统处理，处理后产生的泥饼属于</w:t>
            </w:r>
            <w:r>
              <w:rPr>
                <w:rFonts w:hint="eastAsia"/>
                <w:color w:val="auto"/>
                <w:sz w:val="24"/>
                <w:lang w:eastAsia="zh-CN"/>
              </w:rPr>
              <w:t>Ⅱ类</w:t>
            </w:r>
            <w:r>
              <w:rPr>
                <w:rFonts w:hint="default"/>
                <w:color w:val="auto"/>
                <w:sz w:val="24"/>
              </w:rPr>
              <w:t>一般工业固体废物。</w:t>
            </w:r>
            <w:r>
              <w:rPr>
                <w:rFonts w:hint="default"/>
                <w:color w:val="auto"/>
                <w:kern w:val="0"/>
                <w:sz w:val="24"/>
                <w:lang w:bidi="en-US"/>
              </w:rPr>
              <w:t>废弃泥浆、岩屑暂存区域</w:t>
            </w:r>
            <w:r>
              <w:rPr>
                <w:rFonts w:hint="eastAsia"/>
                <w:color w:val="auto"/>
                <w:sz w:val="24"/>
              </w:rPr>
              <w:t>设置50cm高</w:t>
            </w:r>
            <w:r>
              <w:rPr>
                <w:rFonts w:hint="default"/>
                <w:color w:val="auto"/>
                <w:sz w:val="24"/>
              </w:rPr>
              <w:t>围堰</w:t>
            </w:r>
            <w:r>
              <w:rPr>
                <w:rFonts w:hint="eastAsia"/>
                <w:color w:val="auto"/>
                <w:sz w:val="24"/>
              </w:rPr>
              <w:t>，</w:t>
            </w:r>
            <w:r>
              <w:rPr>
                <w:rFonts w:hint="default"/>
                <w:color w:val="auto"/>
                <w:sz w:val="24"/>
              </w:rPr>
              <w:t>铺设双层1.5mm厚高密度聚乙烯防渗膜，渗透系数K≤1×10</w:t>
            </w:r>
            <w:r>
              <w:rPr>
                <w:rFonts w:hint="default"/>
                <w:color w:val="auto"/>
                <w:sz w:val="24"/>
                <w:highlight w:val="none"/>
                <w:vertAlign w:val="superscript"/>
              </w:rPr>
              <w:t>-</w:t>
            </w:r>
            <w:r>
              <w:rPr>
                <w:rFonts w:hint="default"/>
                <w:color w:val="auto"/>
                <w:sz w:val="24"/>
                <w:vertAlign w:val="superscript"/>
              </w:rPr>
              <w:t>7</w:t>
            </w:r>
            <w:r>
              <w:rPr>
                <w:rFonts w:hint="default"/>
                <w:color w:val="auto"/>
                <w:sz w:val="24"/>
              </w:rPr>
              <w:t>cm/s</w:t>
            </w:r>
            <w:r>
              <w:rPr>
                <w:rFonts w:hint="eastAsia"/>
                <w:color w:val="auto"/>
                <w:sz w:val="24"/>
              </w:rPr>
              <w:t>，同时高密度聚乙烯防渗膜覆盖围堰并外延0.5m以上</w:t>
            </w:r>
            <w:r>
              <w:rPr>
                <w:rFonts w:hint="default"/>
                <w:color w:val="auto"/>
                <w:sz w:val="24"/>
              </w:rPr>
              <w:t>。在固废堆存期间，为了防止水力与风力的侵蚀，用</w:t>
            </w:r>
            <w:r>
              <w:rPr>
                <w:rFonts w:hint="eastAsia"/>
                <w:color w:val="auto"/>
                <w:sz w:val="24"/>
              </w:rPr>
              <w:t>苫布</w:t>
            </w:r>
            <w:r>
              <w:rPr>
                <w:rFonts w:hint="default"/>
                <w:color w:val="auto"/>
                <w:sz w:val="24"/>
              </w:rPr>
              <w:t>覆盖，以抑制无组织扬尘的产生及防雨。</w:t>
            </w:r>
          </w:p>
          <w:p w14:paraId="1A9B39FD">
            <w:pPr>
              <w:keepNext w:val="0"/>
              <w:keepLines w:val="0"/>
              <w:suppressLineNumbers w:val="0"/>
              <w:spacing w:before="0" w:beforeAutospacing="0" w:after="0" w:afterAutospacing="0" w:line="360" w:lineRule="auto"/>
              <w:ind w:left="0" w:right="0" w:firstLine="480"/>
              <w:rPr>
                <w:rFonts w:hint="default"/>
                <w:bCs/>
                <w:color w:val="auto"/>
                <w:sz w:val="24"/>
              </w:rPr>
            </w:pPr>
            <w:r>
              <w:rPr>
                <w:rFonts w:hint="eastAsia"/>
                <w:bCs/>
                <w:color w:val="auto"/>
                <w:sz w:val="24"/>
              </w:rPr>
              <w:t>根据</w:t>
            </w:r>
            <w:r>
              <w:rPr>
                <w:rFonts w:hint="default"/>
                <w:bCs/>
                <w:color w:val="auto"/>
                <w:sz w:val="24"/>
              </w:rPr>
              <w:t>上述（</w:t>
            </w:r>
            <w:r>
              <w:rPr>
                <w:rFonts w:hint="eastAsia"/>
                <w:bCs/>
                <w:color w:val="auto"/>
                <w:sz w:val="24"/>
              </w:rPr>
              <w:t>1）</w:t>
            </w:r>
            <w:r>
              <w:rPr>
                <w:rFonts w:hint="default"/>
                <w:bCs/>
                <w:color w:val="auto"/>
                <w:sz w:val="24"/>
              </w:rPr>
              <w:t>、（</w:t>
            </w:r>
            <w:r>
              <w:rPr>
                <w:rFonts w:hint="eastAsia"/>
                <w:bCs/>
                <w:color w:val="auto"/>
                <w:sz w:val="24"/>
              </w:rPr>
              <w:t>2）</w:t>
            </w:r>
            <w:r>
              <w:rPr>
                <w:rFonts w:hint="default"/>
                <w:bCs/>
                <w:color w:val="auto"/>
                <w:sz w:val="24"/>
              </w:rPr>
              <w:t>核算，</w:t>
            </w:r>
            <w:r>
              <w:rPr>
                <w:rFonts w:hint="eastAsia"/>
                <w:bCs/>
                <w:color w:val="auto"/>
                <w:sz w:val="24"/>
              </w:rPr>
              <w:t>废弃泥浆、岩屑产生量</w:t>
            </w:r>
            <w:r>
              <w:rPr>
                <w:rFonts w:hint="eastAsia"/>
                <w:bCs/>
                <w:color w:val="auto"/>
                <w:sz w:val="24"/>
                <w:lang w:val="en-US" w:eastAsia="zh-CN"/>
              </w:rPr>
              <w:t>702.12</w:t>
            </w:r>
            <w:r>
              <w:rPr>
                <w:rFonts w:hint="default"/>
                <w:bCs/>
                <w:color w:val="auto"/>
                <w:sz w:val="24"/>
              </w:rPr>
              <w:t>m</w:t>
            </w:r>
            <w:r>
              <w:rPr>
                <w:rFonts w:hint="default"/>
                <w:bCs/>
                <w:color w:val="auto"/>
                <w:sz w:val="24"/>
                <w:vertAlign w:val="superscript"/>
              </w:rPr>
              <w:t>3</w:t>
            </w:r>
            <w:r>
              <w:rPr>
                <w:rFonts w:hint="eastAsia"/>
                <w:bCs/>
                <w:color w:val="auto"/>
                <w:sz w:val="24"/>
              </w:rPr>
              <w:t>/勘探期；</w:t>
            </w:r>
            <w:r>
              <w:rPr>
                <w:rFonts w:hint="eastAsia"/>
                <w:bCs/>
                <w:color w:val="auto"/>
                <w:sz w:val="24"/>
                <w:lang w:eastAsia="zh-CN"/>
              </w:rPr>
              <w:t>交由路桥公司</w:t>
            </w:r>
            <w:r>
              <w:rPr>
                <w:rFonts w:hint="default"/>
                <w:bCs/>
                <w:color w:val="auto"/>
                <w:sz w:val="24"/>
              </w:rPr>
              <w:t>拉运至</w:t>
            </w:r>
            <w:r>
              <w:rPr>
                <w:rFonts w:hint="eastAsia"/>
                <w:bCs/>
                <w:color w:val="auto"/>
                <w:sz w:val="24"/>
                <w:lang w:eastAsia="zh-CN"/>
              </w:rPr>
              <w:t>内蒙古联源热电有限公司固废处置场</w:t>
            </w:r>
            <w:r>
              <w:rPr>
                <w:rFonts w:hint="eastAsia"/>
                <w:bCs/>
                <w:color w:val="auto"/>
                <w:sz w:val="24"/>
              </w:rPr>
              <w:t>。</w:t>
            </w:r>
          </w:p>
          <w:p w14:paraId="68364818">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color w:val="auto"/>
                <w:sz w:val="24"/>
              </w:rPr>
            </w:pPr>
            <w:r>
              <w:rPr>
                <w:rFonts w:hint="eastAsia" w:cs="Times New Roman"/>
                <w:b/>
                <w:color w:val="auto"/>
                <w:sz w:val="24"/>
                <w:lang w:eastAsia="zh-CN"/>
              </w:rPr>
              <w:t>泥浆</w:t>
            </w:r>
            <w:r>
              <w:rPr>
                <w:rFonts w:hint="eastAsia" w:ascii="Times New Roman" w:hAnsi="Times New Roman" w:eastAsia="宋体" w:cs="Times New Roman"/>
                <w:b/>
                <w:color w:val="auto"/>
                <w:sz w:val="24"/>
              </w:rPr>
              <w:t>不落地工艺系统：</w:t>
            </w:r>
          </w:p>
          <w:p w14:paraId="216F8E40">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Cs/>
                <w:color w:val="auto"/>
                <w:sz w:val="24"/>
              </w:rPr>
            </w:pPr>
            <w:r>
              <w:rPr>
                <w:rFonts w:hint="eastAsia" w:cs="Times New Roman"/>
                <w:bCs/>
                <w:color w:val="auto"/>
                <w:sz w:val="24"/>
                <w:lang w:eastAsia="zh-CN"/>
              </w:rPr>
              <w:t>本项目委托</w:t>
            </w:r>
            <w:r>
              <w:rPr>
                <w:rFonts w:hint="default" w:ascii="Times New Roman" w:hAnsi="Times New Roman" w:eastAsia="宋体" w:cs="Times New Roman"/>
                <w:bCs/>
                <w:color w:val="auto"/>
                <w:sz w:val="24"/>
              </w:rPr>
              <w:t>河北华北石油路桥工程有限公司对钻井过程中产生的废弃物进行处理，处理对象包括钻井废水、废弃水基泥浆、岩屑。这部分废弃物经过滤、稀释、絮凝、压滤等工艺（钻井泥浆不落地工艺），分离成固相和液相两部分。</w:t>
            </w:r>
          </w:p>
          <w:p w14:paraId="0E4E9A9E">
            <w:pPr>
              <w:keepNext w:val="0"/>
              <w:keepLines w:val="0"/>
              <w:suppressLineNumbers w:val="0"/>
              <w:spacing w:before="0" w:beforeAutospacing="0" w:after="0" w:afterAutospacing="0" w:line="360" w:lineRule="auto"/>
              <w:ind w:left="0" w:right="0" w:firstLine="480"/>
              <w:rPr>
                <w:rFonts w:hint="eastAsia" w:ascii="Times New Roman" w:hAnsi="Times New Roman" w:eastAsia="宋体" w:cs="Times New Roman"/>
                <w:bCs/>
                <w:color w:val="auto"/>
                <w:sz w:val="24"/>
              </w:rPr>
            </w:pPr>
            <w:r>
              <w:rPr>
                <w:rFonts w:hint="default" w:ascii="Times New Roman" w:hAnsi="Times New Roman" w:eastAsia="宋体" w:cs="Times New Roman"/>
                <w:bCs/>
                <w:color w:val="auto"/>
                <w:sz w:val="24"/>
              </w:rPr>
              <w:t>泥浆不落地工艺系统将过程处理和终端处理合为一体，不需修建泥浆池，既有效减小了钻井废物的环境污染隐患，也减少了钻前施工及占地成本，做到了井场清洁化生产，真正实现了陆上钻井</w:t>
            </w:r>
            <w:r>
              <w:rPr>
                <w:rFonts w:hint="eastAsia" w:ascii="Times New Roman" w:hAnsi="Times New Roman" w:eastAsia="宋体" w:cs="Times New Roman"/>
                <w:bCs/>
                <w:color w:val="auto"/>
                <w:sz w:val="24"/>
              </w:rPr>
              <w:t>“</w:t>
            </w:r>
            <w:r>
              <w:rPr>
                <w:rFonts w:hint="default" w:ascii="Times New Roman" w:hAnsi="Times New Roman" w:eastAsia="宋体" w:cs="Times New Roman"/>
                <w:bCs/>
                <w:color w:val="auto"/>
                <w:sz w:val="24"/>
              </w:rPr>
              <w:t>零排放</w:t>
            </w:r>
            <w:r>
              <w:rPr>
                <w:rFonts w:hint="eastAsia" w:ascii="Times New Roman" w:hAnsi="Times New Roman" w:eastAsia="宋体" w:cs="Times New Roman"/>
                <w:bCs/>
                <w:color w:val="auto"/>
                <w:sz w:val="24"/>
              </w:rPr>
              <w:t>”</w:t>
            </w:r>
            <w:r>
              <w:rPr>
                <w:rFonts w:hint="default" w:ascii="Times New Roman" w:hAnsi="Times New Roman" w:eastAsia="宋体" w:cs="Times New Roman"/>
                <w:bCs/>
                <w:color w:val="auto"/>
                <w:sz w:val="24"/>
              </w:rPr>
              <w:t>的目标。</w:t>
            </w:r>
          </w:p>
          <w:p w14:paraId="5DE656D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eastAsia" w:ascii="宋体" w:hAnsi="宋体" w:eastAsia="宋体" w:cs="宋体"/>
                <w:color w:val="auto"/>
                <w:sz w:val="24"/>
              </w:rPr>
              <w:t>①</w:t>
            </w:r>
            <w:r>
              <w:rPr>
                <w:rFonts w:hint="default" w:ascii="Times New Roman" w:hAnsi="Times New Roman" w:eastAsia="宋体" w:cs="Times New Roman"/>
                <w:color w:val="auto"/>
                <w:sz w:val="24"/>
              </w:rPr>
              <w:t>情况介绍</w:t>
            </w:r>
          </w:p>
          <w:p w14:paraId="15FAC26C">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第一单元废弃物收集单元。利用螺旋输送机和污水泵将钻井过程中的钻井液出口振动筛筛出的钻屑、除砂器、除泥器旋流出泥沙、离心机脱离出的泥巴及钻井</w:t>
            </w:r>
            <w:r>
              <w:rPr>
                <w:rFonts w:hint="eastAsia" w:ascii="Times New Roman" w:hAnsi="Times New Roman" w:eastAsia="宋体" w:cs="Times New Roman"/>
                <w:color w:val="auto"/>
                <w:sz w:val="24"/>
              </w:rPr>
              <w:t>废水</w:t>
            </w:r>
            <w:r>
              <w:rPr>
                <w:rFonts w:hint="default" w:ascii="Times New Roman" w:hAnsi="Times New Roman" w:eastAsia="宋体" w:cs="Times New Roman"/>
                <w:color w:val="auto"/>
                <w:sz w:val="24"/>
              </w:rPr>
              <w:t>收集并传送至废弃物储备罐，实现了不落地，井场无污染清洁钻井。</w:t>
            </w:r>
          </w:p>
          <w:p w14:paraId="11B8E700">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第二单元破胶处理单元。对钻井废弃物进行储存、脱稳、</w:t>
            </w:r>
            <w:r>
              <w:rPr>
                <w:rFonts w:hint="default" w:ascii="Times New Roman" w:hAnsi="Times New Roman" w:eastAsia="宋体" w:cs="Times New Roman"/>
                <w:color w:val="auto"/>
                <w:sz w:val="24"/>
                <w:highlight w:val="none"/>
              </w:rPr>
              <w:t>破胶</w:t>
            </w:r>
            <w:r>
              <w:rPr>
                <w:rFonts w:hint="default" w:ascii="Times New Roman" w:hAnsi="Times New Roman" w:eastAsia="宋体" w:cs="Times New Roman"/>
                <w:color w:val="auto"/>
                <w:sz w:val="24"/>
              </w:rPr>
              <w:t>，为进入下一单元做好准备。此环节是根据废弃物中的有害物质的类型和含量，以及污水处理要求的指标，使下一单元的滤液尽可能</w:t>
            </w:r>
            <w:r>
              <w:rPr>
                <w:rFonts w:hint="eastAsia" w:ascii="Times New Roman" w:hAnsi="Times New Roman" w:eastAsia="宋体" w:cs="Times New Roman"/>
                <w:color w:val="auto"/>
                <w:sz w:val="24"/>
              </w:rPr>
              <w:t>地</w:t>
            </w:r>
            <w:r>
              <w:rPr>
                <w:rFonts w:hint="default" w:ascii="Times New Roman" w:hAnsi="Times New Roman" w:eastAsia="宋体" w:cs="Times New Roman"/>
                <w:color w:val="auto"/>
                <w:sz w:val="24"/>
              </w:rPr>
              <w:t>达标。</w:t>
            </w:r>
          </w:p>
          <w:p w14:paraId="471B034E">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第三单元液固分离单元。它的功用主要是液固分离，分离出来的固体滤饼，通过提升式皮带输送机直接装车外运。</w:t>
            </w:r>
          </w:p>
          <w:p w14:paraId="2CEA4F1E">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钻井废弃物不落地工艺处理系统，对陆上水基钻井液钻井过程中的废弃物（钻屑、泥巴、废弃浆、污水等），即时处理，达到</w:t>
            </w:r>
            <w:r>
              <w:rPr>
                <w:rFonts w:hint="eastAsia" w:ascii="Times New Roman" w:hAnsi="Times New Roman" w:eastAsia="宋体" w:cs="Times New Roman"/>
                <w:color w:val="auto"/>
                <w:sz w:val="24"/>
              </w:rPr>
              <w:t>“</w:t>
            </w:r>
            <w:r>
              <w:rPr>
                <w:rFonts w:hint="default" w:ascii="Times New Roman" w:hAnsi="Times New Roman" w:eastAsia="宋体" w:cs="Times New Roman"/>
                <w:color w:val="auto"/>
                <w:sz w:val="24"/>
              </w:rPr>
              <w:t>不落地</w:t>
            </w:r>
            <w:r>
              <w:rPr>
                <w:rFonts w:hint="eastAsia" w:ascii="Times New Roman" w:hAnsi="Times New Roman" w:eastAsia="宋体" w:cs="Times New Roman"/>
                <w:color w:val="auto"/>
                <w:sz w:val="24"/>
              </w:rPr>
              <w:t>”</w:t>
            </w:r>
            <w:r>
              <w:rPr>
                <w:rFonts w:hint="default" w:ascii="Times New Roman" w:hAnsi="Times New Roman" w:eastAsia="宋体" w:cs="Times New Roman"/>
                <w:color w:val="auto"/>
                <w:sz w:val="24"/>
              </w:rPr>
              <w:t>要求。</w:t>
            </w:r>
          </w:p>
          <w:p w14:paraId="38417414">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rPr>
            </w:pPr>
            <w:r>
              <w:rPr>
                <w:rFonts w:hint="eastAsia" w:ascii="宋体" w:hAnsi="宋体" w:eastAsia="宋体" w:cs="宋体"/>
                <w:color w:val="auto"/>
                <w:sz w:val="24"/>
              </w:rPr>
              <w:t>②</w:t>
            </w:r>
            <w:r>
              <w:rPr>
                <w:rFonts w:hint="default" w:ascii="Times New Roman" w:hAnsi="Times New Roman" w:eastAsia="宋体" w:cs="Times New Roman"/>
                <w:color w:val="auto"/>
                <w:sz w:val="24"/>
              </w:rPr>
              <w:t>工艺流程</w:t>
            </w:r>
          </w:p>
          <w:p w14:paraId="388D1C5E">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设备安装调试：</w:t>
            </w:r>
          </w:p>
          <w:p w14:paraId="7125F831">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泥浆不落地设备必须与钻井配套使用，使用位置较其他治理设备要求较高，收集装置必须摆放在振动筛（循环罐）旁边，有助于收集钻井废弃物，为下一步治理打下基础。钻机进场后，不落地设备也要相应入场安装调试，同时对施工区域进行防渗，保证不产生二次污染。</w:t>
            </w:r>
          </w:p>
          <w:p w14:paraId="668A55ED">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固液分离：</w:t>
            </w:r>
          </w:p>
          <w:p w14:paraId="2CC7A922">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每一钻井阶段根据泥浆体系的情况变化，现场技术人员通过小样试验确定钻井废弃物破稳的配方比例，在加药箱内配制各类所需破乳、脱稳剂，然后抽入脱稳反应箱，使其与钻井废弃泥浆充分反应，为固液分离做准备。</w:t>
            </w:r>
          </w:p>
          <w:p w14:paraId="45879A1B">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破稳后的废弃物用渣浆泵打入压滤机，压滤机压力控制在0.7MPa左右，一般固液分离的每个运行周期约2h（破稳反应的效果直接影响固液分离的效果，地层黏土含量高等也是影响固液分离效率的主要原因）。破稳后的钻井废弃物实现固液分离，钻井废弃物进入振动筛处理掉大的固体颗粒，再通过除砂器、除泥器进行除砂除泥，最后通过离心机再次分离处理。然后液体进入滤液箱，由罐车拉运至联合站采出水处理系统，处理达标后回注</w:t>
            </w:r>
            <w:r>
              <w:rPr>
                <w:rFonts w:hint="eastAsia" w:ascii="Times New Roman" w:hAnsi="Times New Roman" w:eastAsia="宋体" w:cs="Times New Roman"/>
                <w:color w:val="auto"/>
                <w:sz w:val="24"/>
              </w:rPr>
              <w:t>现役油气藏</w:t>
            </w:r>
            <w:r>
              <w:rPr>
                <w:rFonts w:hint="default" w:ascii="Times New Roman" w:hAnsi="Times New Roman" w:eastAsia="宋体" w:cs="Times New Roman"/>
                <w:color w:val="auto"/>
                <w:sz w:val="24"/>
              </w:rPr>
              <w:t>驱油，固体（含水率小于40%）通过自动拉板装置掉入皮带输送机，将其输送至临时堆放地堆放。</w:t>
            </w:r>
          </w:p>
          <w:p w14:paraId="1E863799">
            <w:pPr>
              <w:keepNext w:val="0"/>
              <w:keepLines w:val="0"/>
              <w:widowControl w:val="0"/>
              <w:suppressLineNumbers w:val="0"/>
              <w:spacing w:before="0" w:beforeAutospacing="0" w:after="0" w:afterAutospacing="0"/>
              <w:ind w:left="0" w:right="0"/>
              <w:jc w:val="both"/>
              <w:rPr>
                <w:rFonts w:hint="default"/>
                <w:color w:val="auto"/>
              </w:rPr>
            </w:pPr>
            <w:r>
              <w:rPr>
                <w:rFonts w:hint="default" w:ascii="Times New Roman" w:hAnsi="Times New Roman" w:eastAsia="宋体" w:cs="Times New Roman"/>
                <w:color w:val="auto"/>
                <w:kern w:val="2"/>
                <w:sz w:val="21"/>
                <w:szCs w:val="21"/>
                <w:lang w:val="en-US" w:eastAsia="zh-CN" w:bidi="ar"/>
              </w:rPr>
              <w:drawing>
                <wp:inline distT="0" distB="0" distL="114300" distR="114300">
                  <wp:extent cx="4914900" cy="2867025"/>
                  <wp:effectExtent l="0" t="0" r="0" b="0"/>
                  <wp:docPr id="124"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5" descr="IMG_256"/>
                          <pic:cNvPicPr>
                            <a:picLocks noChangeAspect="1"/>
                          </pic:cNvPicPr>
                        </pic:nvPicPr>
                        <pic:blipFill>
                          <a:blip r:embed="rId26"/>
                          <a:stretch>
                            <a:fillRect/>
                          </a:stretch>
                        </pic:blipFill>
                        <pic:spPr>
                          <a:xfrm>
                            <a:off x="0" y="0"/>
                            <a:ext cx="4914900" cy="2867025"/>
                          </a:xfrm>
                          <a:prstGeom prst="rect">
                            <a:avLst/>
                          </a:prstGeom>
                          <a:noFill/>
                          <a:ln w="9525">
                            <a:noFill/>
                          </a:ln>
                        </pic:spPr>
                      </pic:pic>
                    </a:graphicData>
                  </a:graphic>
                </wp:inline>
              </w:drawing>
            </w:r>
          </w:p>
          <w:p w14:paraId="662BD80D">
            <w:pPr>
              <w:keepNext w:val="0"/>
              <w:keepLines w:val="0"/>
              <w:suppressLineNumbers w:val="0"/>
              <w:autoSpaceDE w:val="0"/>
              <w:autoSpaceDN w:val="0"/>
              <w:adjustRightInd w:val="0"/>
              <w:spacing w:before="0" w:beforeAutospacing="0" w:after="0" w:afterAutospacing="0"/>
              <w:ind w:left="0" w:right="0" w:firstLine="482" w:firstLineChars="200"/>
              <w:jc w:val="center"/>
              <w:rPr>
                <w:rFonts w:hint="default" w:ascii="Times New Roman" w:hAnsi="Times New Roman" w:eastAsia="宋体" w:cs="Times New Roman"/>
                <w:color w:val="auto"/>
                <w:sz w:val="24"/>
              </w:rPr>
            </w:pPr>
            <w:r>
              <w:rPr>
                <w:rFonts w:hint="default" w:ascii="Times New Roman" w:hAnsi="Times New Roman" w:eastAsia="宋体" w:cs="Times New Roman"/>
                <w:b/>
                <w:color w:val="auto"/>
                <w:kern w:val="0"/>
                <w:sz w:val="24"/>
              </w:rPr>
              <w:t>图4-1</w:t>
            </w:r>
            <w:r>
              <w:rPr>
                <w:rFonts w:hint="eastAsia" w:ascii="Times New Roman" w:hAnsi="Times New Roman" w:eastAsia="宋体" w:cs="Times New Roman"/>
                <w:b/>
                <w:color w:val="auto"/>
                <w:kern w:val="0"/>
                <w:sz w:val="24"/>
              </w:rPr>
              <w:t xml:space="preserve"> </w:t>
            </w:r>
            <w:r>
              <w:rPr>
                <w:rFonts w:hint="default" w:ascii="Times New Roman" w:hAnsi="Times New Roman" w:eastAsia="宋体" w:cs="Times New Roman"/>
                <w:b/>
                <w:color w:val="auto"/>
                <w:kern w:val="0"/>
                <w:sz w:val="24"/>
              </w:rPr>
              <w:t>钻井泥浆不落地处理工艺流程图</w:t>
            </w:r>
          </w:p>
          <w:p w14:paraId="3A7F72D1">
            <w:pPr>
              <w:keepNext w:val="0"/>
              <w:keepLines w:val="0"/>
              <w:suppressLineNumbers w:val="0"/>
              <w:spacing w:before="0" w:beforeAutospacing="0" w:after="0" w:afterAutospacing="0" w:line="360" w:lineRule="auto"/>
              <w:ind w:left="0" w:right="0" w:firstLine="480"/>
              <w:rPr>
                <w:rFonts w:hint="default"/>
                <w:color w:val="auto"/>
                <w:sz w:val="24"/>
              </w:rPr>
            </w:pPr>
            <w:r>
              <w:rPr>
                <w:rFonts w:hint="eastAsia"/>
                <w:color w:val="auto"/>
                <w:sz w:val="24"/>
              </w:rPr>
              <w:t>2</w:t>
            </w:r>
            <w:r>
              <w:rPr>
                <w:rFonts w:hint="default"/>
                <w:color w:val="auto"/>
                <w:sz w:val="24"/>
              </w:rPr>
              <w:t>、废机油</w:t>
            </w:r>
          </w:p>
          <w:p w14:paraId="6062CF5C">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钻井过程中废机油主要来源于设备机油，类比华北油田勘探井统计数据设备机油产生量，</w:t>
            </w:r>
            <w:r>
              <w:rPr>
                <w:rFonts w:hint="eastAsia"/>
                <w:color w:val="auto"/>
                <w:sz w:val="24"/>
                <w:lang w:eastAsia="zh-CN"/>
              </w:rPr>
              <w:t>本工程</w:t>
            </w:r>
            <w:r>
              <w:rPr>
                <w:rFonts w:hint="default"/>
                <w:color w:val="auto"/>
                <w:sz w:val="24"/>
              </w:rPr>
              <w:t>废机油产生量约0.</w:t>
            </w:r>
            <w:r>
              <w:rPr>
                <w:rFonts w:hint="eastAsia"/>
                <w:color w:val="auto"/>
                <w:sz w:val="24"/>
              </w:rPr>
              <w:t>1</w:t>
            </w:r>
            <w:r>
              <w:rPr>
                <w:rFonts w:hint="default"/>
                <w:color w:val="auto"/>
                <w:sz w:val="24"/>
              </w:rPr>
              <w:t>t</w:t>
            </w:r>
            <w:r>
              <w:rPr>
                <w:rFonts w:hint="eastAsia"/>
                <w:color w:val="auto"/>
                <w:sz w:val="24"/>
                <w:lang w:val="en-US" w:eastAsia="zh-CN"/>
              </w:rPr>
              <w:t>/勘探期</w:t>
            </w:r>
            <w:r>
              <w:rPr>
                <w:rFonts w:hint="default"/>
                <w:color w:val="auto"/>
                <w:sz w:val="24"/>
              </w:rPr>
              <w:t>。根据《国家危险废物名录》（202</w:t>
            </w:r>
            <w:r>
              <w:rPr>
                <w:rFonts w:hint="eastAsia"/>
                <w:color w:val="auto"/>
                <w:sz w:val="24"/>
                <w:lang w:val="en-US" w:eastAsia="zh-CN"/>
              </w:rPr>
              <w:t>5</w:t>
            </w:r>
            <w:r>
              <w:rPr>
                <w:rFonts w:hint="default"/>
                <w:color w:val="auto"/>
                <w:sz w:val="24"/>
              </w:rPr>
              <w:t>年）的规定，废物类别为HW08废矿物油与含矿物油废物，危险废物代码为900-214-08车辆、轮船</w:t>
            </w:r>
            <w:r>
              <w:rPr>
                <w:rFonts w:hint="eastAsia"/>
                <w:color w:val="auto"/>
                <w:sz w:val="24"/>
                <w:lang w:eastAsia="zh-CN"/>
              </w:rPr>
              <w:t>及其他</w:t>
            </w:r>
            <w:r>
              <w:rPr>
                <w:rFonts w:hint="default"/>
                <w:color w:val="auto"/>
                <w:sz w:val="24"/>
              </w:rPr>
              <w:t>机械维修过程中产生的废发动机油、制动器油、自动变速器油、齿轮油等废润滑油，危险特性为毒性和易燃性。</w:t>
            </w:r>
          </w:p>
          <w:p w14:paraId="4AA57FB0">
            <w:pPr>
              <w:keepNext w:val="0"/>
              <w:keepLines w:val="0"/>
              <w:suppressLineNumbers w:val="0"/>
              <w:spacing w:before="0" w:beforeAutospacing="0" w:after="0" w:afterAutospacing="0" w:line="360" w:lineRule="auto"/>
              <w:ind w:left="0" w:right="0" w:firstLine="480"/>
              <w:rPr>
                <w:rFonts w:hint="default"/>
                <w:color w:val="auto"/>
                <w:sz w:val="24"/>
              </w:rPr>
            </w:pPr>
            <w:r>
              <w:rPr>
                <w:rFonts w:hint="eastAsia"/>
                <w:color w:val="auto"/>
                <w:sz w:val="24"/>
                <w:lang w:eastAsia="zh-CN"/>
              </w:rPr>
              <w:t>本工程</w:t>
            </w:r>
            <w:r>
              <w:rPr>
                <w:rFonts w:hint="default"/>
                <w:color w:val="auto"/>
                <w:sz w:val="24"/>
              </w:rPr>
              <w:t>废机油采用密封铁皮桶收集，暂存于</w:t>
            </w:r>
            <w:r>
              <w:rPr>
                <w:rFonts w:hint="eastAsia"/>
                <w:color w:val="auto"/>
                <w:sz w:val="24"/>
                <w:lang w:eastAsia="zh-CN"/>
              </w:rPr>
              <w:t>危废贮存点</w:t>
            </w:r>
            <w:r>
              <w:rPr>
                <w:rFonts w:hint="default"/>
                <w:color w:val="auto"/>
                <w:sz w:val="24"/>
              </w:rPr>
              <w:t>内，</w:t>
            </w:r>
            <w:r>
              <w:rPr>
                <w:rFonts w:hint="eastAsia"/>
                <w:color w:val="auto"/>
                <w:sz w:val="24"/>
                <w:lang w:eastAsia="zh-CN"/>
              </w:rPr>
              <w:t>再由建设单位</w:t>
            </w:r>
            <w:r>
              <w:rPr>
                <w:rFonts w:hint="default"/>
                <w:color w:val="auto"/>
                <w:sz w:val="24"/>
              </w:rPr>
              <w:t>交由有资质的单位进行处置。</w:t>
            </w:r>
          </w:p>
          <w:p w14:paraId="497ED794">
            <w:pPr>
              <w:keepNext w:val="0"/>
              <w:keepLines w:val="0"/>
              <w:suppressLineNumbers w:val="0"/>
              <w:spacing w:before="0" w:beforeAutospacing="0" w:after="0" w:afterAutospacing="0" w:line="360" w:lineRule="auto"/>
              <w:ind w:left="0" w:right="0" w:firstLine="480"/>
              <w:rPr>
                <w:rFonts w:hint="default"/>
                <w:color w:val="auto"/>
                <w:sz w:val="24"/>
              </w:rPr>
            </w:pPr>
            <w:r>
              <w:rPr>
                <w:rFonts w:hint="eastAsia"/>
                <w:color w:val="auto"/>
                <w:sz w:val="24"/>
              </w:rPr>
              <w:t>3</w:t>
            </w:r>
            <w:r>
              <w:rPr>
                <w:rFonts w:hint="default"/>
                <w:color w:val="auto"/>
                <w:sz w:val="24"/>
              </w:rPr>
              <w:t>、落地油（事故状态下产生）</w:t>
            </w:r>
          </w:p>
          <w:p w14:paraId="18B72857">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本井采用过平衡钻井方式，在油气井钻井过程中，井筒液柱压力大于或略小于地层孔隙压力，严禁地层流体进入井筒，正常情况下钻井过程中无液体伴随井筒回到地面，因此钻井过程中无落地油产生。</w:t>
            </w:r>
          </w:p>
          <w:p w14:paraId="75FC0525">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lang w:eastAsia="zh-CN"/>
              </w:rPr>
              <w:t>本工程</w:t>
            </w:r>
            <w:r>
              <w:rPr>
                <w:rFonts w:hint="default"/>
                <w:color w:val="auto"/>
                <w:sz w:val="24"/>
              </w:rPr>
              <w:t>钻井设备、试</w:t>
            </w:r>
            <w:r>
              <w:rPr>
                <w:rFonts w:hint="eastAsia"/>
                <w:color w:val="auto"/>
                <w:sz w:val="24"/>
              </w:rPr>
              <w:t>油</w:t>
            </w:r>
            <w:r>
              <w:rPr>
                <w:rFonts w:hint="default"/>
                <w:color w:val="auto"/>
                <w:sz w:val="24"/>
              </w:rPr>
              <w:t>设备、泥浆罐、柴油罐等下铺设双层2mm厚高密度聚乙烯防渗膜，同时防渗膜敷设外延</w:t>
            </w:r>
            <w:r>
              <w:rPr>
                <w:rFonts w:hint="eastAsia"/>
                <w:color w:val="auto"/>
                <w:sz w:val="24"/>
              </w:rPr>
              <w:t>50c</w:t>
            </w:r>
            <w:r>
              <w:rPr>
                <w:rFonts w:hint="default"/>
                <w:color w:val="auto"/>
                <w:sz w:val="24"/>
              </w:rPr>
              <w:t>m以上，以防止落地油污染土壤环境。采出液密闭输送至储液罐内暂存，因此正常工况不会产生落地油。</w:t>
            </w:r>
          </w:p>
          <w:p w14:paraId="2CD0D185">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若操作不当，事故状态产生落地油，油类将落至防渗膜上。根据《国家危险废物名录》（202</w:t>
            </w:r>
            <w:r>
              <w:rPr>
                <w:rFonts w:hint="eastAsia"/>
                <w:color w:val="auto"/>
                <w:sz w:val="24"/>
                <w:lang w:val="en-US" w:eastAsia="zh-CN"/>
              </w:rPr>
              <w:t>5</w:t>
            </w:r>
            <w:r>
              <w:rPr>
                <w:rFonts w:hint="default"/>
                <w:color w:val="auto"/>
                <w:sz w:val="24"/>
              </w:rPr>
              <w:t>年）的规定，废物类别为HW08废矿物油与含矿物油废物，危险废物代码为071-001-08</w:t>
            </w:r>
            <w:r>
              <w:rPr>
                <w:rFonts w:hint="eastAsia"/>
                <w:color w:val="auto"/>
                <w:sz w:val="24"/>
              </w:rPr>
              <w:t>石油开采和联合站贮存产生的油泥和油脚</w:t>
            </w:r>
            <w:r>
              <w:rPr>
                <w:rFonts w:hint="default"/>
                <w:color w:val="auto"/>
                <w:sz w:val="24"/>
              </w:rPr>
              <w:t>，危险特性为毒性和易燃性</w:t>
            </w:r>
            <w:r>
              <w:rPr>
                <w:rFonts w:hint="eastAsia"/>
                <w:color w:val="auto"/>
                <w:sz w:val="24"/>
              </w:rPr>
              <w:t>。</w:t>
            </w:r>
            <w:r>
              <w:rPr>
                <w:rFonts w:hint="default"/>
                <w:color w:val="auto"/>
                <w:sz w:val="24"/>
              </w:rPr>
              <w:t>防渗膜将有效收集事故状态产生的落地油，回收的落地油存于井场</w:t>
            </w:r>
            <w:r>
              <w:rPr>
                <w:rFonts w:hint="eastAsia"/>
                <w:color w:val="auto"/>
                <w:sz w:val="24"/>
                <w:lang w:eastAsia="zh-CN"/>
              </w:rPr>
              <w:t>危废贮存点</w:t>
            </w:r>
            <w:r>
              <w:rPr>
                <w:rFonts w:hint="default"/>
                <w:color w:val="auto"/>
                <w:sz w:val="24"/>
              </w:rPr>
              <w:t>内污油罐中，</w:t>
            </w:r>
            <w:r>
              <w:rPr>
                <w:rFonts w:hint="eastAsia"/>
                <w:color w:val="auto"/>
                <w:sz w:val="24"/>
                <w:lang w:eastAsia="zh-CN"/>
              </w:rPr>
              <w:t>再由建设单位</w:t>
            </w:r>
            <w:r>
              <w:rPr>
                <w:rFonts w:hint="default"/>
                <w:color w:val="auto"/>
                <w:sz w:val="24"/>
              </w:rPr>
              <w:t>定期交有资质的单位处理。</w:t>
            </w:r>
          </w:p>
          <w:p w14:paraId="529D6FC8">
            <w:pPr>
              <w:keepNext w:val="0"/>
              <w:keepLines w:val="0"/>
              <w:suppressLineNumbers w:val="0"/>
              <w:spacing w:before="0" w:beforeAutospacing="0" w:after="0" w:afterAutospacing="0" w:line="360" w:lineRule="auto"/>
              <w:ind w:left="0" w:right="0" w:firstLine="480"/>
              <w:rPr>
                <w:rFonts w:hint="default"/>
                <w:color w:val="auto"/>
                <w:sz w:val="24"/>
              </w:rPr>
            </w:pPr>
            <w:r>
              <w:rPr>
                <w:rFonts w:hint="eastAsia"/>
                <w:color w:val="auto"/>
                <w:sz w:val="24"/>
                <w:lang w:val="en-US" w:eastAsia="zh-CN"/>
              </w:rPr>
              <w:t>4</w:t>
            </w:r>
            <w:r>
              <w:rPr>
                <w:rFonts w:hint="default"/>
                <w:color w:val="auto"/>
                <w:sz w:val="24"/>
              </w:rPr>
              <w:t>、生活垃圾</w:t>
            </w:r>
          </w:p>
          <w:p w14:paraId="40CC04B9">
            <w:pPr>
              <w:keepNext w:val="0"/>
              <w:keepLines w:val="0"/>
              <w:suppressLineNumbers w:val="0"/>
              <w:spacing w:before="0" w:beforeAutospacing="0" w:after="0" w:afterAutospacing="0" w:line="360" w:lineRule="auto"/>
              <w:ind w:left="0" w:right="0" w:firstLine="480"/>
              <w:rPr>
                <w:rFonts w:hint="default"/>
                <w:color w:val="auto"/>
                <w:sz w:val="24"/>
              </w:rPr>
            </w:pPr>
            <w:r>
              <w:rPr>
                <w:rFonts w:hint="default"/>
                <w:color w:val="auto"/>
                <w:sz w:val="24"/>
              </w:rPr>
              <w:t>项目</w:t>
            </w:r>
            <w:r>
              <w:rPr>
                <w:rFonts w:hint="eastAsia"/>
                <w:color w:val="auto"/>
                <w:sz w:val="24"/>
              </w:rPr>
              <w:t>劳动定员</w:t>
            </w:r>
            <w:r>
              <w:rPr>
                <w:rFonts w:hint="default"/>
                <w:color w:val="auto"/>
                <w:sz w:val="24"/>
              </w:rPr>
              <w:t>40人，勘探期</w:t>
            </w:r>
            <w:r>
              <w:rPr>
                <w:rFonts w:hint="eastAsia"/>
                <w:color w:val="auto"/>
                <w:sz w:val="24"/>
                <w:lang w:eastAsia="zh-CN"/>
              </w:rPr>
              <w:t>为</w:t>
            </w:r>
            <w:r>
              <w:rPr>
                <w:rFonts w:hint="eastAsia"/>
                <w:color w:val="auto"/>
                <w:sz w:val="24"/>
                <w:lang w:val="en-US" w:eastAsia="zh-CN"/>
              </w:rPr>
              <w:t>60</w:t>
            </w:r>
            <w:r>
              <w:rPr>
                <w:rFonts w:hint="default"/>
                <w:color w:val="auto"/>
                <w:sz w:val="24"/>
              </w:rPr>
              <w:t>天，按每人每天产生0.5kg生活垃圾计算，则生活垃圾</w:t>
            </w:r>
            <w:r>
              <w:rPr>
                <w:rFonts w:hint="eastAsia"/>
                <w:color w:val="auto"/>
                <w:sz w:val="24"/>
              </w:rPr>
              <w:t>累计</w:t>
            </w:r>
            <w:r>
              <w:rPr>
                <w:rFonts w:hint="default"/>
                <w:color w:val="auto"/>
                <w:sz w:val="24"/>
              </w:rPr>
              <w:t>产生量为</w:t>
            </w:r>
            <w:r>
              <w:rPr>
                <w:rFonts w:hint="eastAsia"/>
                <w:color w:val="auto"/>
                <w:sz w:val="24"/>
                <w:lang w:val="en-US" w:eastAsia="zh-CN"/>
              </w:rPr>
              <w:t>1.2</w:t>
            </w:r>
            <w:r>
              <w:rPr>
                <w:rFonts w:hint="default"/>
                <w:color w:val="auto"/>
                <w:sz w:val="24"/>
              </w:rPr>
              <w:t>t/勘探期。</w:t>
            </w:r>
          </w:p>
          <w:p w14:paraId="0E324220">
            <w:pPr>
              <w:keepNext w:val="0"/>
              <w:keepLines w:val="0"/>
              <w:suppressLineNumbers w:val="0"/>
              <w:spacing w:before="0" w:beforeAutospacing="0" w:after="0" w:afterAutospacing="0" w:line="360" w:lineRule="auto"/>
              <w:ind w:left="0" w:right="0" w:firstLine="480"/>
              <w:rPr>
                <w:rFonts w:hint="default"/>
                <w:b/>
                <w:color w:val="auto"/>
                <w:sz w:val="24"/>
              </w:rPr>
            </w:pPr>
            <w:r>
              <w:rPr>
                <w:rFonts w:hint="eastAsia"/>
                <w:b/>
                <w:color w:val="auto"/>
                <w:sz w:val="24"/>
              </w:rPr>
              <w:t>五、</w:t>
            </w:r>
            <w:r>
              <w:rPr>
                <w:rFonts w:hint="default"/>
                <w:b/>
                <w:color w:val="auto"/>
                <w:sz w:val="24"/>
              </w:rPr>
              <w:t>勘探期对生态环境的</w:t>
            </w:r>
            <w:r>
              <w:rPr>
                <w:rFonts w:hint="eastAsia"/>
                <w:b/>
                <w:color w:val="auto"/>
                <w:sz w:val="24"/>
                <w:lang w:eastAsia="zh-CN"/>
              </w:rPr>
              <w:t>影响</w:t>
            </w:r>
            <w:r>
              <w:rPr>
                <w:rFonts w:hint="default"/>
                <w:b/>
                <w:color w:val="auto"/>
                <w:sz w:val="24"/>
              </w:rPr>
              <w:t>分析</w:t>
            </w:r>
          </w:p>
          <w:p w14:paraId="1602CAF0">
            <w:pPr>
              <w:keepNext w:val="0"/>
              <w:keepLines w:val="0"/>
              <w:suppressLineNumbers w:val="0"/>
              <w:spacing w:before="0" w:beforeAutospacing="0" w:after="0" w:afterAutospacing="0" w:line="360" w:lineRule="auto"/>
              <w:ind w:left="0" w:right="0" w:firstLine="480" w:firstLineChars="200"/>
              <w:rPr>
                <w:rFonts w:hint="eastAsia"/>
                <w:b/>
                <w:color w:val="auto"/>
                <w:sz w:val="24"/>
              </w:rPr>
            </w:pPr>
            <w:r>
              <w:rPr>
                <w:rFonts w:hint="default"/>
                <w:bCs/>
                <w:color w:val="auto"/>
                <w:sz w:val="24"/>
              </w:rPr>
              <w:t>本工程勘探过程中对生态的影响主要表现为钻井期的占地、施工人员的踩踏、勘探过程中的三废</w:t>
            </w:r>
            <w:r>
              <w:rPr>
                <w:rFonts w:hint="default"/>
                <w:color w:val="auto"/>
                <w:sz w:val="24"/>
              </w:rPr>
              <w:t>排放</w:t>
            </w:r>
            <w:r>
              <w:rPr>
                <w:rFonts w:hint="default"/>
                <w:bCs/>
                <w:color w:val="auto"/>
                <w:sz w:val="24"/>
              </w:rPr>
              <w:t>对生态环境的影响。</w:t>
            </w:r>
            <w:r>
              <w:rPr>
                <w:rFonts w:hint="eastAsia"/>
                <w:bCs/>
                <w:color w:val="auto"/>
                <w:sz w:val="24"/>
              </w:rPr>
              <w:t>钻井施工作业</w:t>
            </w:r>
            <w:r>
              <w:rPr>
                <w:rFonts w:hint="default"/>
                <w:bCs/>
                <w:color w:val="auto"/>
                <w:sz w:val="24"/>
              </w:rPr>
              <w:t>使当地植被遭到破坏，覆盖率降低，破坏原生地表土壤的结构，使原生地表的水土保持功能降低或</w:t>
            </w:r>
            <w:r>
              <w:rPr>
                <w:rFonts w:hint="default"/>
                <w:color w:val="auto"/>
                <w:sz w:val="24"/>
              </w:rPr>
              <w:t>丧失</w:t>
            </w:r>
            <w:r>
              <w:rPr>
                <w:rFonts w:hint="default"/>
                <w:bCs/>
                <w:color w:val="auto"/>
                <w:sz w:val="24"/>
              </w:rPr>
              <w:t>。探井结束后，若未探出原油，则直接进行封井，及时进行植被恢复，恢复原有土地利用现状。</w:t>
            </w:r>
          </w:p>
          <w:p w14:paraId="06FA4EF3">
            <w:pPr>
              <w:keepNext w:val="0"/>
              <w:keepLines w:val="0"/>
              <w:suppressLineNumbers w:val="0"/>
              <w:spacing w:before="0" w:beforeAutospacing="0" w:after="0" w:afterAutospacing="0" w:line="360" w:lineRule="auto"/>
              <w:ind w:left="0" w:right="0" w:firstLine="480" w:firstLineChars="200"/>
              <w:rPr>
                <w:rFonts w:hint="default"/>
                <w:bCs/>
                <w:color w:val="auto"/>
                <w:sz w:val="24"/>
              </w:rPr>
            </w:pPr>
            <w:r>
              <w:rPr>
                <w:rFonts w:hint="default"/>
                <w:bCs/>
                <w:color w:val="auto"/>
                <w:sz w:val="24"/>
              </w:rPr>
              <w:t>项目对生态环境的影响主要有以下几个方面：</w:t>
            </w:r>
          </w:p>
          <w:p w14:paraId="6E9DFCC3">
            <w:pPr>
              <w:keepNext w:val="0"/>
              <w:keepLines w:val="0"/>
              <w:suppressLineNumbers w:val="0"/>
              <w:spacing w:before="0" w:beforeAutospacing="0" w:after="0" w:afterAutospacing="0" w:line="360" w:lineRule="auto"/>
              <w:ind w:left="0" w:right="0" w:firstLine="480" w:firstLineChars="200"/>
              <w:rPr>
                <w:rFonts w:hint="default"/>
                <w:bCs/>
                <w:color w:val="auto"/>
                <w:sz w:val="24"/>
              </w:rPr>
            </w:pPr>
            <w:r>
              <w:rPr>
                <w:rFonts w:hint="default"/>
                <w:bCs/>
                <w:color w:val="auto"/>
                <w:sz w:val="24"/>
              </w:rPr>
              <w:t>（1）景观影响评价</w:t>
            </w:r>
          </w:p>
          <w:p w14:paraId="6374DC9A">
            <w:pPr>
              <w:keepNext w:val="0"/>
              <w:keepLines w:val="0"/>
              <w:suppressLineNumbers w:val="0"/>
              <w:spacing w:before="0" w:beforeAutospacing="0" w:after="0" w:afterAutospacing="0" w:line="360" w:lineRule="auto"/>
              <w:ind w:left="0" w:right="0" w:firstLine="480" w:firstLineChars="200"/>
              <w:rPr>
                <w:rFonts w:hint="default"/>
                <w:bCs/>
                <w:color w:val="auto"/>
                <w:sz w:val="24"/>
              </w:rPr>
            </w:pPr>
            <w:r>
              <w:rPr>
                <w:rFonts w:hint="default"/>
                <w:bCs/>
                <w:color w:val="auto"/>
                <w:sz w:val="24"/>
              </w:rPr>
              <w:t>在油田勘探期各种车辆行驶所形成的通向勘探井和外围的道路，使景观的基本构成要素廊道的数量增加，影响生态系统中的能流、物流的流动，对植物物种和传播和动物的迁徙有一定的影响。架设井架、房屋、钻井场等人工建筑景观、改变原有的景观，造成视觉干扰。但这一影响随勘探作业的完成而结束。</w:t>
            </w:r>
          </w:p>
          <w:p w14:paraId="40724B9B">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（2）土地利用格局变化</w:t>
            </w:r>
          </w:p>
          <w:p w14:paraId="0EC4261B">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rPr>
              <w:t>项目</w:t>
            </w:r>
            <w:r>
              <w:rPr>
                <w:rFonts w:hint="default"/>
                <w:color w:val="auto"/>
                <w:sz w:val="24"/>
              </w:rPr>
              <w:t>所在区域以农业经营为主，</w:t>
            </w:r>
            <w:r>
              <w:rPr>
                <w:rFonts w:hint="eastAsia"/>
                <w:color w:val="auto"/>
                <w:sz w:val="24"/>
                <w:lang w:eastAsia="zh-CN"/>
              </w:rPr>
              <w:t>本工程</w:t>
            </w:r>
            <w:r>
              <w:rPr>
                <w:rFonts w:hint="default"/>
                <w:color w:val="auto"/>
                <w:sz w:val="24"/>
              </w:rPr>
              <w:t>土地利用类型为农用地</w:t>
            </w:r>
            <w:r>
              <w:rPr>
                <w:rFonts w:hint="eastAsia"/>
                <w:color w:val="auto"/>
                <w:sz w:val="24"/>
                <w:lang w:eastAsia="zh-CN"/>
              </w:rPr>
              <w:t>，</w:t>
            </w:r>
            <w:r>
              <w:rPr>
                <w:rFonts w:hint="default"/>
                <w:color w:val="auto"/>
                <w:sz w:val="24"/>
              </w:rPr>
              <w:t>勘探期会造成土地利用类型的变化。</w:t>
            </w:r>
          </w:p>
          <w:p w14:paraId="31361750">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在施工期发生的临时占地是施工期对</w:t>
            </w:r>
            <w:r>
              <w:rPr>
                <w:rFonts w:hint="eastAsia"/>
                <w:color w:val="auto"/>
                <w:sz w:val="24"/>
                <w:lang w:eastAsia="zh-CN"/>
              </w:rPr>
              <w:t>农用地</w:t>
            </w:r>
            <w:r>
              <w:rPr>
                <w:rFonts w:hint="default"/>
                <w:color w:val="auto"/>
                <w:sz w:val="24"/>
              </w:rPr>
              <w:t>产生影响的一个主要环节。施工过程中，车辆碾压，机械推挖、人员践踏等对地表进行的平整将会对</w:t>
            </w:r>
            <w:r>
              <w:rPr>
                <w:rFonts w:hint="eastAsia"/>
                <w:color w:val="auto"/>
                <w:sz w:val="24"/>
                <w:lang w:eastAsia="zh-CN"/>
              </w:rPr>
              <w:t>农用地</w:t>
            </w:r>
            <w:r>
              <w:rPr>
                <w:rFonts w:hint="default"/>
                <w:color w:val="auto"/>
                <w:sz w:val="24"/>
              </w:rPr>
              <w:t>地表植被造成很大破坏，这种影响是短期可逆的，施工结束后，被占用土地开始恢复。</w:t>
            </w:r>
          </w:p>
          <w:p w14:paraId="78CDDE41">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项目施工期临时占地</w:t>
            </w:r>
            <w:r>
              <w:rPr>
                <w:rFonts w:hint="eastAsia"/>
                <w:color w:val="auto"/>
                <w:sz w:val="24"/>
                <w:lang w:eastAsia="zh-CN"/>
              </w:rPr>
              <w:t>主要为农用地，</w:t>
            </w:r>
            <w:r>
              <w:rPr>
                <w:rFonts w:hint="eastAsia"/>
                <w:color w:val="auto"/>
                <w:sz w:val="24"/>
                <w:lang w:val="en-US" w:eastAsia="zh-CN"/>
              </w:rPr>
              <w:t>勘探期只有60天，</w:t>
            </w:r>
            <w:r>
              <w:rPr>
                <w:rFonts w:hint="default"/>
                <w:color w:val="auto"/>
                <w:sz w:val="24"/>
              </w:rPr>
              <w:t>对当地的农业生产也会带来一定的负面影响，临时占地对农业产值的影响主要体现在施工期，施工期间被占地的农民将失去经济来源，建设单位应办理相关土地使用手续，对临时占地进行补偿。严格执行国家有关的土地复垦规定，施工前对表层土壤剥离、开挖、堆放，</w:t>
            </w:r>
            <w:r>
              <w:rPr>
                <w:rFonts w:hint="eastAsia"/>
                <w:color w:val="auto"/>
                <w:sz w:val="24"/>
              </w:rPr>
              <w:t>勘探</w:t>
            </w:r>
            <w:r>
              <w:rPr>
                <w:rFonts w:hint="default"/>
                <w:color w:val="auto"/>
                <w:sz w:val="24"/>
              </w:rPr>
              <w:t>施工结束后循序回填</w:t>
            </w:r>
            <w:r>
              <w:rPr>
                <w:rFonts w:hint="eastAsia"/>
                <w:color w:val="auto"/>
                <w:sz w:val="24"/>
              </w:rPr>
              <w:t>，</w:t>
            </w:r>
            <w:r>
              <w:rPr>
                <w:rFonts w:hint="default"/>
                <w:color w:val="auto"/>
                <w:sz w:val="24"/>
              </w:rPr>
              <w:t>将表层比较肥沃的土铺在最上层。通过及时复垦，恢复原来的土地利用功能。</w:t>
            </w:r>
          </w:p>
          <w:p w14:paraId="794A25EE">
            <w:pPr>
              <w:keepNext w:val="0"/>
              <w:keepLines w:val="0"/>
              <w:suppressLineNumbers w:val="0"/>
              <w:spacing w:before="0" w:beforeAutospacing="0" w:after="0" w:afterAutospacing="0" w:line="360" w:lineRule="auto"/>
              <w:ind w:left="0" w:right="0" w:firstLine="470" w:firstLineChars="196"/>
              <w:outlineLvl w:val="0"/>
              <w:rPr>
                <w:rFonts w:hint="default"/>
                <w:color w:val="auto"/>
                <w:sz w:val="24"/>
                <w:lang w:val="en-US" w:eastAsia="zh-CN"/>
              </w:rPr>
            </w:pPr>
            <w:r>
              <w:rPr>
                <w:rFonts w:hint="default"/>
                <w:color w:val="auto"/>
                <w:sz w:val="24"/>
              </w:rPr>
              <w:t>施工</w:t>
            </w:r>
            <w:r>
              <w:rPr>
                <w:rFonts w:hint="default"/>
                <w:color w:val="auto"/>
                <w:sz w:val="24"/>
                <w:highlight w:val="none"/>
              </w:rPr>
              <w:t>期</w:t>
            </w:r>
            <w:r>
              <w:rPr>
                <w:rFonts w:hint="default"/>
                <w:color w:val="auto"/>
                <w:sz w:val="24"/>
              </w:rPr>
              <w:t>应严格控制临时占地范围，尽量减少对植被破坏，施工结束后，全部恢复地表形态。由于</w:t>
            </w:r>
            <w:r>
              <w:rPr>
                <w:rFonts w:hint="eastAsia"/>
                <w:color w:val="auto"/>
                <w:sz w:val="24"/>
                <w:lang w:eastAsia="zh-CN"/>
              </w:rPr>
              <w:t>本工程</w:t>
            </w:r>
            <w:r>
              <w:rPr>
                <w:rFonts w:hint="default"/>
                <w:color w:val="auto"/>
                <w:sz w:val="24"/>
              </w:rPr>
              <w:t>临时占地的占用期限很短，在完工后可以及时恢复，所以</w:t>
            </w:r>
            <w:bookmarkStart w:id="9" w:name="_Toc103325979"/>
            <w:r>
              <w:rPr>
                <w:rFonts w:hint="eastAsia"/>
                <w:color w:val="auto"/>
                <w:sz w:val="24"/>
                <w:lang w:val="en-US" w:eastAsia="zh-CN"/>
              </w:rPr>
              <w:t>不会对土地利用格局产生大的影响。</w:t>
            </w:r>
          </w:p>
          <w:bookmarkEnd w:id="9"/>
          <w:p w14:paraId="7ED43978">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default"/>
                <w:color w:val="auto"/>
                <w:sz w:val="24"/>
              </w:rPr>
              <w:t>（3）</w:t>
            </w:r>
            <w:r>
              <w:rPr>
                <w:rFonts w:hint="eastAsia"/>
                <w:color w:val="auto"/>
                <w:sz w:val="24"/>
              </w:rPr>
              <w:t>土壤</w:t>
            </w:r>
            <w:r>
              <w:rPr>
                <w:rFonts w:hint="default"/>
                <w:color w:val="auto"/>
                <w:sz w:val="24"/>
              </w:rPr>
              <w:t>影响分析</w:t>
            </w:r>
          </w:p>
          <w:p w14:paraId="7A429591">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rPr>
              <w:t>根据建设项目的工程内容，本工程对土壤的影响主要表现为对土壤性质、土壤肥力的影响和土壤污染三个方面。</w:t>
            </w:r>
          </w:p>
          <w:p w14:paraId="2FD92793">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rPr>
              <w:t>1）土壤性质影响</w:t>
            </w:r>
          </w:p>
          <w:p w14:paraId="63AE5409">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rPr>
              <w:t>项目建设过程中，表土剥离和堆放、回填、人工践踏、机械设备碾压等活动将对土壤理化性质产生影响。</w:t>
            </w:r>
          </w:p>
          <w:p w14:paraId="3882BAB9">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ascii="宋体" w:hAnsi="宋体" w:eastAsia="宋体" w:cs="宋体"/>
                <w:color w:val="auto"/>
                <w:sz w:val="24"/>
              </w:rPr>
              <w:t>①</w:t>
            </w:r>
            <w:r>
              <w:rPr>
                <w:rFonts w:hint="eastAsia"/>
                <w:color w:val="auto"/>
                <w:sz w:val="24"/>
              </w:rPr>
              <w:t>扰乱土壤耕作层，破坏土壤耕层结构</w:t>
            </w:r>
          </w:p>
          <w:p w14:paraId="009D475C">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rPr>
              <w:t>土壤耕作层是土壤肥力集中、腐殖质含量高、水分相对优越的土壤，平均深度约为15～25cm，土层松软，团粒结构发达，能够较</w:t>
            </w:r>
            <w:r>
              <w:rPr>
                <w:rFonts w:hint="eastAsia"/>
                <w:color w:val="auto"/>
                <w:sz w:val="24"/>
                <w:highlight w:val="none"/>
              </w:rPr>
              <w:t>好的</w:t>
            </w:r>
            <w:r>
              <w:rPr>
                <w:rFonts w:hint="eastAsia"/>
                <w:color w:val="auto"/>
                <w:sz w:val="24"/>
              </w:rPr>
              <w:t>调节植物生长的水、肥、气、热条件。地表开挖必定扰乱和破坏土壤耕作层，这种扰乱和破坏，除开挖处受到直接的破坏外，挖出土方的堆放将直接占压开挖处附近的土地，破坏土壤耕作层及其结构。由于耕作层的团粒结构是经过较长的历史时期形成的，一旦遭到破坏，短期内难以恢复。</w:t>
            </w:r>
          </w:p>
          <w:p w14:paraId="624A1491">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ascii="宋体" w:hAnsi="宋体" w:eastAsia="宋体" w:cs="宋体"/>
                <w:color w:val="auto"/>
                <w:sz w:val="24"/>
              </w:rPr>
              <w:t>②</w:t>
            </w:r>
            <w:r>
              <w:rPr>
                <w:rFonts w:hint="eastAsia"/>
                <w:color w:val="auto"/>
                <w:sz w:val="24"/>
              </w:rPr>
              <w:t>混合土壤层次，改变土体构型</w:t>
            </w:r>
          </w:p>
          <w:p w14:paraId="59A9A158">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rPr>
              <w:t>无论是自然土壤还是农业土壤在形成过程中，由于物质和能量长期垂直分异的结果，形成质地、结构、性质和厚度差异明显的土壤剖面构型。井场平整过程中原土体构型破坏。土体构型的破坏，将明显的改变土体中物质和能量的运动变化规律，使表层通气透水性变差，使亚表层保水、保肥性能降低，从而造成对植物的生长、发育及其产量影响。</w:t>
            </w:r>
          </w:p>
          <w:p w14:paraId="318D4046">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ascii="宋体" w:hAnsi="宋体" w:eastAsia="宋体" w:cs="宋体"/>
                <w:color w:val="auto"/>
                <w:sz w:val="24"/>
              </w:rPr>
              <w:t>③</w:t>
            </w:r>
            <w:r>
              <w:rPr>
                <w:rFonts w:hint="eastAsia"/>
                <w:color w:val="auto"/>
                <w:sz w:val="24"/>
              </w:rPr>
              <w:t>影响土壤紧实度</w:t>
            </w:r>
          </w:p>
          <w:p w14:paraId="01426D2F">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rPr>
              <w:t>自然土壤在自重作用下，形成上松下紧的土壤紧实度垂直差异。施工过程中的机械碾压，这种碾压或固结</w:t>
            </w:r>
            <w:r>
              <w:rPr>
                <w:rFonts w:hint="eastAsia"/>
                <w:color w:val="auto"/>
                <w:sz w:val="24"/>
                <w:lang w:eastAsia="zh-CN"/>
              </w:rPr>
              <w:t>，</w:t>
            </w:r>
            <w:r>
              <w:rPr>
                <w:rFonts w:hint="eastAsia"/>
                <w:color w:val="auto"/>
                <w:sz w:val="24"/>
              </w:rPr>
              <w:t>将改变土壤的紧实程度，与原有的上松下紧结构相比，极不利于土壤的通气、透水作用，影响作物生长。</w:t>
            </w:r>
          </w:p>
          <w:p w14:paraId="445A8764">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rPr>
              <w:t>2）土壤肥力影响</w:t>
            </w:r>
          </w:p>
          <w:p w14:paraId="2E5478ED">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rPr>
              <w:t>自然土壤中的有机质、氮、磷、钾等养分含量，表现为表土层远高于心土层；在土壤肥力</w:t>
            </w:r>
            <w:r>
              <w:rPr>
                <w:rFonts w:hint="eastAsia"/>
                <w:color w:val="auto"/>
                <w:sz w:val="24"/>
                <w:lang w:eastAsia="zh-CN"/>
              </w:rPr>
              <w:t>的其他方面</w:t>
            </w:r>
            <w:r>
              <w:rPr>
                <w:rFonts w:hint="eastAsia"/>
                <w:color w:val="auto"/>
                <w:sz w:val="24"/>
              </w:rPr>
              <w:t>如紧实度、</w:t>
            </w:r>
            <w:r>
              <w:rPr>
                <w:rFonts w:hint="eastAsia"/>
                <w:color w:val="auto"/>
                <w:sz w:val="24"/>
                <w:lang w:eastAsia="zh-CN"/>
              </w:rPr>
              <w:t>孔隙</w:t>
            </w:r>
            <w:r>
              <w:rPr>
                <w:rFonts w:hint="eastAsia"/>
                <w:color w:val="auto"/>
                <w:sz w:val="24"/>
              </w:rPr>
              <w:t>性、适耕性、团粒结构含量等，也都表现为表土层优于心土层。施工</w:t>
            </w:r>
            <w:r>
              <w:rPr>
                <w:rFonts w:hint="eastAsia"/>
                <w:color w:val="auto"/>
                <w:sz w:val="24"/>
                <w:highlight w:val="none"/>
              </w:rPr>
              <w:t>期</w:t>
            </w:r>
            <w:r>
              <w:rPr>
                <w:rFonts w:hint="eastAsia"/>
                <w:color w:val="auto"/>
                <w:sz w:val="24"/>
              </w:rPr>
              <w:t>将扰动甚至打乱原土体构型，使土壤养分、水分含量及肥力状况受到一定程度的影响，影响植被正常生长。</w:t>
            </w:r>
          </w:p>
          <w:p w14:paraId="4049CBAD">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lang w:eastAsia="zh-CN"/>
              </w:rPr>
              <w:t>本工程</w:t>
            </w:r>
            <w:r>
              <w:rPr>
                <w:rFonts w:hint="eastAsia"/>
                <w:color w:val="auto"/>
                <w:sz w:val="24"/>
              </w:rPr>
              <w:t>建设区分布在平原区，土地利用类型主要为</w:t>
            </w:r>
            <w:r>
              <w:rPr>
                <w:rFonts w:hint="eastAsia"/>
                <w:color w:val="auto"/>
                <w:sz w:val="24"/>
                <w:lang w:eastAsia="zh-CN"/>
              </w:rPr>
              <w:t>农用地（耕地）</w:t>
            </w:r>
            <w:r>
              <w:rPr>
                <w:rFonts w:hint="eastAsia"/>
                <w:color w:val="auto"/>
                <w:sz w:val="24"/>
              </w:rPr>
              <w:t>，土壤中的养分含量相对较高。因此在表土剥离回填过程中，对表层土实行堆放和回填，可有效降低因工程开挖施工对土壤养分的影响。</w:t>
            </w:r>
          </w:p>
          <w:p w14:paraId="0CB26A2D">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rPr>
              <w:t>3）土壤污染影响</w:t>
            </w:r>
          </w:p>
          <w:p w14:paraId="26442CCD">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lang w:eastAsia="zh-CN"/>
              </w:rPr>
              <w:t>本工程</w:t>
            </w:r>
            <w:r>
              <w:rPr>
                <w:rFonts w:hint="eastAsia"/>
                <w:color w:val="auto"/>
                <w:sz w:val="24"/>
              </w:rPr>
              <w:t>建设过程中将产生钻井泥浆、钻井岩屑、生活垃圾、钻井废水、生活污水等。</w:t>
            </w:r>
          </w:p>
          <w:p w14:paraId="75B702C9">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rPr>
              <w:t>钻井会产生废弃泥浆和岩屑，废弃泥浆对土壤环境的影响与钻井泥浆的种类、</w:t>
            </w:r>
            <w:r>
              <w:rPr>
                <w:rFonts w:hint="eastAsia"/>
                <w:color w:val="auto"/>
                <w:sz w:val="24"/>
                <w:lang w:eastAsia="zh-CN"/>
              </w:rPr>
              <w:t>成分及</w:t>
            </w:r>
            <w:r>
              <w:rPr>
                <w:rFonts w:hint="eastAsia"/>
                <w:color w:val="auto"/>
                <w:sz w:val="24"/>
              </w:rPr>
              <w:t>土壤特征密切相关。含盐量高的钻井泥浆对土壤环境具有较大影响，泥浆中的钙离子可使土壤板结、钙化；碱（KOH、NaOH）则可能使土壤碱性增强；钻井泥浆对于酸性的砂质土壤影响较小，而对碱性的亚粘土及粘土含量高的土壤影响较大。油区土壤呈碱性，碳酸钙反应强烈，钻井泥浆进入土壤中，加剧了土壤的盐碱化、板结和钙化。</w:t>
            </w:r>
          </w:p>
          <w:p w14:paraId="4EB5ED04">
            <w:pPr>
              <w:keepNext w:val="0"/>
              <w:keepLines w:val="0"/>
              <w:suppressLineNumbers w:val="0"/>
              <w:spacing w:before="0" w:beforeAutospacing="0" w:after="0" w:afterAutospacing="0" w:line="360" w:lineRule="auto"/>
              <w:ind w:left="0" w:right="0" w:firstLine="470" w:firstLineChars="196"/>
              <w:outlineLvl w:val="0"/>
              <w:rPr>
                <w:rFonts w:hint="eastAsia"/>
                <w:color w:val="auto"/>
                <w:sz w:val="24"/>
                <w:lang w:eastAsia="zh-CN"/>
              </w:rPr>
            </w:pPr>
            <w:bookmarkStart w:id="10" w:name="_Toc103325980"/>
            <w:r>
              <w:rPr>
                <w:rFonts w:hint="eastAsia"/>
                <w:color w:val="auto"/>
                <w:sz w:val="24"/>
                <w:lang w:eastAsia="zh-CN"/>
              </w:rPr>
              <w:t>本项目泥浆采用防渗罐承装，以防止污染地下水及土壤环境。废弃钻井泥浆、岩屑采用泥浆不落地工艺施工，采取以上措施后，钻井泥浆、岩屑等固体废物对井场占地范围的土壤环境影响较小。</w:t>
            </w:r>
          </w:p>
          <w:bookmarkEnd w:id="10"/>
          <w:p w14:paraId="511F9B76">
            <w:pPr>
              <w:keepNext w:val="0"/>
              <w:keepLines w:val="0"/>
              <w:suppressLineNumbers w:val="0"/>
              <w:spacing w:before="0" w:beforeAutospacing="0" w:after="0" w:afterAutospacing="0" w:line="360" w:lineRule="auto"/>
              <w:ind w:left="0" w:right="0" w:firstLine="480" w:firstLineChars="200"/>
              <w:outlineLvl w:val="0"/>
              <w:rPr>
                <w:rFonts w:hint="default"/>
                <w:color w:val="auto"/>
                <w:sz w:val="24"/>
              </w:rPr>
            </w:pPr>
            <w:bookmarkStart w:id="11" w:name="_Toc103325981"/>
            <w:r>
              <w:rPr>
                <w:rFonts w:hint="default"/>
                <w:color w:val="auto"/>
                <w:sz w:val="24"/>
              </w:rPr>
              <w:t>（4）植被影响分析</w:t>
            </w:r>
            <w:bookmarkEnd w:id="11"/>
          </w:p>
          <w:p w14:paraId="1753EC55">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ascii="宋体" w:hAnsi="宋体" w:cs="宋体"/>
                <w:color w:val="auto"/>
                <w:sz w:val="24"/>
              </w:rPr>
              <w:t>①</w:t>
            </w:r>
            <w:r>
              <w:rPr>
                <w:rFonts w:hint="default"/>
                <w:color w:val="auto"/>
                <w:sz w:val="24"/>
              </w:rPr>
              <w:t>工程占地对植被</w:t>
            </w:r>
            <w:r>
              <w:rPr>
                <w:rFonts w:hint="eastAsia"/>
                <w:color w:val="auto"/>
                <w:sz w:val="24"/>
                <w:lang w:eastAsia="zh-CN"/>
              </w:rPr>
              <w:t>的</w:t>
            </w:r>
            <w:r>
              <w:rPr>
                <w:rFonts w:hint="default"/>
                <w:color w:val="auto"/>
                <w:sz w:val="24"/>
                <w:highlight w:val="none"/>
              </w:rPr>
              <w:t>影响</w:t>
            </w:r>
          </w:p>
          <w:p w14:paraId="7618C956">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占地区域的影响主要表现在临时道路、设备堆压、土方开挖、车辆碾压、施工人员踩踏等，</w:t>
            </w:r>
            <w:r>
              <w:rPr>
                <w:rFonts w:hint="eastAsia"/>
                <w:color w:val="auto"/>
                <w:sz w:val="24"/>
                <w:lang w:eastAsia="zh-CN"/>
              </w:rPr>
              <w:t>主要植物为农作物</w:t>
            </w:r>
            <w:r>
              <w:rPr>
                <w:rFonts w:hint="default"/>
                <w:color w:val="auto"/>
                <w:sz w:val="24"/>
              </w:rPr>
              <w:t>，</w:t>
            </w:r>
            <w:r>
              <w:rPr>
                <w:rFonts w:hint="eastAsia"/>
                <w:color w:val="auto"/>
                <w:sz w:val="24"/>
                <w:lang w:val="en-US" w:eastAsia="zh-CN"/>
              </w:rPr>
              <w:t>临时占地范围较小，主要影响临时占用农用地范围内的农作物，</w:t>
            </w:r>
            <w:r>
              <w:rPr>
                <w:rFonts w:hint="default"/>
                <w:color w:val="auto"/>
                <w:sz w:val="24"/>
              </w:rPr>
              <w:t>待油气井勘探工程结束全部恢复原有土地类型。通过加强施工管理，认真做好施工结束后的场地恢复工作，工程建设对植被的环境影响是可以接受的。</w:t>
            </w:r>
          </w:p>
          <w:p w14:paraId="620DBB4A">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ascii="宋体" w:hAnsi="宋体" w:cs="宋体"/>
                <w:color w:val="auto"/>
                <w:sz w:val="24"/>
              </w:rPr>
              <w:t>②</w:t>
            </w:r>
            <w:r>
              <w:rPr>
                <w:rFonts w:hint="default"/>
                <w:color w:val="auto"/>
                <w:sz w:val="24"/>
              </w:rPr>
              <w:t>大气污染对植被的影响</w:t>
            </w:r>
          </w:p>
          <w:p w14:paraId="089337B0">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lang w:eastAsia="zh-CN"/>
              </w:rPr>
              <w:t>本工程</w:t>
            </w:r>
            <w:r>
              <w:rPr>
                <w:rFonts w:hint="default"/>
                <w:color w:val="auto"/>
                <w:sz w:val="24"/>
              </w:rPr>
              <w:t>在钻井</w:t>
            </w:r>
            <w:r>
              <w:rPr>
                <w:rFonts w:hint="eastAsia"/>
                <w:color w:val="auto"/>
                <w:sz w:val="24"/>
                <w:lang w:eastAsia="zh-CN"/>
              </w:rPr>
              <w:t>工程期间</w:t>
            </w:r>
            <w:r>
              <w:rPr>
                <w:rFonts w:hint="default"/>
                <w:color w:val="auto"/>
                <w:sz w:val="24"/>
              </w:rPr>
              <w:t>大气污染物主要是来自钻机和发电机所用柴油联动机组产生的废气，废气中主要含有PM、NO</w:t>
            </w:r>
            <w:r>
              <w:rPr>
                <w:rFonts w:hint="default"/>
                <w:color w:val="auto"/>
                <w:sz w:val="24"/>
                <w:vertAlign w:val="subscript"/>
              </w:rPr>
              <w:t>X</w:t>
            </w:r>
            <w:r>
              <w:rPr>
                <w:rFonts w:hint="default"/>
                <w:color w:val="auto"/>
                <w:sz w:val="24"/>
              </w:rPr>
              <w:t>、HC、CO等有害成分。试油期产生的大气污染物主要为无组织释放的烃类气体，在这些污染物中能对植物产生影响的主要为NO</w:t>
            </w:r>
            <w:r>
              <w:rPr>
                <w:rFonts w:hint="default"/>
                <w:color w:val="auto"/>
                <w:sz w:val="24"/>
                <w:vertAlign w:val="subscript"/>
              </w:rPr>
              <w:t>X</w:t>
            </w:r>
            <w:r>
              <w:rPr>
                <w:rFonts w:hint="default"/>
                <w:color w:val="auto"/>
                <w:sz w:val="24"/>
              </w:rPr>
              <w:t>及建设期的空气扬尘。</w:t>
            </w:r>
          </w:p>
          <w:p w14:paraId="4444F4F8">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NO</w:t>
            </w:r>
            <w:r>
              <w:rPr>
                <w:rFonts w:hint="default"/>
                <w:color w:val="auto"/>
                <w:sz w:val="24"/>
                <w:vertAlign w:val="subscript"/>
              </w:rPr>
              <w:t>X</w:t>
            </w:r>
            <w:r>
              <w:rPr>
                <w:rFonts w:hint="default"/>
                <w:color w:val="auto"/>
                <w:sz w:val="24"/>
              </w:rPr>
              <w:t>对植物的伤害表现在叶肉组织内部的细胞上。植物通过气孔吸收大气中的氮氧化物，随后污染物由气态变为液态，改变细胞或细胞周围的pH值，引起细胞结构变化，光合作用降低，植物的生长</w:t>
            </w:r>
            <w:r>
              <w:rPr>
                <w:rFonts w:hint="eastAsia"/>
                <w:color w:val="auto"/>
                <w:sz w:val="24"/>
              </w:rPr>
              <w:t>繁殖</w:t>
            </w:r>
            <w:r>
              <w:rPr>
                <w:rFonts w:hint="default"/>
                <w:color w:val="auto"/>
                <w:sz w:val="24"/>
              </w:rPr>
              <w:t>能力降低。当高浓度的NO</w:t>
            </w:r>
            <w:r>
              <w:rPr>
                <w:rFonts w:hint="default"/>
                <w:color w:val="auto"/>
                <w:sz w:val="24"/>
                <w:vertAlign w:val="subscript"/>
              </w:rPr>
              <w:t>X</w:t>
            </w:r>
            <w:r>
              <w:rPr>
                <w:rFonts w:hint="default"/>
                <w:color w:val="auto"/>
                <w:sz w:val="24"/>
              </w:rPr>
              <w:t>在短时间内排放时，可使植物产生急性伤害，尤其在温暖晴朗的天气下，植物24小时内就可能出现坏死斑。而较低浓度的NO</w:t>
            </w:r>
            <w:r>
              <w:rPr>
                <w:rFonts w:hint="default"/>
                <w:color w:val="auto"/>
                <w:sz w:val="24"/>
                <w:vertAlign w:val="subscript"/>
              </w:rPr>
              <w:t>X</w:t>
            </w:r>
            <w:r>
              <w:rPr>
                <w:rFonts w:hint="default"/>
                <w:color w:val="auto"/>
                <w:sz w:val="24"/>
              </w:rPr>
              <w:t>对植物的伤害是慢性的，可使植物叶片失绿。</w:t>
            </w:r>
          </w:p>
          <w:p w14:paraId="47DC41BD">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另一方面，油井钻井的扬尘颗粒物在植物表面以干粉尘、泥膜形式积累，阻塞气孔，导致气体</w:t>
            </w:r>
            <w:r>
              <w:rPr>
                <w:rFonts w:hint="default"/>
                <w:color w:val="auto"/>
                <w:sz w:val="24"/>
                <w:highlight w:val="none"/>
              </w:rPr>
              <w:t>变换</w:t>
            </w:r>
            <w:r>
              <w:rPr>
                <w:rFonts w:hint="default"/>
                <w:color w:val="auto"/>
                <w:sz w:val="24"/>
              </w:rPr>
              <w:t>减少，叶片温度升高，光合作用下降，叶片黄化干缩。</w:t>
            </w:r>
          </w:p>
          <w:p w14:paraId="343EBA24">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lang w:eastAsia="zh-CN"/>
              </w:rPr>
              <w:t>本工程</w:t>
            </w:r>
            <w:r>
              <w:rPr>
                <w:rFonts w:hint="default"/>
                <w:color w:val="auto"/>
                <w:sz w:val="24"/>
              </w:rPr>
              <w:t>的施工时间较短，施工期间采取合理化管理、控制作业面积、土堆适当喷水、土堆和材料遮盖、大风天停止作业等措施后，控制扬尘的影响范围。且</w:t>
            </w:r>
            <w:r>
              <w:rPr>
                <w:rFonts w:hint="eastAsia"/>
                <w:color w:val="auto"/>
                <w:sz w:val="24"/>
                <w:lang w:eastAsia="zh-CN"/>
              </w:rPr>
              <w:t>本工程</w:t>
            </w:r>
            <w:r>
              <w:rPr>
                <w:rFonts w:hint="default"/>
                <w:color w:val="auto"/>
                <w:sz w:val="24"/>
              </w:rPr>
              <w:t>所在地地势开阔，污染物易扩散，大气污染对植被的影响较小。</w:t>
            </w:r>
          </w:p>
          <w:p w14:paraId="1E0DC715">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ascii="宋体" w:hAnsi="宋体" w:cs="宋体"/>
                <w:color w:val="auto"/>
                <w:sz w:val="24"/>
              </w:rPr>
              <w:t>③</w:t>
            </w:r>
            <w:r>
              <w:rPr>
                <w:rFonts w:hint="default"/>
                <w:color w:val="auto"/>
                <w:sz w:val="24"/>
              </w:rPr>
              <w:t>石油类污染对植被的影响</w:t>
            </w:r>
          </w:p>
          <w:p w14:paraId="5CDB1982">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在油井开发过程中石油对植被的污染途径主要是试油过程中不慎将原油溅在植物体上，影响其生理功能，使植物生长发育受阻，重者导致死亡。</w:t>
            </w:r>
            <w:r>
              <w:rPr>
                <w:rFonts w:hint="eastAsia"/>
                <w:color w:val="auto"/>
                <w:sz w:val="24"/>
                <w:lang w:eastAsia="zh-CN"/>
              </w:rPr>
              <w:t>本工程</w:t>
            </w:r>
            <w:r>
              <w:rPr>
                <w:rFonts w:hint="default"/>
                <w:color w:val="auto"/>
                <w:sz w:val="24"/>
              </w:rPr>
              <w:t>正常状况下无落地油产生，事故状态下的落地油主要产生在井场的临时占地范围内，施工期临时占地范围内无植被，因此地表石油类污染不会使植被受到明显伤害。</w:t>
            </w:r>
          </w:p>
          <w:p w14:paraId="3001EE84">
            <w:pPr>
              <w:keepNext w:val="0"/>
              <w:keepLines w:val="0"/>
              <w:suppressLineNumbers w:val="0"/>
              <w:spacing w:before="0" w:beforeAutospacing="0" w:after="0" w:afterAutospacing="0" w:line="360" w:lineRule="auto"/>
              <w:ind w:left="0" w:right="0" w:firstLine="470" w:firstLineChars="196"/>
              <w:outlineLvl w:val="0"/>
              <w:rPr>
                <w:rFonts w:hint="default"/>
                <w:color w:val="auto"/>
                <w:sz w:val="24"/>
              </w:rPr>
            </w:pPr>
            <w:bookmarkStart w:id="12" w:name="_Toc103325982"/>
            <w:r>
              <w:rPr>
                <w:rFonts w:hint="default"/>
                <w:color w:val="auto"/>
                <w:sz w:val="24"/>
              </w:rPr>
              <w:t>（5）野生动物影响分析</w:t>
            </w:r>
            <w:bookmarkEnd w:id="12"/>
          </w:p>
          <w:p w14:paraId="54CC6647">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rPr>
              <w:t>经调查，</w:t>
            </w:r>
            <w:r>
              <w:rPr>
                <w:rFonts w:hint="eastAsia"/>
                <w:color w:val="auto"/>
                <w:sz w:val="24"/>
                <w:lang w:eastAsia="zh-CN"/>
              </w:rPr>
              <w:t>本工程</w:t>
            </w:r>
            <w:r>
              <w:rPr>
                <w:rFonts w:hint="eastAsia"/>
                <w:color w:val="auto"/>
                <w:sz w:val="24"/>
              </w:rPr>
              <w:t>井场区不是国家重点保护野生动物的集中栖息地和繁殖地，区内野生动物为一些常见种类，例如野兔、刺猬、田鼠、蛇等小型动物出没。项目的施工建设会对当地野生动物栖息环境产生一定的影响，栖息地的减少使动物的活动空间减少，使一些小型动物的活动范围受限。由于</w:t>
            </w:r>
            <w:r>
              <w:rPr>
                <w:rFonts w:hint="eastAsia"/>
                <w:color w:val="auto"/>
                <w:sz w:val="24"/>
                <w:lang w:eastAsia="zh-CN"/>
              </w:rPr>
              <w:t>本工程</w:t>
            </w:r>
            <w:r>
              <w:rPr>
                <w:rFonts w:hint="eastAsia"/>
                <w:color w:val="auto"/>
                <w:sz w:val="24"/>
              </w:rPr>
              <w:t>临时占地占用时间较短，且区内主要为小型动物，其领地面积相对较小，因此，项目建设对</w:t>
            </w:r>
            <w:r>
              <w:rPr>
                <w:rFonts w:hint="eastAsia"/>
                <w:color w:val="auto"/>
                <w:sz w:val="24"/>
                <w:highlight w:val="none"/>
              </w:rPr>
              <w:t>其</w:t>
            </w:r>
            <w:r>
              <w:rPr>
                <w:rFonts w:hint="eastAsia"/>
                <w:color w:val="auto"/>
                <w:sz w:val="24"/>
              </w:rPr>
              <w:t>动物的影响并不十分明显</w:t>
            </w:r>
            <w:r>
              <w:rPr>
                <w:rFonts w:hint="default"/>
                <w:color w:val="auto"/>
                <w:sz w:val="24"/>
              </w:rPr>
              <w:t>。</w:t>
            </w:r>
          </w:p>
          <w:p w14:paraId="4A10468A">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（6）生态完整性影响评价</w:t>
            </w:r>
          </w:p>
          <w:p w14:paraId="72F1D771">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项目生产建设将对区域生态完整性产生一定的影响。</w:t>
            </w:r>
            <w:r>
              <w:rPr>
                <w:rFonts w:hint="default"/>
                <w:color w:val="auto"/>
                <w:sz w:val="24"/>
                <w:highlight w:val="none"/>
              </w:rPr>
              <w:t>本</w:t>
            </w:r>
            <w:r>
              <w:rPr>
                <w:rFonts w:hint="default"/>
                <w:color w:val="auto"/>
                <w:sz w:val="24"/>
              </w:rPr>
              <w:t>评价生态完整性评价主要从项目建设对区域生态系统生产能力以及稳定性影响两方面进行分析。</w:t>
            </w:r>
          </w:p>
          <w:p w14:paraId="6E0A7096">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fldChar w:fldCharType="begin"/>
            </w:r>
            <w:r>
              <w:rPr>
                <w:rFonts w:hint="default"/>
                <w:color w:val="auto"/>
                <w:sz w:val="24"/>
              </w:rPr>
              <w:instrText xml:space="preserve"> = 1 \* GB3 </w:instrText>
            </w:r>
            <w:r>
              <w:rPr>
                <w:rFonts w:hint="default"/>
                <w:color w:val="auto"/>
                <w:sz w:val="24"/>
              </w:rPr>
              <w:fldChar w:fldCharType="separate"/>
            </w:r>
            <w:r>
              <w:rPr>
                <w:rFonts w:hint="eastAsia" w:ascii="宋体" w:hAnsi="宋体" w:cs="宋体"/>
                <w:color w:val="auto"/>
                <w:sz w:val="24"/>
              </w:rPr>
              <w:t>①</w:t>
            </w:r>
            <w:r>
              <w:rPr>
                <w:rFonts w:hint="default"/>
                <w:color w:val="auto"/>
                <w:sz w:val="24"/>
              </w:rPr>
              <w:fldChar w:fldCharType="end"/>
            </w:r>
            <w:r>
              <w:rPr>
                <w:rFonts w:hint="default"/>
                <w:color w:val="auto"/>
                <w:sz w:val="24"/>
              </w:rPr>
              <w:t>生态系统生产能力分析</w:t>
            </w:r>
          </w:p>
          <w:p w14:paraId="501BC480">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生物与环境共同作用使生物具备了适应环境的能力，而且由于生物的生产能力，可以对受到干扰的自然体系发挥修复的功能，从而维持自然体系的生态平衡。</w:t>
            </w:r>
          </w:p>
          <w:p w14:paraId="68EF162D">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项目实施后将对局部自然植被产生一定的影响，生产力有所降低，区域内以农作物和灌草为主，项目结束后将按土地复垦方案进行复垦，在占地范围内种植农作物，以增加植被地表覆盖度，因此项目的建设不会对生态系统生产能力产生明显影响。</w:t>
            </w:r>
          </w:p>
          <w:p w14:paraId="7EA6BBB1">
            <w:pPr>
              <w:keepNext w:val="0"/>
              <w:keepLines w:val="0"/>
              <w:suppressLineNumbers w:val="0"/>
              <w:spacing w:before="0" w:beforeAutospacing="0" w:after="0" w:afterAutospacing="0" w:line="360" w:lineRule="auto"/>
              <w:ind w:left="0" w:right="0" w:firstLine="470" w:firstLineChars="196"/>
              <w:outlineLvl w:val="0"/>
              <w:rPr>
                <w:rFonts w:hint="default"/>
                <w:color w:val="auto"/>
                <w:sz w:val="24"/>
              </w:rPr>
            </w:pPr>
            <w:r>
              <w:rPr>
                <w:rFonts w:hint="default"/>
                <w:color w:val="auto"/>
                <w:sz w:val="24"/>
              </w:rPr>
              <w:fldChar w:fldCharType="begin"/>
            </w:r>
            <w:r>
              <w:rPr>
                <w:rFonts w:hint="default"/>
                <w:color w:val="auto"/>
                <w:sz w:val="24"/>
              </w:rPr>
              <w:instrText xml:space="preserve"> = 2 \* GB3 </w:instrText>
            </w:r>
            <w:r>
              <w:rPr>
                <w:rFonts w:hint="default"/>
                <w:color w:val="auto"/>
                <w:sz w:val="24"/>
              </w:rPr>
              <w:fldChar w:fldCharType="separate"/>
            </w:r>
            <w:bookmarkStart w:id="13" w:name="_Toc103325983"/>
            <w:r>
              <w:rPr>
                <w:rFonts w:hint="eastAsia" w:ascii="宋体" w:hAnsi="宋体" w:cs="宋体"/>
                <w:color w:val="auto"/>
                <w:sz w:val="24"/>
              </w:rPr>
              <w:t>②</w:t>
            </w:r>
            <w:r>
              <w:rPr>
                <w:rFonts w:hint="default"/>
                <w:color w:val="auto"/>
                <w:sz w:val="24"/>
              </w:rPr>
              <w:fldChar w:fldCharType="end"/>
            </w:r>
            <w:r>
              <w:rPr>
                <w:rFonts w:hint="default"/>
                <w:color w:val="auto"/>
                <w:sz w:val="24"/>
              </w:rPr>
              <w:t>生态系统稳定性影响分析</w:t>
            </w:r>
            <w:bookmarkEnd w:id="13"/>
          </w:p>
          <w:p w14:paraId="582D8C52">
            <w:pPr>
              <w:keepNext w:val="0"/>
              <w:keepLines w:val="0"/>
              <w:suppressLineNumbers w:val="0"/>
              <w:spacing w:before="0" w:beforeAutospacing="0" w:after="0" w:afterAutospacing="0" w:line="360" w:lineRule="auto"/>
              <w:ind w:left="0" w:right="0" w:firstLine="470" w:firstLineChars="196"/>
              <w:outlineLvl w:val="0"/>
              <w:rPr>
                <w:rFonts w:hint="default"/>
                <w:color w:val="auto"/>
                <w:sz w:val="24"/>
              </w:rPr>
            </w:pPr>
            <w:bookmarkStart w:id="14" w:name="_Toc103325984"/>
            <w:r>
              <w:rPr>
                <w:rFonts w:hint="default"/>
                <w:color w:val="auto"/>
                <w:sz w:val="24"/>
              </w:rPr>
              <w:t>生态系统稳定性的强弱直接关系到在多大程度上可以保证生态系统的功能得以正常运作。稳定性受生态系统中主要生态组分的种类、数量、时空分布的异质性</w:t>
            </w:r>
            <w:r>
              <w:rPr>
                <w:rFonts w:hint="eastAsia"/>
                <w:color w:val="auto"/>
                <w:sz w:val="24"/>
              </w:rPr>
              <w:t>（</w:t>
            </w:r>
            <w:r>
              <w:rPr>
                <w:rFonts w:hint="default"/>
                <w:color w:val="auto"/>
                <w:sz w:val="24"/>
              </w:rPr>
              <w:t>异质化程度</w:t>
            </w:r>
            <w:r>
              <w:rPr>
                <w:rFonts w:hint="eastAsia"/>
                <w:color w:val="auto"/>
                <w:sz w:val="24"/>
              </w:rPr>
              <w:t>）</w:t>
            </w:r>
            <w:r>
              <w:rPr>
                <w:rFonts w:hint="default"/>
                <w:color w:val="auto"/>
                <w:sz w:val="24"/>
              </w:rPr>
              <w:t>所制约。景观等级以上的自然体系需要有高的异质性，因此生态系统的异质性可作为稳定性的度量。对异质性的量化可用多样性指标表示，该指标既考虑了不同群落类型所占景观总面积的大小及分布的均匀程度，又考虑了群落类</w:t>
            </w:r>
            <w:r>
              <w:rPr>
                <w:rFonts w:hint="default"/>
                <w:color w:val="auto"/>
                <w:sz w:val="24"/>
                <w:highlight w:val="none"/>
              </w:rPr>
              <w:t>型</w:t>
            </w:r>
            <w:r>
              <w:rPr>
                <w:rFonts w:hint="default"/>
                <w:color w:val="auto"/>
                <w:sz w:val="24"/>
              </w:rPr>
              <w:t>数量。</w:t>
            </w:r>
            <w:bookmarkEnd w:id="14"/>
          </w:p>
          <w:p w14:paraId="619577E2">
            <w:pPr>
              <w:keepNext w:val="0"/>
              <w:keepLines w:val="0"/>
              <w:suppressLineNumbers w:val="0"/>
              <w:spacing w:before="0" w:beforeAutospacing="0" w:after="0" w:afterAutospacing="0" w:line="360" w:lineRule="auto"/>
              <w:ind w:left="0" w:right="0" w:firstLine="470" w:firstLineChars="196"/>
              <w:outlineLvl w:val="0"/>
              <w:rPr>
                <w:rFonts w:hint="default"/>
                <w:color w:val="auto"/>
                <w:sz w:val="24"/>
              </w:rPr>
            </w:pPr>
            <w:bookmarkStart w:id="15" w:name="_Toc103325985"/>
            <w:bookmarkStart w:id="16" w:name="_Toc103325986"/>
            <w:r>
              <w:rPr>
                <w:rFonts w:hint="default"/>
                <w:color w:val="auto"/>
                <w:sz w:val="24"/>
              </w:rPr>
              <w:t>项目区域内的地表植被主要为人工经济作物，未发现原生和受保护的植物物种，项目建设涉及的植被种类均为当地常见种和广布种，因此项目的建设仅会对植物造成数量上的减少，并不会对区域植物的物种丰富度、多样性产生影响，亦不涉及自然群落演替变化。同时项目现状占地区域无野生动物迁移通道，不会破坏生境连通性，不会对生态系统稳定性产生明显影响。</w:t>
            </w:r>
            <w:bookmarkEnd w:id="15"/>
          </w:p>
          <w:p w14:paraId="7CDD9FF5">
            <w:pPr>
              <w:keepNext w:val="0"/>
              <w:keepLines w:val="0"/>
              <w:suppressLineNumbers w:val="0"/>
              <w:spacing w:before="0" w:beforeAutospacing="0" w:after="0" w:afterAutospacing="0" w:line="360" w:lineRule="auto"/>
              <w:ind w:left="0" w:right="0" w:firstLine="470" w:firstLineChars="196"/>
              <w:outlineLvl w:val="0"/>
              <w:rPr>
                <w:rFonts w:hint="default"/>
                <w:color w:val="auto"/>
                <w:sz w:val="24"/>
              </w:rPr>
            </w:pPr>
            <w:r>
              <w:rPr>
                <w:rFonts w:hint="default"/>
                <w:color w:val="auto"/>
                <w:sz w:val="24"/>
              </w:rPr>
              <w:t>综合分析，项目占地</w:t>
            </w:r>
            <w:r>
              <w:rPr>
                <w:rFonts w:hint="eastAsia"/>
                <w:color w:val="auto"/>
                <w:sz w:val="24"/>
                <w:lang w:eastAsia="zh-CN"/>
              </w:rPr>
              <w:t>非常</w:t>
            </w:r>
            <w:r>
              <w:rPr>
                <w:rFonts w:hint="default"/>
                <w:color w:val="auto"/>
                <w:sz w:val="24"/>
              </w:rPr>
              <w:t>集中，</w:t>
            </w:r>
            <w:r>
              <w:rPr>
                <w:rFonts w:hint="default"/>
                <w:color w:val="auto"/>
                <w:sz w:val="24"/>
                <w:lang w:val="en-US" w:eastAsia="zh-CN"/>
              </w:rPr>
              <w:t>勘探期只有60天</w:t>
            </w:r>
            <w:r>
              <w:rPr>
                <w:rFonts w:hint="eastAsia"/>
                <w:color w:val="auto"/>
                <w:sz w:val="24"/>
                <w:lang w:val="en-US" w:eastAsia="zh-CN"/>
              </w:rPr>
              <w:t>，</w:t>
            </w:r>
            <w:r>
              <w:rPr>
                <w:rFonts w:hint="default"/>
                <w:color w:val="auto"/>
                <w:sz w:val="24"/>
              </w:rPr>
              <w:t>占地范围</w:t>
            </w:r>
            <w:r>
              <w:rPr>
                <w:rFonts w:hint="eastAsia"/>
                <w:color w:val="auto"/>
                <w:sz w:val="24"/>
                <w:lang w:eastAsia="zh-CN"/>
              </w:rPr>
              <w:t>及评价范围</w:t>
            </w:r>
            <w:r>
              <w:rPr>
                <w:rFonts w:hint="default"/>
                <w:color w:val="auto"/>
                <w:sz w:val="24"/>
              </w:rPr>
              <w:t>内无重点保护野生动植物、濒危易危物种、极小种群野生植物等，涉及的植被种类均为当地常见种和广布种，不会引起区域群落组成、空间格局变化。受人类活动影响，现状占地区域不属于野生动植物适宜生境，亦无野生动物迁移通道，不会破坏生境连通性。生态系统的结构和功能、完整性和稳定性基本维持现状。</w:t>
            </w:r>
            <w:bookmarkEnd w:id="16"/>
          </w:p>
          <w:p w14:paraId="67B26E53">
            <w:pPr>
              <w:keepNext w:val="0"/>
              <w:keepLines w:val="0"/>
              <w:suppressLineNumbers w:val="0"/>
              <w:spacing w:before="0" w:beforeAutospacing="0" w:after="0" w:afterAutospacing="0" w:line="360" w:lineRule="auto"/>
              <w:ind w:left="0" w:right="0" w:firstLine="482" w:firstLineChars="200"/>
              <w:rPr>
                <w:rFonts w:hint="default"/>
                <w:color w:val="auto"/>
                <w:sz w:val="24"/>
                <w:szCs w:val="32"/>
              </w:rPr>
            </w:pPr>
            <w:r>
              <w:rPr>
                <w:rFonts w:hint="eastAsia"/>
                <w:b/>
                <w:color w:val="auto"/>
                <w:sz w:val="24"/>
                <w:szCs w:val="32"/>
              </w:rPr>
              <w:t>六</w:t>
            </w:r>
            <w:r>
              <w:rPr>
                <w:rFonts w:hint="default"/>
                <w:b/>
                <w:color w:val="auto"/>
                <w:sz w:val="24"/>
                <w:szCs w:val="32"/>
              </w:rPr>
              <w:t>、</w:t>
            </w:r>
            <w:r>
              <w:rPr>
                <w:rFonts w:hint="eastAsia"/>
                <w:b/>
                <w:color w:val="auto"/>
                <w:sz w:val="24"/>
                <w:szCs w:val="32"/>
                <w:lang w:eastAsia="zh-CN"/>
              </w:rPr>
              <w:t>环境</w:t>
            </w:r>
            <w:r>
              <w:rPr>
                <w:rFonts w:hint="default"/>
                <w:b/>
                <w:color w:val="auto"/>
                <w:sz w:val="24"/>
                <w:szCs w:val="32"/>
              </w:rPr>
              <w:t>风险分析</w:t>
            </w:r>
          </w:p>
          <w:p w14:paraId="72EC9E43">
            <w:pPr>
              <w:keepNext w:val="0"/>
              <w:keepLines w:val="0"/>
              <w:suppressLineNumbers w:val="0"/>
              <w:spacing w:before="0" w:beforeAutospacing="0" w:after="0" w:afterAutospacing="0" w:line="360" w:lineRule="auto"/>
              <w:ind w:left="0" w:right="0" w:firstLine="482" w:firstLineChars="200"/>
              <w:jc w:val="left"/>
              <w:rPr>
                <w:rFonts w:hint="default"/>
                <w:b/>
                <w:color w:val="auto"/>
                <w:sz w:val="24"/>
              </w:rPr>
            </w:pPr>
            <w:r>
              <w:rPr>
                <w:rFonts w:hint="eastAsia"/>
                <w:b/>
                <w:color w:val="auto"/>
                <w:sz w:val="24"/>
              </w:rPr>
              <w:t>1</w:t>
            </w:r>
            <w:r>
              <w:rPr>
                <w:rFonts w:hint="default"/>
                <w:b/>
                <w:color w:val="auto"/>
                <w:sz w:val="24"/>
              </w:rPr>
              <w:t>、环境风险识别</w:t>
            </w:r>
          </w:p>
          <w:p w14:paraId="0764123F">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eastAsia"/>
                <w:color w:val="auto"/>
                <w:sz w:val="24"/>
                <w:szCs w:val="32"/>
              </w:rPr>
              <w:t>因</w:t>
            </w:r>
            <w:r>
              <w:rPr>
                <w:rFonts w:hint="eastAsia"/>
                <w:color w:val="auto"/>
                <w:sz w:val="24"/>
                <w:szCs w:val="32"/>
                <w:lang w:eastAsia="zh-CN"/>
              </w:rPr>
              <w:t>本工程</w:t>
            </w:r>
            <w:r>
              <w:rPr>
                <w:rFonts w:hint="eastAsia"/>
                <w:color w:val="auto"/>
                <w:sz w:val="24"/>
                <w:szCs w:val="32"/>
              </w:rPr>
              <w:t>为勘探项目，钻井时因事故而导致的风险源强无法量化，本评价对探井可能存在的风险因素进行定性分析，分析风险发生的可能性，并提出相应的事故防范措施和应急方案。</w:t>
            </w:r>
          </w:p>
          <w:p w14:paraId="497EAD4E">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default"/>
                <w:color w:val="auto"/>
                <w:sz w:val="24"/>
                <w:szCs w:val="32"/>
              </w:rPr>
              <w:t>（1）物质</w:t>
            </w:r>
            <w:r>
              <w:rPr>
                <w:rFonts w:hint="eastAsia"/>
                <w:color w:val="auto"/>
                <w:sz w:val="24"/>
                <w:szCs w:val="32"/>
                <w:lang w:eastAsia="zh-CN"/>
              </w:rPr>
              <w:t>风险源</w:t>
            </w:r>
            <w:r>
              <w:rPr>
                <w:rFonts w:hint="default"/>
                <w:color w:val="auto"/>
                <w:sz w:val="24"/>
                <w:szCs w:val="32"/>
              </w:rPr>
              <w:t>识别</w:t>
            </w:r>
          </w:p>
          <w:p w14:paraId="6F6892C1">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default"/>
                <w:color w:val="auto"/>
                <w:sz w:val="24"/>
                <w:szCs w:val="32"/>
              </w:rPr>
              <w:t>项目涉及的</w:t>
            </w:r>
            <w:r>
              <w:rPr>
                <w:rFonts w:hint="eastAsia"/>
                <w:color w:val="auto"/>
                <w:sz w:val="24"/>
                <w:szCs w:val="32"/>
                <w:lang w:val="en-US" w:eastAsia="zh-CN"/>
              </w:rPr>
              <w:t>环境风险物质</w:t>
            </w:r>
            <w:r>
              <w:rPr>
                <w:rFonts w:hint="default"/>
                <w:color w:val="auto"/>
                <w:sz w:val="24"/>
                <w:szCs w:val="32"/>
              </w:rPr>
              <w:t>，包括勘探中井场储存的柴油、试油开采出的原油</w:t>
            </w:r>
            <w:r>
              <w:rPr>
                <w:rFonts w:hint="eastAsia"/>
                <w:color w:val="auto"/>
                <w:sz w:val="24"/>
                <w:szCs w:val="32"/>
              </w:rPr>
              <w:t>（</w:t>
            </w:r>
            <w:r>
              <w:rPr>
                <w:rFonts w:hint="default"/>
                <w:color w:val="auto"/>
                <w:sz w:val="24"/>
                <w:szCs w:val="32"/>
              </w:rPr>
              <w:t>以采出液的形式，含水高</w:t>
            </w:r>
            <w:r>
              <w:rPr>
                <w:rFonts w:hint="eastAsia"/>
                <w:color w:val="auto"/>
                <w:sz w:val="24"/>
                <w:szCs w:val="32"/>
              </w:rPr>
              <w:t>）</w:t>
            </w:r>
            <w:r>
              <w:rPr>
                <w:rFonts w:hint="default"/>
                <w:color w:val="auto"/>
                <w:sz w:val="24"/>
                <w:szCs w:val="32"/>
              </w:rPr>
              <w:t>以及伴生气。其危险特性见表</w:t>
            </w:r>
            <w:r>
              <w:rPr>
                <w:rFonts w:hint="eastAsia"/>
                <w:color w:val="auto"/>
                <w:sz w:val="24"/>
                <w:szCs w:val="32"/>
              </w:rPr>
              <w:t>4</w:t>
            </w:r>
            <w:r>
              <w:rPr>
                <w:rFonts w:hint="default"/>
                <w:color w:val="auto"/>
                <w:sz w:val="24"/>
                <w:szCs w:val="32"/>
              </w:rPr>
              <w:t>-</w:t>
            </w:r>
            <w:r>
              <w:rPr>
                <w:rFonts w:hint="eastAsia"/>
                <w:color w:val="auto"/>
                <w:sz w:val="24"/>
                <w:szCs w:val="32"/>
              </w:rPr>
              <w:t>6</w:t>
            </w:r>
            <w:r>
              <w:rPr>
                <w:rFonts w:hint="default"/>
                <w:color w:val="auto"/>
                <w:sz w:val="24"/>
                <w:szCs w:val="32"/>
              </w:rPr>
              <w:t>，</w:t>
            </w:r>
            <w:r>
              <w:rPr>
                <w:rFonts w:hint="eastAsia"/>
                <w:color w:val="auto"/>
                <w:sz w:val="24"/>
                <w:szCs w:val="32"/>
              </w:rPr>
              <w:t>危险物质Q值确定表4-7，</w:t>
            </w:r>
            <w:r>
              <w:rPr>
                <w:rFonts w:hint="default"/>
                <w:color w:val="auto"/>
                <w:sz w:val="24"/>
                <w:szCs w:val="32"/>
              </w:rPr>
              <w:t>危险物质的理化性质详见表</w:t>
            </w:r>
            <w:r>
              <w:rPr>
                <w:rFonts w:hint="eastAsia"/>
                <w:color w:val="auto"/>
                <w:sz w:val="24"/>
                <w:szCs w:val="32"/>
              </w:rPr>
              <w:t>4</w:t>
            </w:r>
            <w:r>
              <w:rPr>
                <w:rFonts w:hint="default"/>
                <w:color w:val="auto"/>
                <w:sz w:val="24"/>
                <w:szCs w:val="32"/>
              </w:rPr>
              <w:t>-</w:t>
            </w:r>
            <w:r>
              <w:rPr>
                <w:rFonts w:hint="eastAsia"/>
                <w:color w:val="auto"/>
                <w:sz w:val="24"/>
                <w:szCs w:val="32"/>
              </w:rPr>
              <w:t>8</w:t>
            </w:r>
            <w:r>
              <w:rPr>
                <w:rFonts w:hint="default"/>
                <w:color w:val="auto"/>
                <w:sz w:val="24"/>
                <w:szCs w:val="32"/>
              </w:rPr>
              <w:t>、表</w:t>
            </w:r>
            <w:r>
              <w:rPr>
                <w:rFonts w:hint="eastAsia"/>
                <w:color w:val="auto"/>
                <w:sz w:val="24"/>
                <w:szCs w:val="32"/>
              </w:rPr>
              <w:t>4</w:t>
            </w:r>
            <w:r>
              <w:rPr>
                <w:rFonts w:hint="default"/>
                <w:color w:val="auto"/>
                <w:sz w:val="24"/>
                <w:szCs w:val="32"/>
              </w:rPr>
              <w:t>-</w:t>
            </w:r>
            <w:r>
              <w:rPr>
                <w:rFonts w:hint="eastAsia"/>
                <w:color w:val="auto"/>
                <w:sz w:val="24"/>
                <w:szCs w:val="32"/>
              </w:rPr>
              <w:t>9</w:t>
            </w:r>
            <w:r>
              <w:rPr>
                <w:rFonts w:hint="default"/>
                <w:color w:val="auto"/>
                <w:sz w:val="24"/>
                <w:szCs w:val="32"/>
              </w:rPr>
              <w:t>、表</w:t>
            </w:r>
            <w:r>
              <w:rPr>
                <w:rFonts w:hint="eastAsia"/>
                <w:color w:val="auto"/>
                <w:sz w:val="24"/>
                <w:szCs w:val="32"/>
              </w:rPr>
              <w:t>4</w:t>
            </w:r>
            <w:r>
              <w:rPr>
                <w:rFonts w:hint="default"/>
                <w:color w:val="auto"/>
                <w:sz w:val="24"/>
                <w:szCs w:val="32"/>
              </w:rPr>
              <w:t>-</w:t>
            </w:r>
            <w:r>
              <w:rPr>
                <w:rFonts w:hint="eastAsia"/>
                <w:color w:val="auto"/>
                <w:sz w:val="24"/>
                <w:szCs w:val="32"/>
              </w:rPr>
              <w:t>10</w:t>
            </w:r>
            <w:r>
              <w:rPr>
                <w:rFonts w:hint="default"/>
                <w:color w:val="auto"/>
                <w:sz w:val="24"/>
                <w:szCs w:val="32"/>
              </w:rPr>
              <w:t>、表</w:t>
            </w:r>
            <w:r>
              <w:rPr>
                <w:rFonts w:hint="eastAsia"/>
                <w:color w:val="auto"/>
                <w:sz w:val="24"/>
                <w:szCs w:val="32"/>
              </w:rPr>
              <w:t>4</w:t>
            </w:r>
            <w:r>
              <w:rPr>
                <w:rFonts w:hint="default"/>
                <w:color w:val="auto"/>
                <w:sz w:val="24"/>
                <w:szCs w:val="32"/>
              </w:rPr>
              <w:t>-</w:t>
            </w:r>
            <w:r>
              <w:rPr>
                <w:rFonts w:hint="eastAsia"/>
                <w:color w:val="auto"/>
                <w:sz w:val="24"/>
                <w:szCs w:val="32"/>
              </w:rPr>
              <w:t>11</w:t>
            </w:r>
            <w:r>
              <w:rPr>
                <w:rFonts w:hint="default"/>
                <w:color w:val="auto"/>
                <w:sz w:val="24"/>
                <w:szCs w:val="32"/>
              </w:rPr>
              <w:t>。</w:t>
            </w:r>
          </w:p>
          <w:p w14:paraId="7E8D79FC">
            <w:pPr>
              <w:keepNext w:val="0"/>
              <w:keepLines w:val="0"/>
              <w:suppressLineNumbers w:val="0"/>
              <w:autoSpaceDE w:val="0"/>
              <w:autoSpaceDN w:val="0"/>
              <w:adjustRightInd w:val="0"/>
              <w:spacing w:before="0" w:beforeAutospacing="0" w:after="0" w:afterAutospacing="0"/>
              <w:ind w:left="0" w:right="0" w:firstLine="482" w:firstLineChars="200"/>
              <w:jc w:val="center"/>
              <w:rPr>
                <w:rFonts w:hint="default"/>
                <w:b/>
                <w:color w:val="auto"/>
                <w:kern w:val="0"/>
                <w:sz w:val="24"/>
              </w:rPr>
            </w:pPr>
            <w:r>
              <w:rPr>
                <w:rFonts w:hint="default"/>
                <w:b/>
                <w:color w:val="auto"/>
                <w:kern w:val="0"/>
                <w:sz w:val="24"/>
              </w:rPr>
              <w:t>表</w:t>
            </w:r>
            <w:r>
              <w:rPr>
                <w:rFonts w:hint="eastAsia"/>
                <w:b/>
                <w:color w:val="auto"/>
                <w:kern w:val="0"/>
                <w:sz w:val="24"/>
              </w:rPr>
              <w:t>4</w:t>
            </w:r>
            <w:r>
              <w:rPr>
                <w:rFonts w:hint="default"/>
                <w:b/>
                <w:color w:val="auto"/>
                <w:kern w:val="0"/>
                <w:sz w:val="24"/>
              </w:rPr>
              <w:t>-</w:t>
            </w:r>
            <w:r>
              <w:rPr>
                <w:rFonts w:hint="eastAsia"/>
                <w:b/>
                <w:color w:val="auto"/>
                <w:kern w:val="0"/>
                <w:sz w:val="24"/>
              </w:rPr>
              <w:t xml:space="preserve">6 </w:t>
            </w:r>
            <w:r>
              <w:rPr>
                <w:rFonts w:hint="default"/>
                <w:b/>
                <w:color w:val="auto"/>
                <w:kern w:val="0"/>
                <w:sz w:val="24"/>
              </w:rPr>
              <w:t>危险物质危险特性</w:t>
            </w:r>
          </w:p>
          <w:tbl>
            <w:tblPr>
              <w:tblStyle w:val="30"/>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133"/>
              <w:gridCol w:w="1990"/>
              <w:gridCol w:w="2123"/>
              <w:gridCol w:w="2949"/>
            </w:tblGrid>
            <w:tr w14:paraId="1C84CEA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25" w:hRule="atLeast"/>
              </w:trPr>
              <w:tc>
                <w:tcPr>
                  <w:tcW w:w="691" w:type="pct"/>
                  <w:noWrap w:val="0"/>
                  <w:vAlign w:val="center"/>
                </w:tcPr>
                <w:p w14:paraId="022A55A2">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序号</w:t>
                  </w:r>
                </w:p>
              </w:tc>
              <w:tc>
                <w:tcPr>
                  <w:tcW w:w="1214" w:type="pct"/>
                  <w:noWrap w:val="0"/>
                  <w:vAlign w:val="center"/>
                </w:tcPr>
                <w:p w14:paraId="18E389F8">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危险化学品名称</w:t>
                  </w:r>
                </w:p>
              </w:tc>
              <w:tc>
                <w:tcPr>
                  <w:tcW w:w="1295" w:type="pct"/>
                  <w:noWrap w:val="0"/>
                  <w:vAlign w:val="center"/>
                </w:tcPr>
                <w:p w14:paraId="1FB5F5D3">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危险货物编号</w:t>
                  </w:r>
                </w:p>
              </w:tc>
              <w:tc>
                <w:tcPr>
                  <w:tcW w:w="1798" w:type="pct"/>
                  <w:noWrap w:val="0"/>
                  <w:vAlign w:val="center"/>
                </w:tcPr>
                <w:p w14:paraId="5360A366">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物质危险性</w:t>
                  </w:r>
                </w:p>
              </w:tc>
            </w:tr>
            <w:tr w14:paraId="23ED4D8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25" w:hRule="atLeast"/>
              </w:trPr>
              <w:tc>
                <w:tcPr>
                  <w:tcW w:w="691" w:type="pct"/>
                  <w:noWrap w:val="0"/>
                  <w:vAlign w:val="center"/>
                </w:tcPr>
                <w:p w14:paraId="77A9D13E">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1</w:t>
                  </w:r>
                </w:p>
              </w:tc>
              <w:tc>
                <w:tcPr>
                  <w:tcW w:w="1214" w:type="pct"/>
                  <w:noWrap w:val="0"/>
                  <w:vAlign w:val="center"/>
                </w:tcPr>
                <w:p w14:paraId="6BEDB9A4">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柴油</w:t>
                  </w:r>
                </w:p>
              </w:tc>
              <w:tc>
                <w:tcPr>
                  <w:tcW w:w="1295" w:type="pct"/>
                  <w:noWrap w:val="0"/>
                  <w:vAlign w:val="center"/>
                </w:tcPr>
                <w:p w14:paraId="6CDC0086">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33502</w:t>
                  </w:r>
                </w:p>
              </w:tc>
              <w:tc>
                <w:tcPr>
                  <w:tcW w:w="1798" w:type="pct"/>
                  <w:noWrap w:val="0"/>
                  <w:vAlign w:val="center"/>
                </w:tcPr>
                <w:p w14:paraId="63DDBD01">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高闪点易燃液体</w:t>
                  </w:r>
                </w:p>
              </w:tc>
            </w:tr>
            <w:tr w14:paraId="6E9DEB1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25" w:hRule="atLeast"/>
              </w:trPr>
              <w:tc>
                <w:tcPr>
                  <w:tcW w:w="691" w:type="pct"/>
                  <w:noWrap w:val="0"/>
                  <w:vAlign w:val="center"/>
                </w:tcPr>
                <w:p w14:paraId="30B5851C">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2</w:t>
                  </w:r>
                </w:p>
              </w:tc>
              <w:tc>
                <w:tcPr>
                  <w:tcW w:w="1214" w:type="pct"/>
                  <w:noWrap w:val="0"/>
                  <w:vAlign w:val="center"/>
                </w:tcPr>
                <w:p w14:paraId="6B4B9A43">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原油</w:t>
                  </w:r>
                </w:p>
              </w:tc>
              <w:tc>
                <w:tcPr>
                  <w:tcW w:w="1295" w:type="pct"/>
                  <w:noWrap w:val="0"/>
                  <w:vAlign w:val="center"/>
                </w:tcPr>
                <w:p w14:paraId="1B43DED8">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32003</w:t>
                  </w:r>
                </w:p>
              </w:tc>
              <w:tc>
                <w:tcPr>
                  <w:tcW w:w="1798" w:type="pct"/>
                  <w:noWrap w:val="0"/>
                  <w:vAlign w:val="center"/>
                </w:tcPr>
                <w:p w14:paraId="07DCE946">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中闪点易燃液体</w:t>
                  </w:r>
                </w:p>
              </w:tc>
            </w:tr>
            <w:tr w14:paraId="0D63238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25" w:hRule="atLeast"/>
              </w:trPr>
              <w:tc>
                <w:tcPr>
                  <w:tcW w:w="691" w:type="pct"/>
                  <w:noWrap w:val="0"/>
                  <w:vAlign w:val="center"/>
                </w:tcPr>
                <w:p w14:paraId="01D985D9">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3</w:t>
                  </w:r>
                </w:p>
              </w:tc>
              <w:tc>
                <w:tcPr>
                  <w:tcW w:w="1214" w:type="pct"/>
                  <w:noWrap w:val="0"/>
                  <w:vAlign w:val="center"/>
                </w:tcPr>
                <w:p w14:paraId="1DE6F714">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伴生气（CH</w:t>
                  </w:r>
                  <w:r>
                    <w:rPr>
                      <w:rFonts w:hint="default"/>
                      <w:color w:val="auto"/>
                      <w:szCs w:val="21"/>
                      <w:vertAlign w:val="subscript"/>
                    </w:rPr>
                    <w:t>4</w:t>
                  </w:r>
                  <w:r>
                    <w:rPr>
                      <w:rFonts w:hint="default"/>
                      <w:color w:val="auto"/>
                      <w:szCs w:val="21"/>
                    </w:rPr>
                    <w:t>）</w:t>
                  </w:r>
                </w:p>
              </w:tc>
              <w:tc>
                <w:tcPr>
                  <w:tcW w:w="1295" w:type="pct"/>
                  <w:noWrap w:val="0"/>
                  <w:vAlign w:val="center"/>
                </w:tcPr>
                <w:p w14:paraId="0ACA2C28">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21007</w:t>
                  </w:r>
                </w:p>
              </w:tc>
              <w:tc>
                <w:tcPr>
                  <w:tcW w:w="1798" w:type="pct"/>
                  <w:noWrap w:val="0"/>
                  <w:vAlign w:val="center"/>
                </w:tcPr>
                <w:p w14:paraId="5821D1BE">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易燃气体</w:t>
                  </w:r>
                </w:p>
              </w:tc>
            </w:tr>
            <w:tr w14:paraId="4FBC3BA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25" w:hRule="atLeast"/>
              </w:trPr>
              <w:tc>
                <w:tcPr>
                  <w:tcW w:w="691" w:type="pct"/>
                  <w:noWrap w:val="0"/>
                  <w:vAlign w:val="center"/>
                </w:tcPr>
                <w:p w14:paraId="05610EF5">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4</w:t>
                  </w:r>
                </w:p>
              </w:tc>
              <w:tc>
                <w:tcPr>
                  <w:tcW w:w="1214" w:type="pct"/>
                  <w:noWrap w:val="0"/>
                  <w:vAlign w:val="center"/>
                </w:tcPr>
                <w:p w14:paraId="0783F742">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氢氧化钠</w:t>
                  </w:r>
                </w:p>
              </w:tc>
              <w:tc>
                <w:tcPr>
                  <w:tcW w:w="1295" w:type="pct"/>
                  <w:noWrap w:val="0"/>
                  <w:vAlign w:val="center"/>
                </w:tcPr>
                <w:p w14:paraId="0B5A1157">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82001</w:t>
                  </w:r>
                </w:p>
              </w:tc>
              <w:tc>
                <w:tcPr>
                  <w:tcW w:w="1798" w:type="pct"/>
                  <w:noWrap w:val="0"/>
                  <w:vAlign w:val="center"/>
                </w:tcPr>
                <w:p w14:paraId="67EA52BC">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腐蚀品</w:t>
                  </w:r>
                </w:p>
              </w:tc>
            </w:tr>
            <w:tr w14:paraId="09AA20E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25" w:hRule="atLeast"/>
              </w:trPr>
              <w:tc>
                <w:tcPr>
                  <w:tcW w:w="691" w:type="pct"/>
                  <w:noWrap w:val="0"/>
                  <w:vAlign w:val="center"/>
                </w:tcPr>
                <w:p w14:paraId="1EB095BF">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5</w:t>
                  </w:r>
                </w:p>
              </w:tc>
              <w:tc>
                <w:tcPr>
                  <w:tcW w:w="1214" w:type="pct"/>
                  <w:noWrap w:val="0"/>
                  <w:vAlign w:val="center"/>
                </w:tcPr>
                <w:p w14:paraId="6922B3EA">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废机油</w:t>
                  </w:r>
                </w:p>
              </w:tc>
              <w:tc>
                <w:tcPr>
                  <w:tcW w:w="1295" w:type="pct"/>
                  <w:noWrap w:val="0"/>
                  <w:vAlign w:val="center"/>
                </w:tcPr>
                <w:p w14:paraId="4560C8AD">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33502</w:t>
                  </w:r>
                </w:p>
              </w:tc>
              <w:tc>
                <w:tcPr>
                  <w:tcW w:w="1798" w:type="pct"/>
                  <w:noWrap w:val="0"/>
                  <w:vAlign w:val="center"/>
                </w:tcPr>
                <w:p w14:paraId="5ED6FC82">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高闪点易燃液体</w:t>
                  </w:r>
                </w:p>
              </w:tc>
            </w:tr>
          </w:tbl>
          <w:p w14:paraId="567F8812">
            <w:pPr>
              <w:keepNext w:val="0"/>
              <w:keepLines w:val="0"/>
              <w:suppressLineNumbers w:val="0"/>
              <w:spacing w:before="0" w:beforeAutospacing="0" w:after="0" w:afterAutospacing="0" w:line="360" w:lineRule="auto"/>
              <w:ind w:left="0" w:right="0" w:firstLine="480" w:firstLineChars="200"/>
              <w:rPr>
                <w:rFonts w:hint="eastAsia" w:eastAsia="宋体"/>
                <w:color w:val="auto"/>
                <w:sz w:val="24"/>
                <w:szCs w:val="32"/>
                <w:lang w:val="en-US" w:eastAsia="zh-CN"/>
              </w:rPr>
            </w:pPr>
            <w:r>
              <w:rPr>
                <w:rFonts w:hint="eastAsia"/>
                <w:color w:val="auto"/>
                <w:sz w:val="24"/>
                <w:szCs w:val="32"/>
                <w:lang w:eastAsia="zh-CN"/>
              </w:rPr>
              <w:t>本工程</w:t>
            </w:r>
            <w:r>
              <w:rPr>
                <w:rFonts w:hint="eastAsia"/>
                <w:color w:val="auto"/>
                <w:sz w:val="24"/>
                <w:szCs w:val="32"/>
              </w:rPr>
              <w:t>施工期钻井井场设置1个柴油罐，储存柴油量为40m</w:t>
            </w:r>
            <w:r>
              <w:rPr>
                <w:rFonts w:hint="eastAsia"/>
                <w:color w:val="auto"/>
                <w:sz w:val="24"/>
                <w:szCs w:val="32"/>
                <w:vertAlign w:val="superscript"/>
              </w:rPr>
              <w:t>3</w:t>
            </w:r>
            <w:r>
              <w:rPr>
                <w:rFonts w:hint="eastAsia"/>
                <w:color w:val="auto"/>
                <w:sz w:val="24"/>
                <w:szCs w:val="32"/>
              </w:rPr>
              <w:t>，柴油密度按0.85t/m</w:t>
            </w:r>
            <w:r>
              <w:rPr>
                <w:rFonts w:hint="eastAsia"/>
                <w:color w:val="auto"/>
                <w:sz w:val="24"/>
                <w:szCs w:val="32"/>
                <w:vertAlign w:val="superscript"/>
              </w:rPr>
              <w:t>3</w:t>
            </w:r>
            <w:r>
              <w:rPr>
                <w:rFonts w:hint="eastAsia"/>
                <w:color w:val="auto"/>
                <w:sz w:val="24"/>
                <w:szCs w:val="32"/>
              </w:rPr>
              <w:t>计，</w:t>
            </w:r>
            <w:r>
              <w:rPr>
                <w:rFonts w:hint="eastAsia"/>
                <w:color w:val="auto"/>
                <w:sz w:val="24"/>
                <w:szCs w:val="32"/>
                <w:lang w:eastAsia="zh-CN"/>
              </w:rPr>
              <w:t>充装系数为</w:t>
            </w:r>
            <w:r>
              <w:rPr>
                <w:rFonts w:hint="eastAsia"/>
                <w:color w:val="auto"/>
                <w:sz w:val="24"/>
                <w:szCs w:val="32"/>
                <w:lang w:val="en-US" w:eastAsia="zh-CN"/>
              </w:rPr>
              <w:t>0.9，</w:t>
            </w:r>
            <w:r>
              <w:rPr>
                <w:rFonts w:hint="eastAsia"/>
                <w:color w:val="auto"/>
                <w:sz w:val="24"/>
                <w:szCs w:val="32"/>
              </w:rPr>
              <w:t>则</w:t>
            </w:r>
            <w:r>
              <w:rPr>
                <w:rFonts w:hint="eastAsia"/>
                <w:color w:val="auto"/>
                <w:sz w:val="24"/>
                <w:szCs w:val="32"/>
                <w:lang w:eastAsia="zh-CN"/>
              </w:rPr>
              <w:t>本工程</w:t>
            </w:r>
            <w:r>
              <w:rPr>
                <w:rFonts w:hint="eastAsia"/>
                <w:color w:val="auto"/>
                <w:sz w:val="24"/>
                <w:szCs w:val="32"/>
              </w:rPr>
              <w:t>柴油罐最大储油量为</w:t>
            </w:r>
            <w:r>
              <w:rPr>
                <w:rFonts w:hint="eastAsia"/>
                <w:color w:val="auto"/>
                <w:sz w:val="24"/>
                <w:szCs w:val="32"/>
                <w:lang w:val="en-US" w:eastAsia="zh-CN"/>
              </w:rPr>
              <w:t>30.4</w:t>
            </w:r>
            <w:r>
              <w:rPr>
                <w:rFonts w:hint="eastAsia"/>
                <w:color w:val="auto"/>
                <w:sz w:val="24"/>
                <w:szCs w:val="32"/>
              </w:rPr>
              <w:t>t；试油期设置2个储液罐（一用一备），单个储液罐最大储存原油量为40m</w:t>
            </w:r>
            <w:r>
              <w:rPr>
                <w:rFonts w:hint="eastAsia"/>
                <w:color w:val="auto"/>
                <w:sz w:val="24"/>
                <w:szCs w:val="32"/>
                <w:vertAlign w:val="superscript"/>
              </w:rPr>
              <w:t>3</w:t>
            </w:r>
            <w:r>
              <w:rPr>
                <w:rFonts w:hint="eastAsia"/>
                <w:color w:val="auto"/>
                <w:sz w:val="24"/>
                <w:szCs w:val="32"/>
              </w:rPr>
              <w:t>，原油密度按0.9t/m</w:t>
            </w:r>
            <w:r>
              <w:rPr>
                <w:rFonts w:hint="eastAsia"/>
                <w:color w:val="auto"/>
                <w:sz w:val="24"/>
                <w:szCs w:val="32"/>
                <w:vertAlign w:val="superscript"/>
              </w:rPr>
              <w:t>3</w:t>
            </w:r>
            <w:r>
              <w:rPr>
                <w:rFonts w:hint="eastAsia"/>
                <w:color w:val="auto"/>
                <w:sz w:val="24"/>
                <w:szCs w:val="32"/>
              </w:rPr>
              <w:t>计，则储液罐最大储油量为72t；油气比按15m</w:t>
            </w:r>
            <w:r>
              <w:rPr>
                <w:rFonts w:hint="eastAsia"/>
                <w:color w:val="auto"/>
                <w:sz w:val="24"/>
                <w:szCs w:val="32"/>
                <w:vertAlign w:val="superscript"/>
              </w:rPr>
              <w:t>3</w:t>
            </w:r>
            <w:r>
              <w:rPr>
                <w:rFonts w:hint="eastAsia"/>
                <w:color w:val="auto"/>
                <w:sz w:val="24"/>
                <w:szCs w:val="32"/>
              </w:rPr>
              <w:t>/t，伴生气密度按0.85kg/m</w:t>
            </w:r>
            <w:r>
              <w:rPr>
                <w:rFonts w:hint="eastAsia"/>
                <w:color w:val="auto"/>
                <w:sz w:val="24"/>
                <w:szCs w:val="32"/>
                <w:vertAlign w:val="superscript"/>
              </w:rPr>
              <w:t>3</w:t>
            </w:r>
            <w:r>
              <w:rPr>
                <w:rFonts w:hint="eastAsia"/>
                <w:color w:val="auto"/>
                <w:sz w:val="24"/>
                <w:szCs w:val="32"/>
              </w:rPr>
              <w:t>计，则伴生气量为0.92t</w:t>
            </w:r>
            <w:r>
              <w:rPr>
                <w:rFonts w:hint="eastAsia"/>
                <w:color w:val="auto"/>
                <w:sz w:val="24"/>
                <w:szCs w:val="32"/>
                <w:lang w:eastAsia="zh-CN"/>
              </w:rPr>
              <w:t>；</w:t>
            </w:r>
            <w:r>
              <w:rPr>
                <w:rFonts w:hint="eastAsia"/>
                <w:color w:val="auto"/>
                <w:sz w:val="24"/>
                <w:szCs w:val="32"/>
              </w:rPr>
              <w:t>废机油最大暂存量0.</w:t>
            </w:r>
            <w:r>
              <w:rPr>
                <w:rFonts w:hint="eastAsia"/>
                <w:color w:val="auto"/>
                <w:sz w:val="24"/>
                <w:szCs w:val="32"/>
                <w:lang w:val="en-US" w:eastAsia="zh-CN"/>
              </w:rPr>
              <w:t>1</w:t>
            </w:r>
            <w:r>
              <w:rPr>
                <w:rFonts w:hint="eastAsia"/>
                <w:color w:val="auto"/>
                <w:sz w:val="24"/>
                <w:szCs w:val="32"/>
              </w:rPr>
              <w:t>t</w:t>
            </w:r>
            <w:r>
              <w:rPr>
                <w:rFonts w:hint="eastAsia"/>
                <w:color w:val="auto"/>
                <w:sz w:val="24"/>
                <w:szCs w:val="32"/>
                <w:lang w:eastAsia="zh-CN"/>
              </w:rPr>
              <w:t>。</w:t>
            </w:r>
          </w:p>
          <w:p w14:paraId="6A47B2A9">
            <w:pPr>
              <w:keepNext w:val="0"/>
              <w:keepLines w:val="0"/>
              <w:suppressLineNumbers w:val="0"/>
              <w:autoSpaceDE w:val="0"/>
              <w:autoSpaceDN w:val="0"/>
              <w:adjustRightInd w:val="0"/>
              <w:spacing w:before="0" w:beforeAutospacing="0" w:after="0" w:afterAutospacing="0"/>
              <w:ind w:left="0" w:right="0" w:firstLine="482" w:firstLineChars="200"/>
              <w:jc w:val="center"/>
              <w:rPr>
                <w:rFonts w:hint="default"/>
                <w:b/>
                <w:color w:val="auto"/>
                <w:kern w:val="0"/>
                <w:sz w:val="24"/>
              </w:rPr>
            </w:pPr>
            <w:r>
              <w:rPr>
                <w:rFonts w:hint="default"/>
                <w:b/>
                <w:color w:val="auto"/>
                <w:kern w:val="0"/>
                <w:sz w:val="24"/>
              </w:rPr>
              <w:t>表</w:t>
            </w:r>
            <w:r>
              <w:rPr>
                <w:rFonts w:hint="eastAsia"/>
                <w:b/>
                <w:color w:val="auto"/>
                <w:kern w:val="0"/>
                <w:sz w:val="24"/>
              </w:rPr>
              <w:t>4</w:t>
            </w:r>
            <w:r>
              <w:rPr>
                <w:rFonts w:hint="default"/>
                <w:b/>
                <w:color w:val="auto"/>
                <w:kern w:val="0"/>
                <w:sz w:val="24"/>
              </w:rPr>
              <w:t>-</w:t>
            </w:r>
            <w:r>
              <w:rPr>
                <w:rFonts w:hint="eastAsia"/>
                <w:b/>
                <w:color w:val="auto"/>
                <w:kern w:val="0"/>
                <w:sz w:val="24"/>
              </w:rPr>
              <w:t xml:space="preserve">7 </w:t>
            </w:r>
            <w:r>
              <w:rPr>
                <w:rFonts w:hint="default"/>
                <w:b/>
                <w:color w:val="auto"/>
                <w:kern w:val="0"/>
                <w:sz w:val="24"/>
              </w:rPr>
              <w:t>危险物质Q</w:t>
            </w:r>
            <w:r>
              <w:rPr>
                <w:rFonts w:hint="eastAsia"/>
                <w:b/>
                <w:color w:val="auto"/>
                <w:kern w:val="0"/>
                <w:sz w:val="24"/>
              </w:rPr>
              <w:t>值确定表</w:t>
            </w:r>
          </w:p>
          <w:tbl>
            <w:tblPr>
              <w:tblStyle w:val="30"/>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643"/>
              <w:gridCol w:w="1505"/>
              <w:gridCol w:w="1351"/>
              <w:gridCol w:w="2098"/>
              <w:gridCol w:w="1503"/>
              <w:gridCol w:w="1095"/>
            </w:tblGrid>
            <w:tr w14:paraId="6FF6857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392" w:type="pct"/>
                  <w:noWrap w:val="0"/>
                  <w:tcMar>
                    <w:left w:w="0" w:type="dxa"/>
                    <w:right w:w="0" w:type="dxa"/>
                  </w:tcMar>
                  <w:vAlign w:val="center"/>
                </w:tcPr>
                <w:p w14:paraId="025E29B4">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序号</w:t>
                  </w:r>
                </w:p>
              </w:tc>
              <w:tc>
                <w:tcPr>
                  <w:tcW w:w="918" w:type="pct"/>
                  <w:noWrap w:val="0"/>
                  <w:tcMar>
                    <w:left w:w="0" w:type="dxa"/>
                    <w:right w:w="0" w:type="dxa"/>
                  </w:tcMar>
                  <w:vAlign w:val="center"/>
                </w:tcPr>
                <w:p w14:paraId="1A991F6E">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危险物质名称</w:t>
                  </w:r>
                </w:p>
              </w:tc>
              <w:tc>
                <w:tcPr>
                  <w:tcW w:w="824" w:type="pct"/>
                  <w:noWrap w:val="0"/>
                  <w:tcMar>
                    <w:left w:w="0" w:type="dxa"/>
                    <w:right w:w="0" w:type="dxa"/>
                  </w:tcMar>
                  <w:vAlign w:val="center"/>
                </w:tcPr>
                <w:p w14:paraId="36E5336B">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CAS号</w:t>
                  </w:r>
                </w:p>
              </w:tc>
              <w:tc>
                <w:tcPr>
                  <w:tcW w:w="1280" w:type="pct"/>
                  <w:noWrap w:val="0"/>
                  <w:tcMar>
                    <w:left w:w="0" w:type="dxa"/>
                    <w:right w:w="0" w:type="dxa"/>
                  </w:tcMar>
                  <w:vAlign w:val="center"/>
                </w:tcPr>
                <w:p w14:paraId="5658E611">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最大存在总量qn /t</w:t>
                  </w:r>
                </w:p>
              </w:tc>
              <w:tc>
                <w:tcPr>
                  <w:tcW w:w="915" w:type="pct"/>
                  <w:noWrap w:val="0"/>
                  <w:tcMar>
                    <w:left w:w="0" w:type="dxa"/>
                    <w:right w:w="0" w:type="dxa"/>
                  </w:tcMar>
                  <w:vAlign w:val="center"/>
                </w:tcPr>
                <w:p w14:paraId="1430DC85">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临界量Qn /t</w:t>
                  </w:r>
                </w:p>
              </w:tc>
              <w:tc>
                <w:tcPr>
                  <w:tcW w:w="668" w:type="pct"/>
                  <w:noWrap w:val="0"/>
                  <w:tcMar>
                    <w:left w:w="0" w:type="dxa"/>
                    <w:right w:w="0" w:type="dxa"/>
                  </w:tcMar>
                  <w:vAlign w:val="center"/>
                </w:tcPr>
                <w:p w14:paraId="193EB2DB">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Q值</w:t>
                  </w:r>
                </w:p>
              </w:tc>
            </w:tr>
            <w:tr w14:paraId="7C3237D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392" w:type="pct"/>
                  <w:noWrap w:val="0"/>
                  <w:tcMar>
                    <w:left w:w="0" w:type="dxa"/>
                    <w:right w:w="0" w:type="dxa"/>
                  </w:tcMar>
                  <w:vAlign w:val="center"/>
                </w:tcPr>
                <w:p w14:paraId="4BB9AC1F">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1</w:t>
                  </w:r>
                </w:p>
              </w:tc>
              <w:tc>
                <w:tcPr>
                  <w:tcW w:w="918" w:type="pct"/>
                  <w:noWrap w:val="0"/>
                  <w:tcMar>
                    <w:left w:w="0" w:type="dxa"/>
                    <w:right w:w="0" w:type="dxa"/>
                  </w:tcMar>
                  <w:vAlign w:val="center"/>
                </w:tcPr>
                <w:p w14:paraId="54430B65">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柴油</w:t>
                  </w:r>
                </w:p>
              </w:tc>
              <w:tc>
                <w:tcPr>
                  <w:tcW w:w="824" w:type="pct"/>
                  <w:noWrap w:val="0"/>
                  <w:tcMar>
                    <w:left w:w="0" w:type="dxa"/>
                    <w:right w:w="0" w:type="dxa"/>
                  </w:tcMar>
                  <w:vAlign w:val="center"/>
                </w:tcPr>
                <w:p w14:paraId="793F30CE">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68334-30-5</w:t>
                  </w:r>
                </w:p>
              </w:tc>
              <w:tc>
                <w:tcPr>
                  <w:tcW w:w="1280" w:type="pct"/>
                  <w:noWrap w:val="0"/>
                  <w:tcMar>
                    <w:left w:w="0" w:type="dxa"/>
                    <w:right w:w="0" w:type="dxa"/>
                  </w:tcMar>
                  <w:vAlign w:val="center"/>
                </w:tcPr>
                <w:p w14:paraId="0056E4C9">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30.4</w:t>
                  </w:r>
                </w:p>
              </w:tc>
              <w:tc>
                <w:tcPr>
                  <w:tcW w:w="915" w:type="pct"/>
                  <w:noWrap w:val="0"/>
                  <w:tcMar>
                    <w:left w:w="0" w:type="dxa"/>
                    <w:right w:w="0" w:type="dxa"/>
                  </w:tcMar>
                  <w:vAlign w:val="center"/>
                </w:tcPr>
                <w:p w14:paraId="780D8F7E">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2500</w:t>
                  </w:r>
                </w:p>
              </w:tc>
              <w:tc>
                <w:tcPr>
                  <w:tcW w:w="668" w:type="pct"/>
                  <w:noWrap w:val="0"/>
                  <w:tcMar>
                    <w:left w:w="0" w:type="dxa"/>
                    <w:right w:w="0" w:type="dxa"/>
                  </w:tcMar>
                  <w:vAlign w:val="center"/>
                </w:tcPr>
                <w:p w14:paraId="73282ABA">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default"/>
                      <w:color w:val="auto"/>
                      <w:szCs w:val="21"/>
                    </w:rPr>
                    <w:t>0.0</w:t>
                  </w:r>
                  <w:r>
                    <w:rPr>
                      <w:rFonts w:hint="eastAsia"/>
                      <w:color w:val="auto"/>
                      <w:szCs w:val="21"/>
                      <w:lang w:val="en-US" w:eastAsia="zh-CN"/>
                    </w:rPr>
                    <w:t>122</w:t>
                  </w:r>
                </w:p>
              </w:tc>
            </w:tr>
            <w:tr w14:paraId="3CBF27D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392" w:type="pct"/>
                  <w:noWrap w:val="0"/>
                  <w:tcMar>
                    <w:left w:w="0" w:type="dxa"/>
                    <w:right w:w="0" w:type="dxa"/>
                  </w:tcMar>
                  <w:vAlign w:val="center"/>
                </w:tcPr>
                <w:p w14:paraId="30D645F1">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2</w:t>
                  </w:r>
                </w:p>
              </w:tc>
              <w:tc>
                <w:tcPr>
                  <w:tcW w:w="918" w:type="pct"/>
                  <w:noWrap w:val="0"/>
                  <w:tcMar>
                    <w:left w:w="0" w:type="dxa"/>
                    <w:right w:w="0" w:type="dxa"/>
                  </w:tcMar>
                  <w:vAlign w:val="center"/>
                </w:tcPr>
                <w:p w14:paraId="3F20CE9C">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采出液</w:t>
                  </w:r>
                  <w:r>
                    <w:rPr>
                      <w:rFonts w:hint="eastAsia"/>
                      <w:color w:val="auto"/>
                      <w:szCs w:val="21"/>
                    </w:rPr>
                    <w:t>（</w:t>
                  </w:r>
                  <w:r>
                    <w:rPr>
                      <w:rFonts w:hint="default"/>
                      <w:color w:val="auto"/>
                      <w:szCs w:val="21"/>
                    </w:rPr>
                    <w:t>原油</w:t>
                  </w:r>
                  <w:r>
                    <w:rPr>
                      <w:rFonts w:hint="eastAsia"/>
                      <w:color w:val="auto"/>
                      <w:szCs w:val="21"/>
                    </w:rPr>
                    <w:t>）</w:t>
                  </w:r>
                </w:p>
              </w:tc>
              <w:tc>
                <w:tcPr>
                  <w:tcW w:w="824" w:type="pct"/>
                  <w:noWrap w:val="0"/>
                  <w:tcMar>
                    <w:left w:w="0" w:type="dxa"/>
                    <w:right w:w="0" w:type="dxa"/>
                  </w:tcMar>
                  <w:vAlign w:val="center"/>
                </w:tcPr>
                <w:p w14:paraId="132446E7">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w:t>
                  </w:r>
                </w:p>
              </w:tc>
              <w:tc>
                <w:tcPr>
                  <w:tcW w:w="1280" w:type="pct"/>
                  <w:noWrap w:val="0"/>
                  <w:tcMar>
                    <w:left w:w="0" w:type="dxa"/>
                    <w:right w:w="0" w:type="dxa"/>
                  </w:tcMar>
                  <w:vAlign w:val="center"/>
                </w:tcPr>
                <w:p w14:paraId="681510F5">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72</w:t>
                  </w:r>
                </w:p>
              </w:tc>
              <w:tc>
                <w:tcPr>
                  <w:tcW w:w="915" w:type="pct"/>
                  <w:noWrap w:val="0"/>
                  <w:tcMar>
                    <w:left w:w="0" w:type="dxa"/>
                    <w:right w:w="0" w:type="dxa"/>
                  </w:tcMar>
                  <w:vAlign w:val="center"/>
                </w:tcPr>
                <w:p w14:paraId="103771D7">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2500</w:t>
                  </w:r>
                </w:p>
              </w:tc>
              <w:tc>
                <w:tcPr>
                  <w:tcW w:w="668" w:type="pct"/>
                  <w:noWrap w:val="0"/>
                  <w:tcMar>
                    <w:left w:w="0" w:type="dxa"/>
                    <w:right w:w="0" w:type="dxa"/>
                  </w:tcMar>
                  <w:vAlign w:val="center"/>
                </w:tcPr>
                <w:p w14:paraId="18211FCE">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0.0</w:t>
                  </w:r>
                  <w:r>
                    <w:rPr>
                      <w:rFonts w:hint="eastAsia"/>
                      <w:color w:val="auto"/>
                      <w:szCs w:val="21"/>
                    </w:rPr>
                    <w:t>288</w:t>
                  </w:r>
                </w:p>
              </w:tc>
            </w:tr>
            <w:tr w14:paraId="111A03E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392" w:type="pct"/>
                  <w:noWrap w:val="0"/>
                  <w:tcMar>
                    <w:left w:w="0" w:type="dxa"/>
                    <w:right w:w="0" w:type="dxa"/>
                  </w:tcMar>
                  <w:vAlign w:val="center"/>
                </w:tcPr>
                <w:p w14:paraId="0DC6A4E1">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3</w:t>
                  </w:r>
                </w:p>
              </w:tc>
              <w:tc>
                <w:tcPr>
                  <w:tcW w:w="918" w:type="pct"/>
                  <w:noWrap w:val="0"/>
                  <w:tcMar>
                    <w:left w:w="0" w:type="dxa"/>
                    <w:right w:w="0" w:type="dxa"/>
                  </w:tcMar>
                  <w:vAlign w:val="center"/>
                </w:tcPr>
                <w:p w14:paraId="00FCF428">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伴生气（CH</w:t>
                  </w:r>
                  <w:r>
                    <w:rPr>
                      <w:rFonts w:hint="default"/>
                      <w:color w:val="auto"/>
                      <w:szCs w:val="21"/>
                      <w:vertAlign w:val="subscript"/>
                    </w:rPr>
                    <w:t>4</w:t>
                  </w:r>
                  <w:r>
                    <w:rPr>
                      <w:rFonts w:hint="default"/>
                      <w:color w:val="auto"/>
                      <w:szCs w:val="21"/>
                    </w:rPr>
                    <w:t>）</w:t>
                  </w:r>
                </w:p>
              </w:tc>
              <w:tc>
                <w:tcPr>
                  <w:tcW w:w="824" w:type="pct"/>
                  <w:noWrap w:val="0"/>
                  <w:tcMar>
                    <w:left w:w="0" w:type="dxa"/>
                    <w:right w:w="0" w:type="dxa"/>
                  </w:tcMar>
                  <w:vAlign w:val="center"/>
                </w:tcPr>
                <w:p w14:paraId="408E5DAD">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74-82-8</w:t>
                  </w:r>
                </w:p>
              </w:tc>
              <w:tc>
                <w:tcPr>
                  <w:tcW w:w="1280" w:type="pct"/>
                  <w:noWrap w:val="0"/>
                  <w:tcMar>
                    <w:left w:w="0" w:type="dxa"/>
                    <w:right w:w="0" w:type="dxa"/>
                  </w:tcMar>
                  <w:vAlign w:val="center"/>
                </w:tcPr>
                <w:p w14:paraId="23666AD4">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0.</w:t>
                  </w:r>
                  <w:r>
                    <w:rPr>
                      <w:rFonts w:hint="eastAsia"/>
                      <w:color w:val="auto"/>
                      <w:szCs w:val="21"/>
                    </w:rPr>
                    <w:t>92</w:t>
                  </w:r>
                </w:p>
              </w:tc>
              <w:tc>
                <w:tcPr>
                  <w:tcW w:w="915" w:type="pct"/>
                  <w:noWrap w:val="0"/>
                  <w:tcMar>
                    <w:left w:w="0" w:type="dxa"/>
                    <w:right w:w="0" w:type="dxa"/>
                  </w:tcMar>
                  <w:vAlign w:val="center"/>
                </w:tcPr>
                <w:p w14:paraId="18CFF650">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10</w:t>
                  </w:r>
                </w:p>
              </w:tc>
              <w:tc>
                <w:tcPr>
                  <w:tcW w:w="668" w:type="pct"/>
                  <w:noWrap w:val="0"/>
                  <w:tcMar>
                    <w:left w:w="0" w:type="dxa"/>
                    <w:right w:w="0" w:type="dxa"/>
                  </w:tcMar>
                  <w:vAlign w:val="center"/>
                </w:tcPr>
                <w:p w14:paraId="0205E3EA">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0.0</w:t>
                  </w:r>
                  <w:r>
                    <w:rPr>
                      <w:rFonts w:hint="eastAsia"/>
                      <w:color w:val="auto"/>
                      <w:szCs w:val="21"/>
                    </w:rPr>
                    <w:t>920</w:t>
                  </w:r>
                </w:p>
              </w:tc>
            </w:tr>
            <w:tr w14:paraId="5AA816E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392" w:type="pct"/>
                  <w:noWrap w:val="0"/>
                  <w:tcMar>
                    <w:left w:w="0" w:type="dxa"/>
                    <w:right w:w="0" w:type="dxa"/>
                  </w:tcMar>
                  <w:vAlign w:val="center"/>
                </w:tcPr>
                <w:p w14:paraId="5105A487">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4</w:t>
                  </w:r>
                </w:p>
              </w:tc>
              <w:tc>
                <w:tcPr>
                  <w:tcW w:w="918" w:type="pct"/>
                  <w:noWrap w:val="0"/>
                  <w:tcMar>
                    <w:left w:w="0" w:type="dxa"/>
                    <w:right w:w="0" w:type="dxa"/>
                  </w:tcMar>
                  <w:vAlign w:val="center"/>
                </w:tcPr>
                <w:p w14:paraId="4DC368C2">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氢氧化钠</w:t>
                  </w:r>
                </w:p>
              </w:tc>
              <w:tc>
                <w:tcPr>
                  <w:tcW w:w="824" w:type="pct"/>
                  <w:noWrap w:val="0"/>
                  <w:tcMar>
                    <w:left w:w="0" w:type="dxa"/>
                    <w:right w:w="0" w:type="dxa"/>
                  </w:tcMar>
                  <w:vAlign w:val="center"/>
                </w:tcPr>
                <w:p w14:paraId="7B4E0FAB">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1310-73-2</w:t>
                  </w:r>
                </w:p>
              </w:tc>
              <w:tc>
                <w:tcPr>
                  <w:tcW w:w="1280" w:type="pct"/>
                  <w:noWrap w:val="0"/>
                  <w:tcMar>
                    <w:left w:w="0" w:type="dxa"/>
                    <w:right w:w="0" w:type="dxa"/>
                  </w:tcMar>
                  <w:vAlign w:val="center"/>
                </w:tcPr>
                <w:p w14:paraId="4C7B739C">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0.3</w:t>
                  </w:r>
                </w:p>
              </w:tc>
              <w:tc>
                <w:tcPr>
                  <w:tcW w:w="915" w:type="pct"/>
                  <w:noWrap w:val="0"/>
                  <w:tcMar>
                    <w:left w:w="0" w:type="dxa"/>
                    <w:right w:w="0" w:type="dxa"/>
                  </w:tcMar>
                  <w:vAlign w:val="center"/>
                </w:tcPr>
                <w:p w14:paraId="5E7CE8F3">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w:t>
                  </w:r>
                </w:p>
              </w:tc>
              <w:tc>
                <w:tcPr>
                  <w:tcW w:w="668" w:type="pct"/>
                  <w:noWrap w:val="0"/>
                  <w:tcMar>
                    <w:left w:w="0" w:type="dxa"/>
                    <w:right w:w="0" w:type="dxa"/>
                  </w:tcMar>
                  <w:vAlign w:val="center"/>
                </w:tcPr>
                <w:p w14:paraId="0259D1EB">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w:t>
                  </w:r>
                </w:p>
              </w:tc>
            </w:tr>
            <w:tr w14:paraId="5728A30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392" w:type="pct"/>
                  <w:noWrap w:val="0"/>
                  <w:tcMar>
                    <w:left w:w="0" w:type="dxa"/>
                    <w:right w:w="0" w:type="dxa"/>
                  </w:tcMar>
                  <w:vAlign w:val="center"/>
                </w:tcPr>
                <w:p w14:paraId="5341E00C">
                  <w:pPr>
                    <w:keepNext w:val="0"/>
                    <w:keepLines w:val="0"/>
                    <w:suppressLineNumbers w:val="0"/>
                    <w:spacing w:before="0" w:beforeAutospacing="0" w:after="0" w:afterAutospacing="0"/>
                    <w:ind w:left="0" w:right="0"/>
                    <w:jc w:val="center"/>
                    <w:rPr>
                      <w:rFonts w:hint="eastAsia" w:eastAsia="宋体"/>
                      <w:color w:val="auto"/>
                      <w:szCs w:val="21"/>
                      <w:lang w:val="en-US" w:eastAsia="zh-CN"/>
                    </w:rPr>
                  </w:pPr>
                  <w:r>
                    <w:rPr>
                      <w:rFonts w:hint="eastAsia"/>
                      <w:color w:val="auto"/>
                      <w:szCs w:val="21"/>
                      <w:lang w:val="en-US" w:eastAsia="zh-CN"/>
                    </w:rPr>
                    <w:t>5</w:t>
                  </w:r>
                </w:p>
              </w:tc>
              <w:tc>
                <w:tcPr>
                  <w:tcW w:w="1505" w:type="dxa"/>
                  <w:noWrap w:val="0"/>
                  <w:tcMar>
                    <w:left w:w="0" w:type="dxa"/>
                    <w:right w:w="0" w:type="dxa"/>
                  </w:tcMar>
                  <w:vAlign w:val="center"/>
                </w:tcPr>
                <w:p w14:paraId="378978F5">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废机油</w:t>
                  </w:r>
                </w:p>
              </w:tc>
              <w:tc>
                <w:tcPr>
                  <w:tcW w:w="1351" w:type="dxa"/>
                  <w:noWrap w:val="0"/>
                  <w:tcMar>
                    <w:left w:w="0" w:type="dxa"/>
                    <w:right w:w="0" w:type="dxa"/>
                  </w:tcMar>
                  <w:vAlign w:val="center"/>
                </w:tcPr>
                <w:p w14:paraId="199D1FE5">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w:t>
                  </w:r>
                </w:p>
              </w:tc>
              <w:tc>
                <w:tcPr>
                  <w:tcW w:w="2098" w:type="dxa"/>
                  <w:noWrap w:val="0"/>
                  <w:tcMar>
                    <w:left w:w="0" w:type="dxa"/>
                    <w:right w:w="0" w:type="dxa"/>
                  </w:tcMar>
                  <w:vAlign w:val="center"/>
                </w:tcPr>
                <w:p w14:paraId="4029D33F">
                  <w:pPr>
                    <w:keepNext w:val="0"/>
                    <w:keepLines w:val="0"/>
                    <w:suppressLineNumbers w:val="0"/>
                    <w:spacing w:before="0" w:beforeAutospacing="0" w:after="0" w:afterAutospacing="0"/>
                    <w:ind w:left="0" w:right="0"/>
                    <w:jc w:val="center"/>
                    <w:rPr>
                      <w:rFonts w:hint="eastAsia" w:eastAsia="宋体"/>
                      <w:color w:val="auto"/>
                      <w:szCs w:val="21"/>
                      <w:lang w:val="en-US" w:eastAsia="zh-CN"/>
                    </w:rPr>
                  </w:pPr>
                  <w:r>
                    <w:rPr>
                      <w:rFonts w:hint="eastAsia"/>
                      <w:color w:val="auto"/>
                      <w:szCs w:val="21"/>
                    </w:rPr>
                    <w:t>0.</w:t>
                  </w:r>
                  <w:r>
                    <w:rPr>
                      <w:rFonts w:hint="eastAsia"/>
                      <w:color w:val="auto"/>
                      <w:szCs w:val="21"/>
                      <w:lang w:val="en-US" w:eastAsia="zh-CN"/>
                    </w:rPr>
                    <w:t>1</w:t>
                  </w:r>
                </w:p>
              </w:tc>
              <w:tc>
                <w:tcPr>
                  <w:tcW w:w="1503" w:type="dxa"/>
                  <w:noWrap w:val="0"/>
                  <w:tcMar>
                    <w:left w:w="0" w:type="dxa"/>
                    <w:right w:w="0" w:type="dxa"/>
                  </w:tcMar>
                  <w:vAlign w:val="center"/>
                </w:tcPr>
                <w:p w14:paraId="041B747D">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2500</w:t>
                  </w:r>
                </w:p>
              </w:tc>
              <w:tc>
                <w:tcPr>
                  <w:tcW w:w="1095" w:type="dxa"/>
                  <w:noWrap w:val="0"/>
                  <w:tcMar>
                    <w:left w:w="0" w:type="dxa"/>
                    <w:right w:w="0" w:type="dxa"/>
                  </w:tcMar>
                  <w:vAlign w:val="center"/>
                </w:tcPr>
                <w:p w14:paraId="54ADAAC0">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rPr>
                    <w:t>0.000</w:t>
                  </w:r>
                  <w:r>
                    <w:rPr>
                      <w:rFonts w:hint="eastAsia"/>
                      <w:color w:val="auto"/>
                      <w:szCs w:val="21"/>
                      <w:lang w:val="en-US" w:eastAsia="zh-CN"/>
                    </w:rPr>
                    <w:t>04</w:t>
                  </w:r>
                </w:p>
              </w:tc>
            </w:tr>
            <w:tr w14:paraId="5E9DFC3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4331" w:type="pct"/>
                  <w:gridSpan w:val="5"/>
                  <w:noWrap w:val="0"/>
                  <w:tcMar>
                    <w:left w:w="0" w:type="dxa"/>
                    <w:right w:w="0" w:type="dxa"/>
                  </w:tcMar>
                  <w:vAlign w:val="center"/>
                </w:tcPr>
                <w:p w14:paraId="51EB2F90">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项目Q值∑</w:t>
                  </w:r>
                </w:p>
              </w:tc>
              <w:tc>
                <w:tcPr>
                  <w:tcW w:w="668" w:type="pct"/>
                  <w:noWrap w:val="0"/>
                  <w:tcMar>
                    <w:left w:w="0" w:type="dxa"/>
                    <w:right w:w="0" w:type="dxa"/>
                  </w:tcMar>
                  <w:vAlign w:val="center"/>
                </w:tcPr>
                <w:p w14:paraId="13AED1C8">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default"/>
                      <w:color w:val="auto"/>
                      <w:szCs w:val="21"/>
                    </w:rPr>
                    <w:t>0.13</w:t>
                  </w:r>
                  <w:r>
                    <w:rPr>
                      <w:rFonts w:hint="eastAsia"/>
                      <w:color w:val="auto"/>
                      <w:szCs w:val="21"/>
                      <w:lang w:val="en-US" w:eastAsia="zh-CN"/>
                    </w:rPr>
                    <w:t>04</w:t>
                  </w:r>
                </w:p>
              </w:tc>
            </w:tr>
          </w:tbl>
          <w:p w14:paraId="55C780C7">
            <w:pPr>
              <w:keepNext w:val="0"/>
              <w:keepLines w:val="0"/>
              <w:suppressLineNumbers w:val="0"/>
              <w:spacing w:before="0" w:beforeAutospacing="0" w:after="0" w:afterAutospacing="0" w:line="360" w:lineRule="auto"/>
              <w:ind w:left="0" w:right="0" w:firstLine="480" w:firstLineChars="200"/>
              <w:rPr>
                <w:rFonts w:hint="eastAsia"/>
                <w:color w:val="auto"/>
                <w:sz w:val="24"/>
                <w:szCs w:val="32"/>
              </w:rPr>
            </w:pPr>
            <w:r>
              <w:rPr>
                <w:rFonts w:hint="default"/>
                <w:color w:val="auto"/>
                <w:sz w:val="24"/>
                <w:szCs w:val="32"/>
              </w:rPr>
              <w:t>由上表Q值结果可得出</w:t>
            </w:r>
            <w:r>
              <w:rPr>
                <w:rFonts w:hint="eastAsia"/>
                <w:color w:val="auto"/>
                <w:sz w:val="24"/>
                <w:szCs w:val="32"/>
              </w:rPr>
              <w:t>，</w:t>
            </w:r>
            <w:r>
              <w:rPr>
                <w:rFonts w:hint="eastAsia"/>
                <w:color w:val="auto"/>
                <w:sz w:val="24"/>
                <w:szCs w:val="32"/>
                <w:lang w:eastAsia="zh-CN"/>
              </w:rPr>
              <w:t>本工程</w:t>
            </w:r>
            <w:r>
              <w:rPr>
                <w:rFonts w:hint="default"/>
                <w:color w:val="auto"/>
                <w:sz w:val="24"/>
                <w:szCs w:val="32"/>
              </w:rPr>
              <w:t>环境风险潜势为</w:t>
            </w:r>
            <w:r>
              <w:rPr>
                <w:rFonts w:hint="default"/>
                <w:color w:val="auto"/>
                <w:sz w:val="24"/>
                <w:szCs w:val="32"/>
              </w:rPr>
              <w:fldChar w:fldCharType="begin"/>
            </w:r>
            <w:r>
              <w:rPr>
                <w:rFonts w:hint="default"/>
                <w:color w:val="auto"/>
                <w:sz w:val="24"/>
                <w:szCs w:val="32"/>
              </w:rPr>
              <w:instrText xml:space="preserve"> = 1 \* ROMAN </w:instrText>
            </w:r>
            <w:r>
              <w:rPr>
                <w:rFonts w:hint="default"/>
                <w:color w:val="auto"/>
                <w:sz w:val="24"/>
                <w:szCs w:val="32"/>
              </w:rPr>
              <w:fldChar w:fldCharType="separate"/>
            </w:r>
            <w:r>
              <w:rPr>
                <w:rFonts w:hint="default"/>
                <w:color w:val="auto"/>
                <w:sz w:val="24"/>
                <w:szCs w:val="32"/>
              </w:rPr>
              <w:t>I</w:t>
            </w:r>
            <w:r>
              <w:rPr>
                <w:rFonts w:hint="default"/>
                <w:color w:val="auto"/>
                <w:sz w:val="24"/>
                <w:szCs w:val="32"/>
              </w:rPr>
              <w:fldChar w:fldCharType="end"/>
            </w:r>
            <w:r>
              <w:rPr>
                <w:rFonts w:hint="eastAsia"/>
                <w:color w:val="auto"/>
                <w:sz w:val="24"/>
                <w:szCs w:val="32"/>
              </w:rPr>
              <w:t>，</w:t>
            </w:r>
            <w:r>
              <w:rPr>
                <w:rFonts w:hint="default"/>
                <w:color w:val="auto"/>
                <w:sz w:val="24"/>
                <w:szCs w:val="32"/>
              </w:rPr>
              <w:t>环境风险评价工作等级划分为简单分析</w:t>
            </w:r>
            <w:r>
              <w:rPr>
                <w:rFonts w:hint="eastAsia"/>
                <w:color w:val="auto"/>
                <w:sz w:val="24"/>
                <w:szCs w:val="32"/>
              </w:rPr>
              <w:t>。</w:t>
            </w:r>
          </w:p>
          <w:p w14:paraId="6DC2E16D">
            <w:pPr>
              <w:keepNext w:val="0"/>
              <w:keepLines w:val="0"/>
              <w:suppressLineNumbers w:val="0"/>
              <w:autoSpaceDE w:val="0"/>
              <w:autoSpaceDN w:val="0"/>
              <w:adjustRightInd w:val="0"/>
              <w:spacing w:before="0" w:beforeAutospacing="0" w:after="0" w:afterAutospacing="0"/>
              <w:ind w:left="0" w:right="0"/>
              <w:jc w:val="center"/>
              <w:rPr>
                <w:rFonts w:hint="default"/>
                <w:b/>
                <w:color w:val="auto"/>
                <w:kern w:val="0"/>
                <w:sz w:val="24"/>
              </w:rPr>
            </w:pPr>
            <w:r>
              <w:rPr>
                <w:rFonts w:hint="default"/>
                <w:b/>
                <w:color w:val="auto"/>
                <w:kern w:val="0"/>
                <w:sz w:val="24"/>
              </w:rPr>
              <w:t>表4-</w:t>
            </w:r>
            <w:r>
              <w:rPr>
                <w:rFonts w:hint="eastAsia"/>
                <w:b/>
                <w:color w:val="auto"/>
                <w:kern w:val="0"/>
                <w:sz w:val="24"/>
              </w:rPr>
              <w:t xml:space="preserve">8 </w:t>
            </w:r>
            <w:r>
              <w:rPr>
                <w:rFonts w:hint="default"/>
                <w:b/>
                <w:color w:val="auto"/>
                <w:kern w:val="0"/>
                <w:sz w:val="24"/>
              </w:rPr>
              <w:t>原油的理化性质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47"/>
              <w:gridCol w:w="1811"/>
              <w:gridCol w:w="1973"/>
              <w:gridCol w:w="111"/>
              <w:gridCol w:w="1426"/>
              <w:gridCol w:w="46"/>
              <w:gridCol w:w="2181"/>
            </w:tblGrid>
            <w:tr w14:paraId="23BA01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5" w:type="pct"/>
                  <w:vMerge w:val="restart"/>
                  <w:noWrap w:val="0"/>
                  <w:vAlign w:val="center"/>
                </w:tcPr>
                <w:p w14:paraId="22BAAC85">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标识</w:t>
                  </w:r>
                </w:p>
              </w:tc>
              <w:tc>
                <w:tcPr>
                  <w:tcW w:w="1105" w:type="pct"/>
                  <w:noWrap w:val="0"/>
                  <w:vAlign w:val="center"/>
                </w:tcPr>
                <w:p w14:paraId="6CE95B09">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中文名</w:t>
                  </w:r>
                </w:p>
              </w:tc>
              <w:tc>
                <w:tcPr>
                  <w:tcW w:w="1204" w:type="pct"/>
                  <w:noWrap w:val="0"/>
                  <w:vAlign w:val="center"/>
                </w:tcPr>
                <w:p w14:paraId="566A79BC">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原油</w:t>
                  </w:r>
                </w:p>
              </w:tc>
              <w:tc>
                <w:tcPr>
                  <w:tcW w:w="938" w:type="pct"/>
                  <w:gridSpan w:val="2"/>
                  <w:noWrap w:val="0"/>
                  <w:vAlign w:val="center"/>
                </w:tcPr>
                <w:p w14:paraId="3DB9E869">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英文名</w:t>
                  </w:r>
                </w:p>
              </w:tc>
              <w:tc>
                <w:tcPr>
                  <w:tcW w:w="1358" w:type="pct"/>
                  <w:gridSpan w:val="2"/>
                  <w:noWrap w:val="0"/>
                  <w:vAlign w:val="center"/>
                </w:tcPr>
                <w:p w14:paraId="23D70D85">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Petroleum</w:t>
                  </w:r>
                  <w:r>
                    <w:rPr>
                      <w:rFonts w:hint="default"/>
                      <w:color w:val="auto"/>
                      <w:szCs w:val="21"/>
                      <w:highlight w:val="none"/>
                    </w:rPr>
                    <w:t>；</w:t>
                  </w:r>
                  <w:r>
                    <w:rPr>
                      <w:rFonts w:hint="default"/>
                      <w:color w:val="auto"/>
                      <w:szCs w:val="21"/>
                    </w:rPr>
                    <w:t>Crude oil</w:t>
                  </w:r>
                </w:p>
              </w:tc>
            </w:tr>
            <w:tr w14:paraId="1C9C5C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5" w:type="pct"/>
                  <w:vMerge w:val="continue"/>
                  <w:noWrap w:val="0"/>
                  <w:vAlign w:val="center"/>
                </w:tcPr>
                <w:p w14:paraId="04123E04">
                  <w:pPr>
                    <w:keepNext w:val="0"/>
                    <w:keepLines w:val="0"/>
                    <w:widowControl/>
                    <w:suppressLineNumbers w:val="0"/>
                    <w:spacing w:before="0" w:beforeAutospacing="0" w:after="0" w:afterAutospacing="0"/>
                    <w:ind w:left="0" w:right="0"/>
                    <w:jc w:val="left"/>
                    <w:rPr>
                      <w:rFonts w:hint="default"/>
                      <w:color w:val="auto"/>
                      <w:szCs w:val="21"/>
                    </w:rPr>
                  </w:pPr>
                </w:p>
              </w:tc>
              <w:tc>
                <w:tcPr>
                  <w:tcW w:w="1105" w:type="pct"/>
                  <w:noWrap w:val="0"/>
                  <w:vAlign w:val="center"/>
                </w:tcPr>
                <w:p w14:paraId="0C265FA0">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危险货物编号</w:t>
                  </w:r>
                </w:p>
              </w:tc>
              <w:tc>
                <w:tcPr>
                  <w:tcW w:w="1204" w:type="pct"/>
                  <w:noWrap w:val="0"/>
                  <w:vAlign w:val="center"/>
                </w:tcPr>
                <w:p w14:paraId="06358BB4">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32003</w:t>
                  </w:r>
                </w:p>
              </w:tc>
              <w:tc>
                <w:tcPr>
                  <w:tcW w:w="938" w:type="pct"/>
                  <w:gridSpan w:val="2"/>
                  <w:noWrap w:val="0"/>
                  <w:vAlign w:val="center"/>
                </w:tcPr>
                <w:p w14:paraId="31C58093">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UN编号</w:t>
                  </w:r>
                </w:p>
              </w:tc>
              <w:tc>
                <w:tcPr>
                  <w:tcW w:w="1358" w:type="pct"/>
                  <w:gridSpan w:val="2"/>
                  <w:noWrap w:val="0"/>
                  <w:vAlign w:val="center"/>
                </w:tcPr>
                <w:p w14:paraId="15DD94B9">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1267</w:t>
                  </w:r>
                  <w:r>
                    <w:rPr>
                      <w:rFonts w:hint="default"/>
                      <w:color w:val="auto"/>
                      <w:szCs w:val="21"/>
                      <w:highlight w:val="none"/>
                    </w:rPr>
                    <w:t>；</w:t>
                  </w:r>
                  <w:r>
                    <w:rPr>
                      <w:rFonts w:hint="default"/>
                      <w:color w:val="auto"/>
                      <w:szCs w:val="21"/>
                    </w:rPr>
                    <w:t>1255</w:t>
                  </w:r>
                </w:p>
              </w:tc>
            </w:tr>
            <w:tr w14:paraId="524EBB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5" w:type="pct"/>
                  <w:vMerge w:val="continue"/>
                  <w:noWrap w:val="0"/>
                  <w:vAlign w:val="center"/>
                </w:tcPr>
                <w:p w14:paraId="45EF0DAD">
                  <w:pPr>
                    <w:keepNext w:val="0"/>
                    <w:keepLines w:val="0"/>
                    <w:widowControl/>
                    <w:suppressLineNumbers w:val="0"/>
                    <w:spacing w:before="0" w:beforeAutospacing="0" w:after="0" w:afterAutospacing="0"/>
                    <w:ind w:left="0" w:right="0"/>
                    <w:jc w:val="left"/>
                    <w:rPr>
                      <w:rFonts w:hint="default"/>
                      <w:color w:val="auto"/>
                      <w:szCs w:val="21"/>
                    </w:rPr>
                  </w:pPr>
                </w:p>
              </w:tc>
              <w:tc>
                <w:tcPr>
                  <w:tcW w:w="1105" w:type="pct"/>
                  <w:noWrap w:val="0"/>
                  <w:vAlign w:val="center"/>
                </w:tcPr>
                <w:p w14:paraId="00C34C57">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CAS 号</w:t>
                  </w:r>
                </w:p>
              </w:tc>
              <w:tc>
                <w:tcPr>
                  <w:tcW w:w="1204" w:type="pct"/>
                  <w:noWrap w:val="0"/>
                  <w:vAlign w:val="center"/>
                </w:tcPr>
                <w:p w14:paraId="37ABD536">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8002-05-9</w:t>
                  </w:r>
                </w:p>
              </w:tc>
              <w:tc>
                <w:tcPr>
                  <w:tcW w:w="938" w:type="pct"/>
                  <w:gridSpan w:val="2"/>
                  <w:noWrap w:val="0"/>
                  <w:vAlign w:val="center"/>
                </w:tcPr>
                <w:p w14:paraId="503A5B49">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分子量</w:t>
                  </w:r>
                </w:p>
              </w:tc>
              <w:tc>
                <w:tcPr>
                  <w:tcW w:w="1358" w:type="pct"/>
                  <w:gridSpan w:val="2"/>
                  <w:noWrap w:val="0"/>
                  <w:vAlign w:val="center"/>
                </w:tcPr>
                <w:p w14:paraId="4ADF50C3">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w:t>
                  </w:r>
                </w:p>
              </w:tc>
            </w:tr>
            <w:tr w14:paraId="78D604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5" w:type="pct"/>
                  <w:vMerge w:val="restart"/>
                  <w:noWrap w:val="0"/>
                  <w:vAlign w:val="center"/>
                </w:tcPr>
                <w:p w14:paraId="6CBFC43F">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理化性质</w:t>
                  </w:r>
                </w:p>
              </w:tc>
              <w:tc>
                <w:tcPr>
                  <w:tcW w:w="1105" w:type="pct"/>
                  <w:noWrap w:val="0"/>
                  <w:vAlign w:val="center"/>
                </w:tcPr>
                <w:p w14:paraId="1BE1AE8D">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外观与形状</w:t>
                  </w:r>
                </w:p>
              </w:tc>
              <w:tc>
                <w:tcPr>
                  <w:tcW w:w="3499" w:type="pct"/>
                  <w:gridSpan w:val="5"/>
                  <w:noWrap w:val="0"/>
                  <w:vAlign w:val="center"/>
                </w:tcPr>
                <w:p w14:paraId="2C6222FF">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浅黄色至黄色，有绿色荧光的稠厚性油状液体</w:t>
                  </w:r>
                </w:p>
              </w:tc>
            </w:tr>
            <w:tr w14:paraId="40B3F9F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5" w:type="pct"/>
                  <w:vMerge w:val="continue"/>
                  <w:noWrap w:val="0"/>
                  <w:vAlign w:val="center"/>
                </w:tcPr>
                <w:p w14:paraId="2BF62C96">
                  <w:pPr>
                    <w:keepNext w:val="0"/>
                    <w:keepLines w:val="0"/>
                    <w:widowControl/>
                    <w:suppressLineNumbers w:val="0"/>
                    <w:spacing w:before="0" w:beforeAutospacing="0" w:after="0" w:afterAutospacing="0"/>
                    <w:ind w:left="0" w:right="0"/>
                    <w:jc w:val="left"/>
                    <w:rPr>
                      <w:rFonts w:hint="default"/>
                      <w:color w:val="auto"/>
                      <w:szCs w:val="21"/>
                    </w:rPr>
                  </w:pPr>
                </w:p>
              </w:tc>
              <w:tc>
                <w:tcPr>
                  <w:tcW w:w="1105" w:type="pct"/>
                  <w:noWrap w:val="0"/>
                  <w:vAlign w:val="center"/>
                </w:tcPr>
                <w:p w14:paraId="76257144">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相对密度</w:t>
                  </w:r>
                </w:p>
              </w:tc>
              <w:tc>
                <w:tcPr>
                  <w:tcW w:w="3499" w:type="pct"/>
                  <w:gridSpan w:val="5"/>
                  <w:noWrap w:val="0"/>
                  <w:vAlign w:val="center"/>
                </w:tcPr>
                <w:p w14:paraId="38D328B5">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（水=1）0.780-0.970（空气=1）&gt;1.0</w:t>
                  </w:r>
                </w:p>
              </w:tc>
            </w:tr>
            <w:tr w14:paraId="04342B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5" w:type="pct"/>
                  <w:vMerge w:val="continue"/>
                  <w:noWrap w:val="0"/>
                  <w:vAlign w:val="center"/>
                </w:tcPr>
                <w:p w14:paraId="3E45BE45">
                  <w:pPr>
                    <w:keepNext w:val="0"/>
                    <w:keepLines w:val="0"/>
                    <w:widowControl/>
                    <w:suppressLineNumbers w:val="0"/>
                    <w:spacing w:before="0" w:beforeAutospacing="0" w:after="0" w:afterAutospacing="0"/>
                    <w:ind w:left="0" w:right="0"/>
                    <w:jc w:val="left"/>
                    <w:rPr>
                      <w:rFonts w:hint="default"/>
                      <w:color w:val="auto"/>
                      <w:szCs w:val="21"/>
                    </w:rPr>
                  </w:pPr>
                </w:p>
              </w:tc>
              <w:tc>
                <w:tcPr>
                  <w:tcW w:w="1105" w:type="pct"/>
                  <w:noWrap w:val="0"/>
                  <w:vAlign w:val="center"/>
                </w:tcPr>
                <w:p w14:paraId="251A6E30">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熔（凝固）点：℃</w:t>
                  </w:r>
                </w:p>
              </w:tc>
              <w:tc>
                <w:tcPr>
                  <w:tcW w:w="1204" w:type="pct"/>
                  <w:noWrap w:val="0"/>
                  <w:vAlign w:val="center"/>
                </w:tcPr>
                <w:p w14:paraId="6279DEBB">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-60℃</w:t>
                  </w:r>
                </w:p>
              </w:tc>
              <w:tc>
                <w:tcPr>
                  <w:tcW w:w="938" w:type="pct"/>
                  <w:gridSpan w:val="2"/>
                  <w:noWrap w:val="0"/>
                  <w:vAlign w:val="center"/>
                </w:tcPr>
                <w:p w14:paraId="54F008D6">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沸点</w:t>
                  </w:r>
                  <w:r>
                    <w:rPr>
                      <w:rFonts w:hint="eastAsia"/>
                      <w:color w:val="auto"/>
                      <w:szCs w:val="21"/>
                      <w:lang w:eastAsia="zh-CN"/>
                    </w:rPr>
                    <w:t>：</w:t>
                  </w:r>
                  <w:r>
                    <w:rPr>
                      <w:rFonts w:hint="default"/>
                      <w:color w:val="auto"/>
                      <w:szCs w:val="21"/>
                    </w:rPr>
                    <w:t>℃</w:t>
                  </w:r>
                </w:p>
              </w:tc>
              <w:tc>
                <w:tcPr>
                  <w:tcW w:w="1358" w:type="pct"/>
                  <w:gridSpan w:val="2"/>
                  <w:noWrap w:val="0"/>
                  <w:vAlign w:val="center"/>
                </w:tcPr>
                <w:p w14:paraId="1053EF2A">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自常温至500℃以上</w:t>
                  </w:r>
                </w:p>
              </w:tc>
            </w:tr>
            <w:tr w14:paraId="4624BA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5" w:type="pct"/>
                  <w:vMerge w:val="continue"/>
                  <w:noWrap w:val="0"/>
                  <w:vAlign w:val="center"/>
                </w:tcPr>
                <w:p w14:paraId="6CC0C916">
                  <w:pPr>
                    <w:keepNext w:val="0"/>
                    <w:keepLines w:val="0"/>
                    <w:widowControl/>
                    <w:suppressLineNumbers w:val="0"/>
                    <w:spacing w:before="0" w:beforeAutospacing="0" w:after="0" w:afterAutospacing="0"/>
                    <w:ind w:left="0" w:right="0"/>
                    <w:jc w:val="left"/>
                    <w:rPr>
                      <w:rFonts w:hint="default"/>
                      <w:color w:val="auto"/>
                      <w:szCs w:val="21"/>
                    </w:rPr>
                  </w:pPr>
                </w:p>
              </w:tc>
              <w:tc>
                <w:tcPr>
                  <w:tcW w:w="1105" w:type="pct"/>
                  <w:noWrap w:val="0"/>
                  <w:vAlign w:val="center"/>
                </w:tcPr>
                <w:p w14:paraId="131D2B01">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溶解性</w:t>
                  </w:r>
                </w:p>
              </w:tc>
              <w:tc>
                <w:tcPr>
                  <w:tcW w:w="3499" w:type="pct"/>
                  <w:gridSpan w:val="5"/>
                  <w:noWrap w:val="0"/>
                  <w:vAlign w:val="center"/>
                </w:tcPr>
                <w:p w14:paraId="4B081015">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不溶于水，溶于多数有机溶剂</w:t>
                  </w:r>
                </w:p>
              </w:tc>
            </w:tr>
            <w:tr w14:paraId="66AAEE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5" w:type="pct"/>
                  <w:vMerge w:val="restart"/>
                  <w:noWrap w:val="0"/>
                  <w:vAlign w:val="center"/>
                </w:tcPr>
                <w:p w14:paraId="6AFA90AF">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燃烧爆炸危险性</w:t>
                  </w:r>
                </w:p>
              </w:tc>
              <w:tc>
                <w:tcPr>
                  <w:tcW w:w="1105" w:type="pct"/>
                  <w:noWrap w:val="0"/>
                  <w:vAlign w:val="center"/>
                </w:tcPr>
                <w:p w14:paraId="3FBE08C0">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燃烧性</w:t>
                  </w:r>
                </w:p>
              </w:tc>
              <w:tc>
                <w:tcPr>
                  <w:tcW w:w="1204" w:type="pct"/>
                  <w:noWrap w:val="0"/>
                  <w:vAlign w:val="center"/>
                </w:tcPr>
                <w:p w14:paraId="51645DA2">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易燃</w:t>
                  </w:r>
                </w:p>
              </w:tc>
              <w:tc>
                <w:tcPr>
                  <w:tcW w:w="966" w:type="pct"/>
                  <w:gridSpan w:val="3"/>
                  <w:noWrap w:val="0"/>
                  <w:vAlign w:val="center"/>
                </w:tcPr>
                <w:p w14:paraId="6DD2309A">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闪点（℃）</w:t>
                  </w:r>
                </w:p>
              </w:tc>
              <w:tc>
                <w:tcPr>
                  <w:tcW w:w="1330" w:type="pct"/>
                  <w:noWrap w:val="0"/>
                  <w:vAlign w:val="center"/>
                </w:tcPr>
                <w:p w14:paraId="35556B34">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-6.7</w:t>
                  </w:r>
                  <w:r>
                    <w:rPr>
                      <w:rFonts w:hint="default"/>
                      <w:color w:val="auto"/>
                      <w:szCs w:val="21"/>
                      <w:highlight w:val="none"/>
                    </w:rPr>
                    <w:t>～</w:t>
                  </w:r>
                  <w:r>
                    <w:rPr>
                      <w:rFonts w:hint="default"/>
                      <w:color w:val="auto"/>
                      <w:szCs w:val="21"/>
                    </w:rPr>
                    <w:t>32.2 ℃</w:t>
                  </w:r>
                </w:p>
              </w:tc>
            </w:tr>
            <w:tr w14:paraId="282067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5" w:type="pct"/>
                  <w:vMerge w:val="continue"/>
                  <w:noWrap w:val="0"/>
                  <w:vAlign w:val="center"/>
                </w:tcPr>
                <w:p w14:paraId="76FD4011">
                  <w:pPr>
                    <w:keepNext w:val="0"/>
                    <w:keepLines w:val="0"/>
                    <w:widowControl/>
                    <w:suppressLineNumbers w:val="0"/>
                    <w:spacing w:before="0" w:beforeAutospacing="0" w:after="0" w:afterAutospacing="0"/>
                    <w:ind w:left="0" w:right="0"/>
                    <w:jc w:val="left"/>
                    <w:rPr>
                      <w:rFonts w:hint="default"/>
                      <w:color w:val="auto"/>
                      <w:szCs w:val="21"/>
                    </w:rPr>
                  </w:pPr>
                </w:p>
              </w:tc>
              <w:tc>
                <w:tcPr>
                  <w:tcW w:w="1105" w:type="pct"/>
                  <w:noWrap w:val="0"/>
                  <w:vAlign w:val="center"/>
                </w:tcPr>
                <w:p w14:paraId="2997CDA6">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火灾危险类别</w:t>
                  </w:r>
                </w:p>
              </w:tc>
              <w:tc>
                <w:tcPr>
                  <w:tcW w:w="1204" w:type="pct"/>
                  <w:noWrap w:val="0"/>
                  <w:vAlign w:val="center"/>
                </w:tcPr>
                <w:p w14:paraId="56E2035F">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甲B</w:t>
                  </w:r>
                </w:p>
              </w:tc>
              <w:tc>
                <w:tcPr>
                  <w:tcW w:w="966" w:type="pct"/>
                  <w:gridSpan w:val="3"/>
                  <w:noWrap w:val="0"/>
                  <w:vAlign w:val="center"/>
                </w:tcPr>
                <w:p w14:paraId="354A4E49">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自燃温度（℃）</w:t>
                  </w:r>
                </w:p>
              </w:tc>
              <w:tc>
                <w:tcPr>
                  <w:tcW w:w="1330" w:type="pct"/>
                  <w:noWrap w:val="0"/>
                  <w:vAlign w:val="center"/>
                </w:tcPr>
                <w:p w14:paraId="3A2867EE">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约350</w:t>
                  </w:r>
                </w:p>
              </w:tc>
            </w:tr>
            <w:tr w14:paraId="6F15F6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395" w:type="pct"/>
                  <w:vMerge w:val="continue"/>
                  <w:noWrap w:val="0"/>
                  <w:vAlign w:val="center"/>
                </w:tcPr>
                <w:p w14:paraId="17C6B77A">
                  <w:pPr>
                    <w:keepNext w:val="0"/>
                    <w:keepLines w:val="0"/>
                    <w:widowControl/>
                    <w:suppressLineNumbers w:val="0"/>
                    <w:spacing w:before="0" w:beforeAutospacing="0" w:after="0" w:afterAutospacing="0"/>
                    <w:ind w:left="0" w:right="0"/>
                    <w:jc w:val="left"/>
                    <w:rPr>
                      <w:rFonts w:hint="default"/>
                      <w:color w:val="auto"/>
                      <w:szCs w:val="21"/>
                    </w:rPr>
                  </w:pPr>
                </w:p>
              </w:tc>
              <w:tc>
                <w:tcPr>
                  <w:tcW w:w="1105" w:type="pct"/>
                  <w:noWrap w:val="0"/>
                  <w:vAlign w:val="center"/>
                </w:tcPr>
                <w:p w14:paraId="385AFFC1">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爆炸下限（V%）</w:t>
                  </w:r>
                </w:p>
              </w:tc>
              <w:tc>
                <w:tcPr>
                  <w:tcW w:w="1204" w:type="pct"/>
                  <w:noWrap w:val="0"/>
                  <w:vAlign w:val="center"/>
                </w:tcPr>
                <w:p w14:paraId="1BA62C16">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1.1</w:t>
                  </w:r>
                </w:p>
              </w:tc>
              <w:tc>
                <w:tcPr>
                  <w:tcW w:w="966" w:type="pct"/>
                  <w:gridSpan w:val="3"/>
                  <w:noWrap w:val="0"/>
                  <w:tcMar>
                    <w:left w:w="0" w:type="dxa"/>
                    <w:right w:w="0" w:type="dxa"/>
                  </w:tcMar>
                  <w:vAlign w:val="center"/>
                </w:tcPr>
                <w:p w14:paraId="7DD11FA9">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爆炸上限（V%）</w:t>
                  </w:r>
                </w:p>
              </w:tc>
              <w:tc>
                <w:tcPr>
                  <w:tcW w:w="1330" w:type="pct"/>
                  <w:noWrap w:val="0"/>
                  <w:vAlign w:val="center"/>
                </w:tcPr>
                <w:p w14:paraId="4DA791F0">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8.7</w:t>
                  </w:r>
                </w:p>
              </w:tc>
            </w:tr>
            <w:tr w14:paraId="0AAD33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5" w:type="pct"/>
                  <w:vMerge w:val="continue"/>
                  <w:noWrap w:val="0"/>
                  <w:vAlign w:val="center"/>
                </w:tcPr>
                <w:p w14:paraId="0E4EAFF3">
                  <w:pPr>
                    <w:keepNext w:val="0"/>
                    <w:keepLines w:val="0"/>
                    <w:widowControl/>
                    <w:suppressLineNumbers w:val="0"/>
                    <w:spacing w:before="0" w:beforeAutospacing="0" w:after="0" w:afterAutospacing="0"/>
                    <w:ind w:left="0" w:right="0"/>
                    <w:jc w:val="left"/>
                    <w:rPr>
                      <w:rFonts w:hint="default"/>
                      <w:color w:val="auto"/>
                      <w:szCs w:val="21"/>
                    </w:rPr>
                  </w:pPr>
                </w:p>
              </w:tc>
              <w:tc>
                <w:tcPr>
                  <w:tcW w:w="1105" w:type="pct"/>
                  <w:noWrap w:val="0"/>
                  <w:vAlign w:val="center"/>
                </w:tcPr>
                <w:p w14:paraId="021246C3">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火灾危险类别</w:t>
                  </w:r>
                </w:p>
              </w:tc>
              <w:tc>
                <w:tcPr>
                  <w:tcW w:w="1204" w:type="pct"/>
                  <w:noWrap w:val="0"/>
                  <w:vAlign w:val="center"/>
                </w:tcPr>
                <w:p w14:paraId="2731CE4C">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甲B</w:t>
                  </w:r>
                </w:p>
              </w:tc>
              <w:tc>
                <w:tcPr>
                  <w:tcW w:w="966" w:type="pct"/>
                  <w:gridSpan w:val="3"/>
                  <w:noWrap w:val="0"/>
                  <w:vAlign w:val="center"/>
                </w:tcPr>
                <w:p w14:paraId="084CA8EA">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稳定性</w:t>
                  </w:r>
                </w:p>
              </w:tc>
              <w:tc>
                <w:tcPr>
                  <w:tcW w:w="1330" w:type="pct"/>
                  <w:noWrap w:val="0"/>
                  <w:vAlign w:val="center"/>
                </w:tcPr>
                <w:p w14:paraId="27424EF4">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稳定</w:t>
                  </w:r>
                </w:p>
              </w:tc>
            </w:tr>
            <w:tr w14:paraId="7D03D5B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5" w:type="pct"/>
                  <w:vMerge w:val="continue"/>
                  <w:noWrap w:val="0"/>
                  <w:vAlign w:val="center"/>
                </w:tcPr>
                <w:p w14:paraId="16D833D1">
                  <w:pPr>
                    <w:keepNext w:val="0"/>
                    <w:keepLines w:val="0"/>
                    <w:widowControl/>
                    <w:suppressLineNumbers w:val="0"/>
                    <w:spacing w:before="0" w:beforeAutospacing="0" w:after="0" w:afterAutospacing="0"/>
                    <w:ind w:left="0" w:right="0"/>
                    <w:jc w:val="left"/>
                    <w:rPr>
                      <w:rFonts w:hint="default"/>
                      <w:color w:val="auto"/>
                      <w:szCs w:val="21"/>
                    </w:rPr>
                  </w:pPr>
                </w:p>
              </w:tc>
              <w:tc>
                <w:tcPr>
                  <w:tcW w:w="1105" w:type="pct"/>
                  <w:noWrap w:val="0"/>
                  <w:vAlign w:val="center"/>
                </w:tcPr>
                <w:p w14:paraId="3E546F4D">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禁忌物</w:t>
                  </w:r>
                </w:p>
              </w:tc>
              <w:tc>
                <w:tcPr>
                  <w:tcW w:w="1204" w:type="pct"/>
                  <w:noWrap w:val="0"/>
                  <w:vAlign w:val="center"/>
                </w:tcPr>
                <w:p w14:paraId="7DFEAD43">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四氧化氮、强氧化剂</w:t>
                  </w:r>
                </w:p>
              </w:tc>
              <w:tc>
                <w:tcPr>
                  <w:tcW w:w="966" w:type="pct"/>
                  <w:gridSpan w:val="3"/>
                  <w:noWrap w:val="0"/>
                  <w:vAlign w:val="center"/>
                </w:tcPr>
                <w:p w14:paraId="42A527D5">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聚合危害</w:t>
                  </w:r>
                </w:p>
              </w:tc>
              <w:tc>
                <w:tcPr>
                  <w:tcW w:w="1330" w:type="pct"/>
                  <w:noWrap w:val="0"/>
                  <w:vAlign w:val="center"/>
                </w:tcPr>
                <w:p w14:paraId="4183D941">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不能出现</w:t>
                  </w:r>
                </w:p>
              </w:tc>
            </w:tr>
            <w:tr w14:paraId="00D839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5" w:type="pct"/>
                  <w:vMerge w:val="continue"/>
                  <w:noWrap w:val="0"/>
                  <w:vAlign w:val="center"/>
                </w:tcPr>
                <w:p w14:paraId="73586AF4">
                  <w:pPr>
                    <w:keepNext w:val="0"/>
                    <w:keepLines w:val="0"/>
                    <w:widowControl/>
                    <w:suppressLineNumbers w:val="0"/>
                    <w:spacing w:before="0" w:beforeAutospacing="0" w:after="0" w:afterAutospacing="0"/>
                    <w:ind w:left="0" w:right="0"/>
                    <w:jc w:val="left"/>
                    <w:rPr>
                      <w:rFonts w:hint="default"/>
                      <w:color w:val="auto"/>
                      <w:szCs w:val="21"/>
                    </w:rPr>
                  </w:pPr>
                </w:p>
              </w:tc>
              <w:tc>
                <w:tcPr>
                  <w:tcW w:w="1105" w:type="pct"/>
                  <w:noWrap w:val="0"/>
                  <w:vAlign w:val="center"/>
                </w:tcPr>
                <w:p w14:paraId="68DA2ECC">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危险性类别</w:t>
                  </w:r>
                </w:p>
              </w:tc>
              <w:tc>
                <w:tcPr>
                  <w:tcW w:w="3499" w:type="pct"/>
                  <w:gridSpan w:val="5"/>
                  <w:noWrap w:val="0"/>
                  <w:vAlign w:val="center"/>
                </w:tcPr>
                <w:p w14:paraId="4421F689">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第 3.2 类 中闪点易燃液体</w:t>
                  </w:r>
                </w:p>
              </w:tc>
            </w:tr>
            <w:tr w14:paraId="28F1885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395" w:type="pct"/>
                  <w:vMerge w:val="continue"/>
                  <w:noWrap w:val="0"/>
                  <w:vAlign w:val="center"/>
                </w:tcPr>
                <w:p w14:paraId="461D3E05">
                  <w:pPr>
                    <w:keepNext w:val="0"/>
                    <w:keepLines w:val="0"/>
                    <w:widowControl/>
                    <w:suppressLineNumbers w:val="0"/>
                    <w:spacing w:before="0" w:beforeAutospacing="0" w:after="0" w:afterAutospacing="0"/>
                    <w:ind w:left="0" w:right="0"/>
                    <w:jc w:val="left"/>
                    <w:rPr>
                      <w:rFonts w:hint="default"/>
                      <w:color w:val="auto"/>
                      <w:szCs w:val="21"/>
                    </w:rPr>
                  </w:pPr>
                </w:p>
              </w:tc>
              <w:tc>
                <w:tcPr>
                  <w:tcW w:w="1105" w:type="pct"/>
                  <w:noWrap w:val="0"/>
                  <w:vAlign w:val="center"/>
                </w:tcPr>
                <w:p w14:paraId="6708516F">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危险特性</w:t>
                  </w:r>
                </w:p>
              </w:tc>
              <w:tc>
                <w:tcPr>
                  <w:tcW w:w="3499" w:type="pct"/>
                  <w:gridSpan w:val="5"/>
                  <w:noWrap w:val="0"/>
                  <w:vAlign w:val="center"/>
                </w:tcPr>
                <w:p w14:paraId="575C3780">
                  <w:pPr>
                    <w:keepNext w:val="0"/>
                    <w:keepLines w:val="0"/>
                    <w:suppressLineNumbers w:val="0"/>
                    <w:spacing w:before="0" w:beforeAutospacing="0" w:after="0" w:afterAutospacing="0" w:line="260" w:lineRule="exact"/>
                    <w:ind w:left="0" w:right="0"/>
                    <w:rPr>
                      <w:rFonts w:hint="default"/>
                      <w:color w:val="auto"/>
                      <w:szCs w:val="21"/>
                    </w:rPr>
                  </w:pPr>
                  <w:r>
                    <w:rPr>
                      <w:rFonts w:hint="default"/>
                      <w:color w:val="auto"/>
                      <w:szCs w:val="21"/>
                    </w:rPr>
                    <w:t>其蒸气与空气形成爆炸性混合物，遇明火、高热能引起燃烧爆炸。与氧化剂能发生强烈反应。遇高热分解出有毒的烟雾。其燃烧、爆炸危险性与轻汽油相似。</w:t>
                  </w:r>
                </w:p>
              </w:tc>
            </w:tr>
            <w:tr w14:paraId="0CAAC4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5" w:type="pct"/>
                  <w:vMerge w:val="continue"/>
                  <w:noWrap w:val="0"/>
                  <w:vAlign w:val="center"/>
                </w:tcPr>
                <w:p w14:paraId="774DB287">
                  <w:pPr>
                    <w:keepNext w:val="0"/>
                    <w:keepLines w:val="0"/>
                    <w:widowControl/>
                    <w:suppressLineNumbers w:val="0"/>
                    <w:spacing w:before="0" w:beforeAutospacing="0" w:after="0" w:afterAutospacing="0"/>
                    <w:ind w:left="0" w:right="0"/>
                    <w:jc w:val="left"/>
                    <w:rPr>
                      <w:rFonts w:hint="default"/>
                      <w:color w:val="auto"/>
                      <w:szCs w:val="21"/>
                    </w:rPr>
                  </w:pPr>
                </w:p>
              </w:tc>
              <w:tc>
                <w:tcPr>
                  <w:tcW w:w="1105" w:type="pct"/>
                  <w:noWrap w:val="0"/>
                  <w:vAlign w:val="center"/>
                </w:tcPr>
                <w:p w14:paraId="2166916E">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灭火方法</w:t>
                  </w:r>
                </w:p>
              </w:tc>
              <w:tc>
                <w:tcPr>
                  <w:tcW w:w="3499" w:type="pct"/>
                  <w:gridSpan w:val="5"/>
                  <w:noWrap w:val="0"/>
                  <w:vAlign w:val="center"/>
                </w:tcPr>
                <w:p w14:paraId="24FF5A15">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二氧化碳、干粉、泡沫。用水无效</w:t>
                  </w:r>
                </w:p>
              </w:tc>
            </w:tr>
            <w:tr w14:paraId="76213AB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5" w:type="pct"/>
                  <w:vMerge w:val="restart"/>
                  <w:noWrap w:val="0"/>
                  <w:vAlign w:val="center"/>
                </w:tcPr>
                <w:p w14:paraId="52F93E1F">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毒性及健康危害</w:t>
                  </w:r>
                </w:p>
              </w:tc>
              <w:tc>
                <w:tcPr>
                  <w:tcW w:w="2377" w:type="pct"/>
                  <w:gridSpan w:val="3"/>
                  <w:noWrap w:val="0"/>
                  <w:vAlign w:val="center"/>
                </w:tcPr>
                <w:p w14:paraId="661B3BC4">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LC50</w:t>
                  </w:r>
                  <w:r>
                    <w:rPr>
                      <w:rFonts w:hint="default"/>
                      <w:color w:val="auto"/>
                      <w:szCs w:val="21"/>
                      <w:highlight w:val="none"/>
                    </w:rPr>
                    <w:t>：-</w:t>
                  </w:r>
                </w:p>
              </w:tc>
              <w:tc>
                <w:tcPr>
                  <w:tcW w:w="2228" w:type="pct"/>
                  <w:gridSpan w:val="3"/>
                  <w:noWrap w:val="0"/>
                  <w:vAlign w:val="center"/>
                </w:tcPr>
                <w:p w14:paraId="785E679C">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IDLH</w:t>
                  </w:r>
                  <w:r>
                    <w:rPr>
                      <w:rFonts w:hint="default"/>
                      <w:color w:val="auto"/>
                      <w:szCs w:val="21"/>
                      <w:highlight w:val="none"/>
                    </w:rPr>
                    <w:t>：-</w:t>
                  </w:r>
                </w:p>
              </w:tc>
            </w:tr>
            <w:tr w14:paraId="261353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5" w:type="pct"/>
                  <w:vMerge w:val="continue"/>
                  <w:noWrap w:val="0"/>
                  <w:vAlign w:val="center"/>
                </w:tcPr>
                <w:p w14:paraId="44D083ED">
                  <w:pPr>
                    <w:keepNext w:val="0"/>
                    <w:keepLines w:val="0"/>
                    <w:widowControl/>
                    <w:suppressLineNumbers w:val="0"/>
                    <w:spacing w:before="0" w:beforeAutospacing="0" w:after="0" w:afterAutospacing="0"/>
                    <w:ind w:left="0" w:right="0"/>
                    <w:jc w:val="left"/>
                    <w:rPr>
                      <w:rFonts w:hint="default"/>
                      <w:color w:val="auto"/>
                      <w:szCs w:val="21"/>
                    </w:rPr>
                  </w:pPr>
                </w:p>
              </w:tc>
              <w:tc>
                <w:tcPr>
                  <w:tcW w:w="2377" w:type="pct"/>
                  <w:gridSpan w:val="3"/>
                  <w:noWrap w:val="0"/>
                  <w:vAlign w:val="center"/>
                </w:tcPr>
                <w:p w14:paraId="4F29A331">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MAC（mg/m</w:t>
                  </w:r>
                  <w:r>
                    <w:rPr>
                      <w:rFonts w:hint="default"/>
                      <w:color w:val="auto"/>
                      <w:szCs w:val="21"/>
                      <w:vertAlign w:val="superscript"/>
                    </w:rPr>
                    <w:t xml:space="preserve"> 3 </w:t>
                  </w:r>
                  <w:r>
                    <w:rPr>
                      <w:rFonts w:hint="default"/>
                      <w:color w:val="auto"/>
                      <w:szCs w:val="21"/>
                    </w:rPr>
                    <w:t>）：未</w:t>
                  </w:r>
                  <w:r>
                    <w:rPr>
                      <w:rFonts w:hint="default"/>
                      <w:color w:val="auto"/>
                      <w:szCs w:val="21"/>
                      <w:highlight w:val="none"/>
                    </w:rPr>
                    <w:t>制订</w:t>
                  </w:r>
                  <w:r>
                    <w:rPr>
                      <w:rFonts w:hint="default"/>
                      <w:color w:val="auto"/>
                      <w:szCs w:val="21"/>
                    </w:rPr>
                    <w:t>标准</w:t>
                  </w:r>
                </w:p>
              </w:tc>
              <w:tc>
                <w:tcPr>
                  <w:tcW w:w="2228" w:type="pct"/>
                  <w:gridSpan w:val="3"/>
                  <w:noWrap w:val="0"/>
                  <w:vAlign w:val="center"/>
                </w:tcPr>
                <w:p w14:paraId="30572F90">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居民区：</w:t>
                  </w:r>
                  <w:r>
                    <w:rPr>
                      <w:rFonts w:hint="default"/>
                      <w:color w:val="auto"/>
                      <w:szCs w:val="21"/>
                      <w:highlight w:val="none"/>
                    </w:rPr>
                    <w:t>-</w:t>
                  </w:r>
                </w:p>
              </w:tc>
            </w:tr>
            <w:tr w14:paraId="024C614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5" w:type="pct"/>
                  <w:vMerge w:val="continue"/>
                  <w:noWrap w:val="0"/>
                  <w:vAlign w:val="center"/>
                </w:tcPr>
                <w:p w14:paraId="280622C0">
                  <w:pPr>
                    <w:keepNext w:val="0"/>
                    <w:keepLines w:val="0"/>
                    <w:widowControl/>
                    <w:suppressLineNumbers w:val="0"/>
                    <w:spacing w:before="0" w:beforeAutospacing="0" w:after="0" w:afterAutospacing="0"/>
                    <w:ind w:left="0" w:right="0"/>
                    <w:jc w:val="left"/>
                    <w:rPr>
                      <w:rFonts w:hint="default"/>
                      <w:color w:val="auto"/>
                      <w:szCs w:val="21"/>
                    </w:rPr>
                  </w:pPr>
                </w:p>
              </w:tc>
              <w:tc>
                <w:tcPr>
                  <w:tcW w:w="1105" w:type="pct"/>
                  <w:noWrap w:val="0"/>
                  <w:vAlign w:val="center"/>
                </w:tcPr>
                <w:p w14:paraId="774D01DF">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侵入途径</w:t>
                  </w:r>
                </w:p>
              </w:tc>
              <w:tc>
                <w:tcPr>
                  <w:tcW w:w="3499" w:type="pct"/>
                  <w:gridSpan w:val="5"/>
                  <w:noWrap w:val="0"/>
                  <w:vAlign w:val="center"/>
                </w:tcPr>
                <w:p w14:paraId="5546D0FF">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吸入、食入、皮肤</w:t>
                  </w:r>
                </w:p>
              </w:tc>
            </w:tr>
            <w:tr w14:paraId="009B5C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5" w:type="pct"/>
                  <w:vMerge w:val="continue"/>
                  <w:noWrap w:val="0"/>
                  <w:vAlign w:val="center"/>
                </w:tcPr>
                <w:p w14:paraId="26C3DB4C">
                  <w:pPr>
                    <w:keepNext w:val="0"/>
                    <w:keepLines w:val="0"/>
                    <w:widowControl/>
                    <w:suppressLineNumbers w:val="0"/>
                    <w:spacing w:before="0" w:beforeAutospacing="0" w:after="0" w:afterAutospacing="0"/>
                    <w:ind w:left="0" w:right="0"/>
                    <w:jc w:val="left"/>
                    <w:rPr>
                      <w:rFonts w:hint="default"/>
                      <w:color w:val="auto"/>
                      <w:szCs w:val="21"/>
                    </w:rPr>
                  </w:pPr>
                </w:p>
              </w:tc>
              <w:tc>
                <w:tcPr>
                  <w:tcW w:w="1105" w:type="pct"/>
                  <w:noWrap w:val="0"/>
                  <w:vAlign w:val="center"/>
                </w:tcPr>
                <w:p w14:paraId="1B625B03">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毒性</w:t>
                  </w:r>
                </w:p>
              </w:tc>
              <w:tc>
                <w:tcPr>
                  <w:tcW w:w="3499" w:type="pct"/>
                  <w:gridSpan w:val="5"/>
                  <w:noWrap w:val="0"/>
                  <w:vAlign w:val="center"/>
                </w:tcPr>
                <w:p w14:paraId="221723D5">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原油本身无明显毒性。</w:t>
                  </w:r>
                </w:p>
              </w:tc>
            </w:tr>
            <w:tr w14:paraId="1B09CC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8" w:hRule="atLeast"/>
                <w:jc w:val="center"/>
              </w:trPr>
              <w:tc>
                <w:tcPr>
                  <w:tcW w:w="395" w:type="pct"/>
                  <w:vMerge w:val="continue"/>
                  <w:noWrap w:val="0"/>
                  <w:vAlign w:val="center"/>
                </w:tcPr>
                <w:p w14:paraId="67582FA7">
                  <w:pPr>
                    <w:keepNext w:val="0"/>
                    <w:keepLines w:val="0"/>
                    <w:widowControl/>
                    <w:suppressLineNumbers w:val="0"/>
                    <w:spacing w:before="0" w:beforeAutospacing="0" w:after="0" w:afterAutospacing="0"/>
                    <w:ind w:left="0" w:right="0"/>
                    <w:jc w:val="left"/>
                    <w:rPr>
                      <w:rFonts w:hint="default"/>
                      <w:color w:val="auto"/>
                      <w:szCs w:val="21"/>
                    </w:rPr>
                  </w:pPr>
                </w:p>
              </w:tc>
              <w:tc>
                <w:tcPr>
                  <w:tcW w:w="1105" w:type="pct"/>
                  <w:noWrap w:val="0"/>
                  <w:vAlign w:val="center"/>
                </w:tcPr>
                <w:p w14:paraId="6B7B40E9">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健康危害</w:t>
                  </w:r>
                </w:p>
              </w:tc>
              <w:tc>
                <w:tcPr>
                  <w:tcW w:w="3499" w:type="pct"/>
                  <w:gridSpan w:val="5"/>
                  <w:noWrap w:val="0"/>
                  <w:vAlign w:val="center"/>
                </w:tcPr>
                <w:p w14:paraId="7EA80501">
                  <w:pPr>
                    <w:keepNext w:val="0"/>
                    <w:keepLines w:val="0"/>
                    <w:suppressLineNumbers w:val="0"/>
                    <w:spacing w:before="0" w:beforeAutospacing="0" w:after="0" w:afterAutospacing="0" w:line="260" w:lineRule="exact"/>
                    <w:ind w:left="0" w:right="0"/>
                    <w:rPr>
                      <w:rFonts w:hint="default"/>
                      <w:color w:val="auto"/>
                      <w:szCs w:val="21"/>
                    </w:rPr>
                  </w:pPr>
                  <w:r>
                    <w:rPr>
                      <w:rFonts w:hint="default"/>
                      <w:color w:val="auto"/>
                      <w:szCs w:val="21"/>
                    </w:rPr>
                    <w:t>刺激眼睛和皮肤，导致皮肤红肿、干燥和皮炎，食入将引发恶心、呕吐和腹泻，影响中枢神经系统，表现为兴奋，继而引发头痛、眼花、困倦及恶心，更严重者将精神崩溃、失去意识、陷入昏迷，甚至由于呼吸系统衰竭导致死亡。吸入高浓度蒸气将影响中枢神经系统肺损伤，引发恶心、头痛、眼花至昏迷。</w:t>
                  </w:r>
                </w:p>
              </w:tc>
            </w:tr>
            <w:tr w14:paraId="0B045B4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1" w:hRule="atLeast"/>
                <w:jc w:val="center"/>
              </w:trPr>
              <w:tc>
                <w:tcPr>
                  <w:tcW w:w="395" w:type="pct"/>
                  <w:noWrap w:val="0"/>
                  <w:vAlign w:val="center"/>
                </w:tcPr>
                <w:p w14:paraId="05F7B08E">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急救措施</w:t>
                  </w:r>
                </w:p>
              </w:tc>
              <w:tc>
                <w:tcPr>
                  <w:tcW w:w="1000" w:type="pct"/>
                  <w:gridSpan w:val="6"/>
                  <w:noWrap w:val="0"/>
                  <w:vAlign w:val="center"/>
                </w:tcPr>
                <w:p w14:paraId="3CAF89E4">
                  <w:pPr>
                    <w:keepNext w:val="0"/>
                    <w:keepLines w:val="0"/>
                    <w:suppressLineNumbers w:val="0"/>
                    <w:spacing w:before="0" w:beforeAutospacing="0" w:after="0" w:afterAutospacing="0" w:line="260" w:lineRule="exact"/>
                    <w:ind w:left="0" w:right="0"/>
                    <w:rPr>
                      <w:rFonts w:hint="default"/>
                      <w:color w:val="auto"/>
                      <w:szCs w:val="21"/>
                    </w:rPr>
                  </w:pPr>
                  <w:r>
                    <w:rPr>
                      <w:rFonts w:hint="default"/>
                      <w:color w:val="auto"/>
                      <w:szCs w:val="21"/>
                    </w:rPr>
                    <w:t>皮肤接触：脱去污染的衣着</w:t>
                  </w:r>
                  <w:r>
                    <w:rPr>
                      <w:rFonts w:hint="default"/>
                      <w:color w:val="auto"/>
                      <w:szCs w:val="21"/>
                      <w:highlight w:val="none"/>
                    </w:rPr>
                    <w:t>，按</w:t>
                  </w:r>
                  <w:r>
                    <w:rPr>
                      <w:rFonts w:hint="default"/>
                      <w:color w:val="auto"/>
                      <w:szCs w:val="21"/>
                    </w:rPr>
                    <w:t>用大量水</w:t>
                  </w:r>
                  <w:r>
                    <w:rPr>
                      <w:rFonts w:hint="eastAsia"/>
                      <w:color w:val="auto"/>
                      <w:szCs w:val="21"/>
                      <w:lang w:eastAsia="zh-CN"/>
                    </w:rPr>
                    <w:t>冲洗</w:t>
                  </w:r>
                  <w:r>
                    <w:rPr>
                      <w:rFonts w:hint="default"/>
                      <w:color w:val="auto"/>
                      <w:szCs w:val="21"/>
                    </w:rPr>
                    <w:t>皮肤至少15分钟。就医。</w:t>
                  </w:r>
                </w:p>
                <w:p w14:paraId="7C98ADE9">
                  <w:pPr>
                    <w:keepNext w:val="0"/>
                    <w:keepLines w:val="0"/>
                    <w:suppressLineNumbers w:val="0"/>
                    <w:spacing w:before="0" w:beforeAutospacing="0" w:after="0" w:afterAutospacing="0" w:line="260" w:lineRule="exact"/>
                    <w:ind w:left="0" w:right="0"/>
                    <w:rPr>
                      <w:rFonts w:hint="default"/>
                      <w:color w:val="auto"/>
                      <w:szCs w:val="21"/>
                    </w:rPr>
                  </w:pPr>
                  <w:r>
                    <w:rPr>
                      <w:rFonts w:hint="default"/>
                      <w:color w:val="auto"/>
                      <w:szCs w:val="21"/>
                    </w:rPr>
                    <w:t>眼睛接触：立即提起眼睑用大量水冲洗眼睛，至少15分钟。就医。</w:t>
                  </w:r>
                </w:p>
                <w:p w14:paraId="734A0679">
                  <w:pPr>
                    <w:keepNext w:val="0"/>
                    <w:keepLines w:val="0"/>
                    <w:suppressLineNumbers w:val="0"/>
                    <w:spacing w:before="0" w:beforeAutospacing="0" w:after="0" w:afterAutospacing="0" w:line="260" w:lineRule="exact"/>
                    <w:ind w:left="0" w:right="0"/>
                    <w:rPr>
                      <w:rFonts w:hint="default"/>
                      <w:color w:val="auto"/>
                      <w:szCs w:val="21"/>
                    </w:rPr>
                  </w:pPr>
                  <w:r>
                    <w:rPr>
                      <w:rFonts w:hint="default"/>
                      <w:color w:val="auto"/>
                      <w:szCs w:val="21"/>
                    </w:rPr>
                    <w:t>吸入：迅速撤离现场到空气新鲜处；如呼吸停止，进行人工呼吸；如呼吸困难，给输氧（如有适当的解毒剂，立即服用）。就医。</w:t>
                  </w:r>
                </w:p>
                <w:p w14:paraId="288F651E">
                  <w:pPr>
                    <w:keepNext w:val="0"/>
                    <w:keepLines w:val="0"/>
                    <w:suppressLineNumbers w:val="0"/>
                    <w:spacing w:before="0" w:beforeAutospacing="0" w:after="0" w:afterAutospacing="0" w:line="260" w:lineRule="exact"/>
                    <w:ind w:left="0" w:right="0"/>
                    <w:rPr>
                      <w:rFonts w:hint="default"/>
                      <w:color w:val="auto"/>
                      <w:szCs w:val="21"/>
                    </w:rPr>
                  </w:pPr>
                  <w:r>
                    <w:rPr>
                      <w:rFonts w:hint="default"/>
                      <w:color w:val="auto"/>
                      <w:szCs w:val="21"/>
                    </w:rPr>
                    <w:t>食入：误服者立即漱口，饮足量温水，尽快洗胃。就医。</w:t>
                  </w:r>
                </w:p>
              </w:tc>
            </w:tr>
            <w:tr w14:paraId="784538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91" w:hRule="atLeast"/>
                <w:jc w:val="center"/>
              </w:trPr>
              <w:tc>
                <w:tcPr>
                  <w:tcW w:w="395" w:type="pct"/>
                  <w:noWrap w:val="0"/>
                  <w:vAlign w:val="center"/>
                </w:tcPr>
                <w:p w14:paraId="55EE1696">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泄漏应急处理</w:t>
                  </w:r>
                </w:p>
              </w:tc>
              <w:tc>
                <w:tcPr>
                  <w:tcW w:w="1000" w:type="pct"/>
                  <w:gridSpan w:val="6"/>
                  <w:noWrap w:val="0"/>
                  <w:vAlign w:val="center"/>
                </w:tcPr>
                <w:p w14:paraId="266CC386">
                  <w:pPr>
                    <w:keepNext w:val="0"/>
                    <w:keepLines w:val="0"/>
                    <w:suppressLineNumbers w:val="0"/>
                    <w:spacing w:before="0" w:beforeAutospacing="0" w:after="0" w:afterAutospacing="0" w:line="260" w:lineRule="exact"/>
                    <w:ind w:left="0" w:right="0"/>
                    <w:rPr>
                      <w:rFonts w:hint="default"/>
                      <w:color w:val="auto"/>
                      <w:szCs w:val="21"/>
                    </w:rPr>
                  </w:pPr>
                  <w:r>
                    <w:rPr>
                      <w:rFonts w:hint="default"/>
                      <w:color w:val="auto"/>
                      <w:szCs w:val="21"/>
                    </w:rPr>
                    <w:t>疏散泄漏污染区人员至安全区，禁止无关人员进入污染区，切断火源。应急处理人员戴自给式呼吸器，穿一般消防防护服。在确保安全情况下堵漏。喷水雾可减少蒸发。用活性炭或其他惰性材料吸收，然后收集运至废物处理场所。也可以用大量水冲洗，经稀释的洗液放入放心水系统。如大量泄漏，利用围堤收容，然后收集、转移、回收或无害处理后废弃</w:t>
                  </w:r>
                </w:p>
              </w:tc>
            </w:tr>
            <w:tr w14:paraId="3EE522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 w:hRule="atLeast"/>
                <w:jc w:val="center"/>
              </w:trPr>
              <w:tc>
                <w:tcPr>
                  <w:tcW w:w="395" w:type="pct"/>
                  <w:noWrap w:val="0"/>
                  <w:vAlign w:val="center"/>
                </w:tcPr>
                <w:p w14:paraId="4AEAB480">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储存注意事项</w:t>
                  </w:r>
                </w:p>
              </w:tc>
              <w:tc>
                <w:tcPr>
                  <w:tcW w:w="1000" w:type="pct"/>
                  <w:gridSpan w:val="6"/>
                  <w:noWrap w:val="0"/>
                  <w:vAlign w:val="center"/>
                </w:tcPr>
                <w:p w14:paraId="6AFB1A24">
                  <w:pPr>
                    <w:keepNext w:val="0"/>
                    <w:keepLines w:val="0"/>
                    <w:suppressLineNumbers w:val="0"/>
                    <w:spacing w:before="0" w:beforeAutospacing="0" w:after="0" w:afterAutospacing="0" w:line="260" w:lineRule="exact"/>
                    <w:ind w:left="0" w:right="0"/>
                    <w:rPr>
                      <w:rFonts w:hint="default"/>
                      <w:color w:val="auto"/>
                      <w:szCs w:val="21"/>
                    </w:rPr>
                  </w:pPr>
                  <w:r>
                    <w:rPr>
                      <w:rFonts w:hint="default"/>
                      <w:color w:val="auto"/>
                      <w:szCs w:val="21"/>
                    </w:rPr>
                    <w:t>储运于阴凉、通风仓间内。远离火种、热源。仓温不宜超过 30℃。防止阳光直射。保持容器密封。储存间内的照明、通风等设施应采用防爆型。配备相应品种和数量的消防器材。罐储时要有防火防爆技术措施。禁止使用易产生火花的机械设备和工具。灌装时注意流速（不超过 3m/s），且有接地装置，防止静电积聚。搬运时要轻装轻卸，防止包装及容器损坏。</w:t>
                  </w:r>
                </w:p>
              </w:tc>
            </w:tr>
            <w:tr w14:paraId="197858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86" w:hRule="atLeast"/>
                <w:jc w:val="center"/>
              </w:trPr>
              <w:tc>
                <w:tcPr>
                  <w:tcW w:w="395" w:type="pct"/>
                  <w:noWrap w:val="0"/>
                  <w:vAlign w:val="center"/>
                </w:tcPr>
                <w:p w14:paraId="0A209F54">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szCs w:val="21"/>
                    </w:rPr>
                    <w:t>防护措施</w:t>
                  </w:r>
                </w:p>
              </w:tc>
              <w:tc>
                <w:tcPr>
                  <w:tcW w:w="1000" w:type="pct"/>
                  <w:gridSpan w:val="6"/>
                  <w:noWrap w:val="0"/>
                  <w:vAlign w:val="center"/>
                </w:tcPr>
                <w:p w14:paraId="0F00E93E">
                  <w:pPr>
                    <w:keepNext w:val="0"/>
                    <w:keepLines w:val="0"/>
                    <w:suppressLineNumbers w:val="0"/>
                    <w:spacing w:before="0" w:beforeAutospacing="0" w:after="0" w:afterAutospacing="0" w:line="260" w:lineRule="exact"/>
                    <w:ind w:left="0" w:right="0"/>
                    <w:rPr>
                      <w:rFonts w:hint="default"/>
                      <w:color w:val="auto"/>
                      <w:szCs w:val="21"/>
                    </w:rPr>
                  </w:pPr>
                  <w:r>
                    <w:rPr>
                      <w:rFonts w:hint="default"/>
                      <w:color w:val="auto"/>
                      <w:szCs w:val="21"/>
                    </w:rPr>
                    <w:t>工程控制：采用通风装置。</w:t>
                  </w:r>
                </w:p>
                <w:p w14:paraId="0C9925A9">
                  <w:pPr>
                    <w:keepNext w:val="0"/>
                    <w:keepLines w:val="0"/>
                    <w:suppressLineNumbers w:val="0"/>
                    <w:spacing w:before="0" w:beforeAutospacing="0" w:after="0" w:afterAutospacing="0" w:line="260" w:lineRule="exact"/>
                    <w:ind w:left="0" w:right="0"/>
                    <w:rPr>
                      <w:rFonts w:hint="default"/>
                      <w:color w:val="auto"/>
                      <w:szCs w:val="21"/>
                    </w:rPr>
                  </w:pPr>
                  <w:r>
                    <w:rPr>
                      <w:rFonts w:hint="default"/>
                      <w:color w:val="auto"/>
                      <w:szCs w:val="21"/>
                    </w:rPr>
                    <w:t>呼吸系统防护：高浓度环境中，应该佩戴防毒口罩，紧急事态抢救或撤离时，建议佩戴自给式呼吸器</w:t>
                  </w:r>
                </w:p>
                <w:p w14:paraId="6C20FFD6">
                  <w:pPr>
                    <w:keepNext w:val="0"/>
                    <w:keepLines w:val="0"/>
                    <w:suppressLineNumbers w:val="0"/>
                    <w:spacing w:before="0" w:beforeAutospacing="0" w:after="0" w:afterAutospacing="0" w:line="260" w:lineRule="exact"/>
                    <w:ind w:left="0" w:right="0"/>
                    <w:rPr>
                      <w:rFonts w:hint="default"/>
                      <w:color w:val="auto"/>
                      <w:szCs w:val="21"/>
                    </w:rPr>
                  </w:pPr>
                  <w:r>
                    <w:rPr>
                      <w:rFonts w:hint="default"/>
                      <w:color w:val="auto"/>
                      <w:szCs w:val="21"/>
                    </w:rPr>
                    <w:t>眼睛防护：化学安全防护眼镜</w:t>
                  </w:r>
                </w:p>
                <w:p w14:paraId="0F24D617">
                  <w:pPr>
                    <w:keepNext w:val="0"/>
                    <w:keepLines w:val="0"/>
                    <w:suppressLineNumbers w:val="0"/>
                    <w:spacing w:before="0" w:beforeAutospacing="0" w:after="0" w:afterAutospacing="0" w:line="260" w:lineRule="exact"/>
                    <w:ind w:left="0" w:right="0"/>
                    <w:rPr>
                      <w:rFonts w:hint="default"/>
                      <w:color w:val="auto"/>
                      <w:szCs w:val="21"/>
                    </w:rPr>
                  </w:pPr>
                  <w:r>
                    <w:rPr>
                      <w:rFonts w:hint="default"/>
                      <w:color w:val="auto"/>
                      <w:szCs w:val="21"/>
                    </w:rPr>
                    <w:t>身体防护：橡胶工作服</w:t>
                  </w:r>
                </w:p>
                <w:p w14:paraId="136975CB">
                  <w:pPr>
                    <w:keepNext w:val="0"/>
                    <w:keepLines w:val="0"/>
                    <w:suppressLineNumbers w:val="0"/>
                    <w:spacing w:before="0" w:beforeAutospacing="0" w:after="0" w:afterAutospacing="0" w:line="260" w:lineRule="exact"/>
                    <w:ind w:left="0" w:right="0"/>
                    <w:rPr>
                      <w:rFonts w:hint="default"/>
                      <w:color w:val="auto"/>
                      <w:szCs w:val="21"/>
                    </w:rPr>
                  </w:pPr>
                  <w:r>
                    <w:rPr>
                      <w:rFonts w:hint="default"/>
                      <w:color w:val="auto"/>
                      <w:szCs w:val="21"/>
                    </w:rPr>
                    <w:t>手防护：防护手套。</w:t>
                  </w:r>
                </w:p>
                <w:p w14:paraId="456C13B6">
                  <w:pPr>
                    <w:keepNext w:val="0"/>
                    <w:keepLines w:val="0"/>
                    <w:suppressLineNumbers w:val="0"/>
                    <w:spacing w:before="0" w:beforeAutospacing="0" w:after="0" w:afterAutospacing="0" w:line="260" w:lineRule="exact"/>
                    <w:ind w:left="0" w:right="0"/>
                    <w:rPr>
                      <w:rFonts w:hint="default"/>
                      <w:color w:val="auto"/>
                      <w:szCs w:val="21"/>
                    </w:rPr>
                  </w:pPr>
                  <w:r>
                    <w:rPr>
                      <w:rFonts w:hint="default"/>
                      <w:color w:val="auto"/>
                      <w:szCs w:val="21"/>
                    </w:rPr>
                    <w:t>其他：工作后，沐浴更衣。注意个人清洁卫生。</w:t>
                  </w:r>
                </w:p>
              </w:tc>
            </w:tr>
          </w:tbl>
          <w:p w14:paraId="55A84E91">
            <w:pPr>
              <w:keepNext w:val="0"/>
              <w:keepLines w:val="0"/>
              <w:suppressLineNumbers w:val="0"/>
              <w:autoSpaceDE w:val="0"/>
              <w:autoSpaceDN w:val="0"/>
              <w:adjustRightInd w:val="0"/>
              <w:spacing w:before="0" w:beforeAutospacing="0" w:after="0" w:afterAutospacing="0"/>
              <w:ind w:left="0" w:right="0" w:firstLine="482" w:firstLineChars="200"/>
              <w:jc w:val="center"/>
              <w:rPr>
                <w:rFonts w:hint="default"/>
                <w:b/>
                <w:color w:val="auto"/>
                <w:kern w:val="0"/>
                <w:sz w:val="24"/>
              </w:rPr>
            </w:pPr>
            <w:r>
              <w:rPr>
                <w:rFonts w:hint="default"/>
                <w:b/>
                <w:color w:val="auto"/>
                <w:kern w:val="0"/>
                <w:sz w:val="24"/>
              </w:rPr>
              <w:t>表</w:t>
            </w:r>
            <w:r>
              <w:rPr>
                <w:rFonts w:hint="eastAsia"/>
                <w:b/>
                <w:color w:val="auto"/>
                <w:kern w:val="0"/>
                <w:sz w:val="24"/>
              </w:rPr>
              <w:t>4</w:t>
            </w:r>
            <w:r>
              <w:rPr>
                <w:rFonts w:hint="default"/>
                <w:b/>
                <w:color w:val="auto"/>
                <w:kern w:val="0"/>
                <w:sz w:val="24"/>
              </w:rPr>
              <w:t>-</w:t>
            </w:r>
            <w:r>
              <w:rPr>
                <w:rFonts w:hint="eastAsia"/>
                <w:b/>
                <w:color w:val="auto"/>
                <w:kern w:val="0"/>
                <w:sz w:val="24"/>
              </w:rPr>
              <w:t>9</w:t>
            </w:r>
            <w:r>
              <w:rPr>
                <w:rFonts w:hint="default"/>
                <w:b/>
                <w:color w:val="auto"/>
                <w:kern w:val="0"/>
                <w:sz w:val="24"/>
              </w:rPr>
              <w:t xml:space="preserve"> 柴油理化性质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62"/>
              <w:gridCol w:w="1893"/>
              <w:gridCol w:w="2083"/>
              <w:gridCol w:w="116"/>
              <w:gridCol w:w="1669"/>
              <w:gridCol w:w="1772"/>
            </w:tblGrid>
            <w:tr w14:paraId="739C396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404" w:type="pct"/>
                  <w:vMerge w:val="restart"/>
                  <w:noWrap w:val="0"/>
                  <w:vAlign w:val="center"/>
                </w:tcPr>
                <w:p w14:paraId="4E1CAAAC">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标识</w:t>
                  </w:r>
                </w:p>
              </w:tc>
              <w:tc>
                <w:tcPr>
                  <w:tcW w:w="1155" w:type="pct"/>
                  <w:noWrap w:val="0"/>
                  <w:vAlign w:val="center"/>
                </w:tcPr>
                <w:p w14:paraId="491A88E0">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中文名</w:t>
                  </w:r>
                </w:p>
              </w:tc>
              <w:tc>
                <w:tcPr>
                  <w:tcW w:w="1271" w:type="pct"/>
                  <w:noWrap w:val="0"/>
                  <w:vAlign w:val="center"/>
                </w:tcPr>
                <w:p w14:paraId="5F63E99B">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柴油</w:t>
                  </w:r>
                </w:p>
              </w:tc>
              <w:tc>
                <w:tcPr>
                  <w:tcW w:w="1089" w:type="pct"/>
                  <w:gridSpan w:val="2"/>
                  <w:noWrap w:val="0"/>
                  <w:vAlign w:val="center"/>
                </w:tcPr>
                <w:p w14:paraId="0195C80D">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英文名</w:t>
                  </w:r>
                </w:p>
              </w:tc>
              <w:tc>
                <w:tcPr>
                  <w:tcW w:w="1081" w:type="pct"/>
                  <w:noWrap w:val="0"/>
                  <w:vAlign w:val="center"/>
                </w:tcPr>
                <w:p w14:paraId="3B85FB83">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Diesel oil</w:t>
                  </w:r>
                  <w:r>
                    <w:rPr>
                      <w:rFonts w:hint="default"/>
                      <w:color w:val="auto"/>
                      <w:highlight w:val="none"/>
                    </w:rPr>
                    <w:t>；</w:t>
                  </w:r>
                  <w:r>
                    <w:rPr>
                      <w:rFonts w:hint="default"/>
                      <w:color w:val="auto"/>
                    </w:rPr>
                    <w:t>Diesel fuel</w:t>
                  </w:r>
                </w:p>
              </w:tc>
            </w:tr>
            <w:tr w14:paraId="5436C6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04" w:type="pct"/>
                  <w:vMerge w:val="continue"/>
                  <w:noWrap w:val="0"/>
                  <w:vAlign w:val="center"/>
                </w:tcPr>
                <w:p w14:paraId="1CF40156">
                  <w:pPr>
                    <w:keepNext w:val="0"/>
                    <w:keepLines w:val="0"/>
                    <w:widowControl/>
                    <w:suppressLineNumbers w:val="0"/>
                    <w:spacing w:before="0" w:beforeAutospacing="0" w:after="0" w:afterAutospacing="0"/>
                    <w:ind w:left="0" w:right="0"/>
                    <w:jc w:val="left"/>
                    <w:rPr>
                      <w:rFonts w:hint="default"/>
                      <w:color w:val="auto"/>
                      <w:szCs w:val="21"/>
                    </w:rPr>
                  </w:pPr>
                </w:p>
              </w:tc>
              <w:tc>
                <w:tcPr>
                  <w:tcW w:w="1155" w:type="pct"/>
                  <w:noWrap w:val="0"/>
                  <w:vAlign w:val="center"/>
                </w:tcPr>
                <w:p w14:paraId="5E9330B7">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危险货物编号</w:t>
                  </w:r>
                </w:p>
              </w:tc>
              <w:tc>
                <w:tcPr>
                  <w:tcW w:w="1271" w:type="pct"/>
                  <w:noWrap w:val="0"/>
                  <w:vAlign w:val="center"/>
                </w:tcPr>
                <w:p w14:paraId="2BFC303A">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T33502</w:t>
                  </w:r>
                </w:p>
              </w:tc>
              <w:tc>
                <w:tcPr>
                  <w:tcW w:w="1089" w:type="pct"/>
                  <w:gridSpan w:val="2"/>
                  <w:noWrap w:val="0"/>
                  <w:vAlign w:val="center"/>
                </w:tcPr>
                <w:p w14:paraId="08649FC4">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UN编号</w:t>
                  </w:r>
                </w:p>
              </w:tc>
              <w:tc>
                <w:tcPr>
                  <w:tcW w:w="1081" w:type="pct"/>
                  <w:noWrap w:val="0"/>
                  <w:vAlign w:val="center"/>
                </w:tcPr>
                <w:p w14:paraId="73282E3B">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1202</w:t>
                  </w:r>
                </w:p>
              </w:tc>
            </w:tr>
            <w:tr w14:paraId="60F84A5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04" w:type="pct"/>
                  <w:vMerge w:val="continue"/>
                  <w:noWrap w:val="0"/>
                  <w:vAlign w:val="center"/>
                </w:tcPr>
                <w:p w14:paraId="62C20993">
                  <w:pPr>
                    <w:keepNext w:val="0"/>
                    <w:keepLines w:val="0"/>
                    <w:widowControl/>
                    <w:suppressLineNumbers w:val="0"/>
                    <w:spacing w:before="0" w:beforeAutospacing="0" w:after="0" w:afterAutospacing="0"/>
                    <w:ind w:left="0" w:right="0"/>
                    <w:jc w:val="left"/>
                    <w:rPr>
                      <w:rFonts w:hint="default"/>
                      <w:color w:val="auto"/>
                      <w:szCs w:val="21"/>
                    </w:rPr>
                  </w:pPr>
                </w:p>
              </w:tc>
              <w:tc>
                <w:tcPr>
                  <w:tcW w:w="1155" w:type="pct"/>
                  <w:noWrap w:val="0"/>
                  <w:vAlign w:val="center"/>
                </w:tcPr>
                <w:p w14:paraId="12B5B21A">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RTECS 号</w:t>
                  </w:r>
                </w:p>
              </w:tc>
              <w:tc>
                <w:tcPr>
                  <w:tcW w:w="1271" w:type="pct"/>
                  <w:noWrap w:val="0"/>
                  <w:vAlign w:val="center"/>
                </w:tcPr>
                <w:p w14:paraId="23EE8E9F">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HZ1770000</w:t>
                  </w:r>
                </w:p>
              </w:tc>
              <w:tc>
                <w:tcPr>
                  <w:tcW w:w="1089" w:type="pct"/>
                  <w:gridSpan w:val="2"/>
                  <w:noWrap w:val="0"/>
                  <w:vAlign w:val="center"/>
                </w:tcPr>
                <w:p w14:paraId="748EBB6F">
                  <w:pPr>
                    <w:keepNext w:val="0"/>
                    <w:keepLines w:val="0"/>
                    <w:suppressLineNumbers w:val="0"/>
                    <w:spacing w:before="0" w:beforeAutospacing="0" w:after="0" w:afterAutospacing="0" w:line="260" w:lineRule="exact"/>
                    <w:ind w:left="0" w:right="0"/>
                    <w:jc w:val="center"/>
                    <w:rPr>
                      <w:rFonts w:hint="default"/>
                      <w:color w:val="auto"/>
                      <w:szCs w:val="21"/>
                    </w:rPr>
                  </w:pPr>
                </w:p>
              </w:tc>
              <w:tc>
                <w:tcPr>
                  <w:tcW w:w="1081" w:type="pct"/>
                  <w:noWrap w:val="0"/>
                  <w:vAlign w:val="center"/>
                </w:tcPr>
                <w:p w14:paraId="204BC7A8">
                  <w:pPr>
                    <w:keepNext w:val="0"/>
                    <w:keepLines w:val="0"/>
                    <w:suppressLineNumbers w:val="0"/>
                    <w:spacing w:before="0" w:beforeAutospacing="0" w:after="0" w:afterAutospacing="0" w:line="260" w:lineRule="exact"/>
                    <w:ind w:left="0" w:right="0"/>
                    <w:jc w:val="center"/>
                    <w:rPr>
                      <w:rFonts w:hint="default"/>
                      <w:color w:val="auto"/>
                      <w:szCs w:val="21"/>
                    </w:rPr>
                  </w:pPr>
                </w:p>
              </w:tc>
            </w:tr>
            <w:tr w14:paraId="62DC65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04" w:type="pct"/>
                  <w:vMerge w:val="restart"/>
                  <w:noWrap w:val="0"/>
                  <w:vAlign w:val="center"/>
                </w:tcPr>
                <w:p w14:paraId="1B301C72">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理化</w:t>
                  </w:r>
                </w:p>
                <w:p w14:paraId="32D6D3F3">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性质</w:t>
                  </w:r>
                </w:p>
              </w:tc>
              <w:tc>
                <w:tcPr>
                  <w:tcW w:w="1155" w:type="pct"/>
                  <w:noWrap w:val="0"/>
                  <w:vAlign w:val="center"/>
                </w:tcPr>
                <w:p w14:paraId="4425B6A6">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成分</w:t>
                  </w:r>
                </w:p>
              </w:tc>
              <w:tc>
                <w:tcPr>
                  <w:tcW w:w="1271" w:type="pct"/>
                  <w:noWrap w:val="0"/>
                  <w:vAlign w:val="center"/>
                </w:tcPr>
                <w:p w14:paraId="39A757CC">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kern w:val="0"/>
                    </w:rPr>
                    <w:t>烷烃、芳烃、烯烃等</w:t>
                  </w:r>
                </w:p>
              </w:tc>
              <w:tc>
                <w:tcPr>
                  <w:tcW w:w="1089" w:type="pct"/>
                  <w:gridSpan w:val="2"/>
                  <w:noWrap w:val="0"/>
                  <w:vAlign w:val="center"/>
                </w:tcPr>
                <w:p w14:paraId="6CFBB1FC">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kern w:val="0"/>
                    </w:rPr>
                    <w:t>主要用途：</w:t>
                  </w:r>
                </w:p>
              </w:tc>
              <w:tc>
                <w:tcPr>
                  <w:tcW w:w="1081" w:type="pct"/>
                  <w:noWrap w:val="0"/>
                  <w:vAlign w:val="center"/>
                </w:tcPr>
                <w:p w14:paraId="1355B418">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kern w:val="0"/>
                    </w:rPr>
                    <w:t>用作柴油机的燃料</w:t>
                  </w:r>
                </w:p>
              </w:tc>
            </w:tr>
            <w:tr w14:paraId="5B142D6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04" w:type="pct"/>
                  <w:vMerge w:val="continue"/>
                  <w:noWrap w:val="0"/>
                  <w:vAlign w:val="center"/>
                </w:tcPr>
                <w:p w14:paraId="0DFD8666">
                  <w:pPr>
                    <w:keepNext w:val="0"/>
                    <w:keepLines w:val="0"/>
                    <w:widowControl/>
                    <w:suppressLineNumbers w:val="0"/>
                    <w:spacing w:before="0" w:beforeAutospacing="0" w:after="0" w:afterAutospacing="0"/>
                    <w:ind w:left="0" w:right="0"/>
                    <w:jc w:val="left"/>
                    <w:rPr>
                      <w:rFonts w:hint="default"/>
                      <w:color w:val="auto"/>
                      <w:szCs w:val="21"/>
                    </w:rPr>
                  </w:pPr>
                </w:p>
              </w:tc>
              <w:tc>
                <w:tcPr>
                  <w:tcW w:w="1155" w:type="pct"/>
                  <w:noWrap w:val="0"/>
                  <w:vAlign w:val="center"/>
                </w:tcPr>
                <w:p w14:paraId="42BAD393">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外观与形状</w:t>
                  </w:r>
                </w:p>
              </w:tc>
              <w:tc>
                <w:tcPr>
                  <w:tcW w:w="3441" w:type="pct"/>
                  <w:gridSpan w:val="4"/>
                  <w:noWrap w:val="0"/>
                  <w:vAlign w:val="center"/>
                </w:tcPr>
                <w:p w14:paraId="11B0E626">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稍有黏性的浅黄至棕色液体</w:t>
                  </w:r>
                </w:p>
              </w:tc>
            </w:tr>
            <w:tr w14:paraId="6AE140E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04" w:type="pct"/>
                  <w:vMerge w:val="continue"/>
                  <w:noWrap w:val="0"/>
                  <w:vAlign w:val="center"/>
                </w:tcPr>
                <w:p w14:paraId="46C587D0">
                  <w:pPr>
                    <w:keepNext w:val="0"/>
                    <w:keepLines w:val="0"/>
                    <w:widowControl/>
                    <w:suppressLineNumbers w:val="0"/>
                    <w:spacing w:before="0" w:beforeAutospacing="0" w:after="0" w:afterAutospacing="0"/>
                    <w:ind w:left="0" w:right="0"/>
                    <w:jc w:val="left"/>
                    <w:rPr>
                      <w:rFonts w:hint="default"/>
                      <w:color w:val="auto"/>
                      <w:szCs w:val="21"/>
                    </w:rPr>
                  </w:pPr>
                </w:p>
              </w:tc>
              <w:tc>
                <w:tcPr>
                  <w:tcW w:w="1155" w:type="pct"/>
                  <w:noWrap w:val="0"/>
                  <w:vAlign w:val="center"/>
                </w:tcPr>
                <w:p w14:paraId="3A248762">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相对密度</w:t>
                  </w:r>
                </w:p>
              </w:tc>
              <w:tc>
                <w:tcPr>
                  <w:tcW w:w="3441" w:type="pct"/>
                  <w:gridSpan w:val="4"/>
                  <w:noWrap w:val="0"/>
                  <w:vAlign w:val="center"/>
                </w:tcPr>
                <w:p w14:paraId="3DB242E5">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（水=1）0.80～0.9</w:t>
                  </w:r>
                </w:p>
              </w:tc>
            </w:tr>
            <w:tr w14:paraId="390702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04" w:type="pct"/>
                  <w:vMerge w:val="continue"/>
                  <w:noWrap w:val="0"/>
                  <w:vAlign w:val="center"/>
                </w:tcPr>
                <w:p w14:paraId="301DA8A0">
                  <w:pPr>
                    <w:keepNext w:val="0"/>
                    <w:keepLines w:val="0"/>
                    <w:widowControl/>
                    <w:suppressLineNumbers w:val="0"/>
                    <w:spacing w:before="0" w:beforeAutospacing="0" w:after="0" w:afterAutospacing="0"/>
                    <w:ind w:left="0" w:right="0"/>
                    <w:jc w:val="left"/>
                    <w:rPr>
                      <w:rFonts w:hint="default"/>
                      <w:color w:val="auto"/>
                      <w:szCs w:val="21"/>
                    </w:rPr>
                  </w:pPr>
                </w:p>
              </w:tc>
              <w:tc>
                <w:tcPr>
                  <w:tcW w:w="1155" w:type="pct"/>
                  <w:noWrap w:val="0"/>
                  <w:vAlign w:val="center"/>
                </w:tcPr>
                <w:p w14:paraId="65677569">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熔（凝固）点：℃</w:t>
                  </w:r>
                </w:p>
              </w:tc>
              <w:tc>
                <w:tcPr>
                  <w:tcW w:w="1271" w:type="pct"/>
                  <w:noWrap w:val="0"/>
                  <w:vAlign w:val="center"/>
                </w:tcPr>
                <w:p w14:paraId="5B81221C">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-50</w:t>
                  </w:r>
                  <w:r>
                    <w:rPr>
                      <w:rFonts w:hint="default"/>
                      <w:color w:val="auto"/>
                      <w:highlight w:val="none"/>
                    </w:rPr>
                    <w:t>～</w:t>
                  </w:r>
                  <w:r>
                    <w:rPr>
                      <w:rFonts w:hint="default"/>
                      <w:color w:val="auto"/>
                    </w:rPr>
                    <w:t>10 ℃</w:t>
                  </w:r>
                </w:p>
              </w:tc>
              <w:tc>
                <w:tcPr>
                  <w:tcW w:w="1089" w:type="pct"/>
                  <w:gridSpan w:val="2"/>
                  <w:noWrap w:val="0"/>
                  <w:vAlign w:val="center"/>
                </w:tcPr>
                <w:p w14:paraId="6012A637">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沸点</w:t>
                  </w:r>
                  <w:r>
                    <w:rPr>
                      <w:rFonts w:hint="eastAsia"/>
                      <w:color w:val="auto"/>
                      <w:lang w:eastAsia="zh-CN"/>
                    </w:rPr>
                    <w:t>：</w:t>
                  </w:r>
                  <w:r>
                    <w:rPr>
                      <w:rFonts w:hint="default"/>
                      <w:color w:val="auto"/>
                    </w:rPr>
                    <w:t>℃</w:t>
                  </w:r>
                </w:p>
              </w:tc>
              <w:tc>
                <w:tcPr>
                  <w:tcW w:w="1081" w:type="pct"/>
                  <w:noWrap w:val="0"/>
                  <w:vAlign w:val="center"/>
                </w:tcPr>
                <w:p w14:paraId="7932AA6D">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180</w:t>
                  </w:r>
                  <w:r>
                    <w:rPr>
                      <w:rFonts w:hint="default"/>
                      <w:color w:val="auto"/>
                      <w:highlight w:val="none"/>
                    </w:rPr>
                    <w:t>～</w:t>
                  </w:r>
                  <w:r>
                    <w:rPr>
                      <w:rFonts w:hint="default"/>
                      <w:color w:val="auto"/>
                    </w:rPr>
                    <w:t>410</w:t>
                  </w:r>
                </w:p>
              </w:tc>
            </w:tr>
            <w:tr w14:paraId="604429E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04" w:type="pct"/>
                  <w:vMerge w:val="restart"/>
                  <w:noWrap w:val="0"/>
                  <w:vAlign w:val="center"/>
                </w:tcPr>
                <w:p w14:paraId="57E33B34">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燃烧</w:t>
                  </w:r>
                </w:p>
                <w:p w14:paraId="737BC522">
                  <w:pPr>
                    <w:keepNext w:val="0"/>
                    <w:keepLines w:val="0"/>
                    <w:suppressLineNumbers w:val="0"/>
                    <w:spacing w:before="0" w:beforeAutospacing="0" w:after="0" w:afterAutospacing="0" w:line="260" w:lineRule="exact"/>
                    <w:ind w:left="0" w:right="0"/>
                    <w:jc w:val="center"/>
                    <w:rPr>
                      <w:rFonts w:hint="default"/>
                      <w:color w:val="auto"/>
                    </w:rPr>
                  </w:pPr>
                  <w:r>
                    <w:rPr>
                      <w:rFonts w:hint="default"/>
                      <w:color w:val="auto"/>
                    </w:rPr>
                    <w:t>爆炸</w:t>
                  </w:r>
                </w:p>
                <w:p w14:paraId="7FBCA6F3">
                  <w:pPr>
                    <w:keepNext w:val="0"/>
                    <w:keepLines w:val="0"/>
                    <w:suppressLineNumbers w:val="0"/>
                    <w:spacing w:before="0" w:beforeAutospacing="0" w:after="0" w:afterAutospacing="0" w:line="260" w:lineRule="exact"/>
                    <w:ind w:left="0" w:right="0"/>
                    <w:jc w:val="center"/>
                    <w:rPr>
                      <w:rFonts w:hint="default"/>
                      <w:color w:val="auto"/>
                    </w:rPr>
                  </w:pPr>
                  <w:r>
                    <w:rPr>
                      <w:rFonts w:hint="default"/>
                      <w:color w:val="auto"/>
                    </w:rPr>
                    <w:t>危险</w:t>
                  </w:r>
                </w:p>
                <w:p w14:paraId="2B043298">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性</w:t>
                  </w:r>
                </w:p>
              </w:tc>
              <w:tc>
                <w:tcPr>
                  <w:tcW w:w="1155" w:type="pct"/>
                  <w:noWrap w:val="0"/>
                  <w:vAlign w:val="center"/>
                </w:tcPr>
                <w:p w14:paraId="532918F0">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燃烧性</w:t>
                  </w:r>
                </w:p>
              </w:tc>
              <w:tc>
                <w:tcPr>
                  <w:tcW w:w="1271" w:type="pct"/>
                  <w:noWrap w:val="0"/>
                  <w:vAlign w:val="center"/>
                </w:tcPr>
                <w:p w14:paraId="472D0C59">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易燃</w:t>
                  </w:r>
                </w:p>
              </w:tc>
              <w:tc>
                <w:tcPr>
                  <w:tcW w:w="1089" w:type="pct"/>
                  <w:gridSpan w:val="2"/>
                  <w:noWrap w:val="0"/>
                  <w:vAlign w:val="center"/>
                </w:tcPr>
                <w:p w14:paraId="3F080D42">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闪点（℃）</w:t>
                  </w:r>
                </w:p>
              </w:tc>
              <w:tc>
                <w:tcPr>
                  <w:tcW w:w="1081" w:type="pct"/>
                  <w:noWrap w:val="0"/>
                  <w:tcMar>
                    <w:left w:w="0" w:type="dxa"/>
                    <w:right w:w="0" w:type="dxa"/>
                  </w:tcMar>
                  <w:vAlign w:val="center"/>
                </w:tcPr>
                <w:p w14:paraId="25731FAF">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45～60（轻柴油）</w:t>
                  </w:r>
                </w:p>
                <w:p w14:paraId="6243D83B">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60～120（重柴油）</w:t>
                  </w:r>
                </w:p>
              </w:tc>
            </w:tr>
            <w:tr w14:paraId="6CB267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04" w:type="pct"/>
                  <w:vMerge w:val="continue"/>
                  <w:noWrap w:val="0"/>
                  <w:vAlign w:val="center"/>
                </w:tcPr>
                <w:p w14:paraId="38F9BB63">
                  <w:pPr>
                    <w:keepNext w:val="0"/>
                    <w:keepLines w:val="0"/>
                    <w:widowControl/>
                    <w:suppressLineNumbers w:val="0"/>
                    <w:spacing w:before="0" w:beforeAutospacing="0" w:after="0" w:afterAutospacing="0"/>
                    <w:ind w:left="0" w:right="0"/>
                    <w:jc w:val="left"/>
                    <w:rPr>
                      <w:rFonts w:hint="default"/>
                      <w:color w:val="auto"/>
                      <w:szCs w:val="21"/>
                    </w:rPr>
                  </w:pPr>
                </w:p>
              </w:tc>
              <w:tc>
                <w:tcPr>
                  <w:tcW w:w="1155" w:type="pct"/>
                  <w:noWrap w:val="0"/>
                  <w:vAlign w:val="center"/>
                </w:tcPr>
                <w:p w14:paraId="2D4D35FE">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自燃温度（℃）</w:t>
                  </w:r>
                </w:p>
              </w:tc>
              <w:tc>
                <w:tcPr>
                  <w:tcW w:w="1271" w:type="pct"/>
                  <w:noWrap w:val="0"/>
                  <w:vAlign w:val="center"/>
                </w:tcPr>
                <w:p w14:paraId="1C3E2F8F">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257</w:t>
                  </w:r>
                </w:p>
              </w:tc>
              <w:tc>
                <w:tcPr>
                  <w:tcW w:w="1089" w:type="pct"/>
                  <w:gridSpan w:val="2"/>
                  <w:noWrap w:val="0"/>
                  <w:tcMar>
                    <w:left w:w="0" w:type="dxa"/>
                    <w:right w:w="0" w:type="dxa"/>
                  </w:tcMar>
                  <w:vAlign w:val="center"/>
                </w:tcPr>
                <w:p w14:paraId="2FDECD81">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重大</w:t>
                  </w:r>
                  <w:r>
                    <w:rPr>
                      <w:rFonts w:hint="eastAsia"/>
                      <w:color w:val="auto"/>
                      <w:lang w:eastAsia="zh-CN"/>
                    </w:rPr>
                    <w:t>危险源辨识</w:t>
                  </w:r>
                  <w:r>
                    <w:rPr>
                      <w:rFonts w:hint="default"/>
                      <w:color w:val="auto"/>
                    </w:rPr>
                    <w:t>：</w:t>
                  </w:r>
                </w:p>
              </w:tc>
              <w:tc>
                <w:tcPr>
                  <w:tcW w:w="1081" w:type="pct"/>
                  <w:noWrap w:val="0"/>
                  <w:vAlign w:val="center"/>
                </w:tcPr>
                <w:p w14:paraId="47E1F632">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临界量5000t</w:t>
                  </w:r>
                </w:p>
              </w:tc>
            </w:tr>
            <w:tr w14:paraId="7A9E43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04" w:type="pct"/>
                  <w:vMerge w:val="continue"/>
                  <w:noWrap w:val="0"/>
                  <w:vAlign w:val="center"/>
                </w:tcPr>
                <w:p w14:paraId="00AC585F">
                  <w:pPr>
                    <w:keepNext w:val="0"/>
                    <w:keepLines w:val="0"/>
                    <w:widowControl/>
                    <w:suppressLineNumbers w:val="0"/>
                    <w:spacing w:before="0" w:beforeAutospacing="0" w:after="0" w:afterAutospacing="0"/>
                    <w:ind w:left="0" w:right="0"/>
                    <w:jc w:val="left"/>
                    <w:rPr>
                      <w:rFonts w:hint="default"/>
                      <w:color w:val="auto"/>
                      <w:szCs w:val="21"/>
                    </w:rPr>
                  </w:pPr>
                </w:p>
              </w:tc>
              <w:tc>
                <w:tcPr>
                  <w:tcW w:w="1155" w:type="pct"/>
                  <w:noWrap w:val="0"/>
                  <w:vAlign w:val="center"/>
                </w:tcPr>
                <w:p w14:paraId="00FF4F5F">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燃烧分解产物：</w:t>
                  </w:r>
                </w:p>
              </w:tc>
              <w:tc>
                <w:tcPr>
                  <w:tcW w:w="1271" w:type="pct"/>
                  <w:noWrap w:val="0"/>
                  <w:vAlign w:val="center"/>
                </w:tcPr>
                <w:p w14:paraId="779DC3FC">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CO、CO</w:t>
                  </w:r>
                  <w:r>
                    <w:rPr>
                      <w:rFonts w:hint="default"/>
                      <w:color w:val="auto"/>
                      <w:vertAlign w:val="subscript"/>
                    </w:rPr>
                    <w:t xml:space="preserve"> 2</w:t>
                  </w:r>
                </w:p>
              </w:tc>
              <w:tc>
                <w:tcPr>
                  <w:tcW w:w="1089" w:type="pct"/>
                  <w:gridSpan w:val="2"/>
                  <w:noWrap w:val="0"/>
                  <w:vAlign w:val="center"/>
                </w:tcPr>
                <w:p w14:paraId="74617B50">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稳定性：</w:t>
                  </w:r>
                </w:p>
              </w:tc>
              <w:tc>
                <w:tcPr>
                  <w:tcW w:w="1081" w:type="pct"/>
                  <w:noWrap w:val="0"/>
                  <w:vAlign w:val="center"/>
                </w:tcPr>
                <w:p w14:paraId="31B60488">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稳定</w:t>
                  </w:r>
                </w:p>
              </w:tc>
            </w:tr>
            <w:tr w14:paraId="4C2B3C1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04" w:type="pct"/>
                  <w:vMerge w:val="continue"/>
                  <w:noWrap w:val="0"/>
                  <w:vAlign w:val="center"/>
                </w:tcPr>
                <w:p w14:paraId="1ABCFBC4">
                  <w:pPr>
                    <w:keepNext w:val="0"/>
                    <w:keepLines w:val="0"/>
                    <w:widowControl/>
                    <w:suppressLineNumbers w:val="0"/>
                    <w:spacing w:before="0" w:beforeAutospacing="0" w:after="0" w:afterAutospacing="0"/>
                    <w:ind w:left="0" w:right="0"/>
                    <w:jc w:val="left"/>
                    <w:rPr>
                      <w:rFonts w:hint="default"/>
                      <w:color w:val="auto"/>
                      <w:szCs w:val="21"/>
                    </w:rPr>
                  </w:pPr>
                </w:p>
              </w:tc>
              <w:tc>
                <w:tcPr>
                  <w:tcW w:w="1155" w:type="pct"/>
                  <w:noWrap w:val="0"/>
                  <w:vAlign w:val="center"/>
                </w:tcPr>
                <w:p w14:paraId="5AF1B32B">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聚合危害</w:t>
                  </w:r>
                </w:p>
              </w:tc>
              <w:tc>
                <w:tcPr>
                  <w:tcW w:w="1271" w:type="pct"/>
                  <w:noWrap w:val="0"/>
                  <w:vAlign w:val="center"/>
                </w:tcPr>
                <w:p w14:paraId="4CE0950F">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不能出现</w:t>
                  </w:r>
                </w:p>
              </w:tc>
              <w:tc>
                <w:tcPr>
                  <w:tcW w:w="1089" w:type="pct"/>
                  <w:gridSpan w:val="2"/>
                  <w:noWrap w:val="0"/>
                  <w:vAlign w:val="center"/>
                </w:tcPr>
                <w:p w14:paraId="453A353C">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禁忌物</w:t>
                  </w:r>
                </w:p>
              </w:tc>
              <w:tc>
                <w:tcPr>
                  <w:tcW w:w="1081" w:type="pct"/>
                  <w:noWrap w:val="0"/>
                  <w:vAlign w:val="center"/>
                </w:tcPr>
                <w:p w14:paraId="47C36FB8">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强氧化剂、卤素</w:t>
                  </w:r>
                </w:p>
              </w:tc>
            </w:tr>
            <w:tr w14:paraId="2BCB0C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04" w:type="pct"/>
                  <w:vMerge w:val="continue"/>
                  <w:noWrap w:val="0"/>
                  <w:vAlign w:val="center"/>
                </w:tcPr>
                <w:p w14:paraId="24EA6760">
                  <w:pPr>
                    <w:keepNext w:val="0"/>
                    <w:keepLines w:val="0"/>
                    <w:widowControl/>
                    <w:suppressLineNumbers w:val="0"/>
                    <w:spacing w:before="0" w:beforeAutospacing="0" w:after="0" w:afterAutospacing="0"/>
                    <w:ind w:left="0" w:right="0"/>
                    <w:jc w:val="left"/>
                    <w:rPr>
                      <w:rFonts w:hint="default"/>
                      <w:color w:val="auto"/>
                      <w:szCs w:val="21"/>
                    </w:rPr>
                  </w:pPr>
                </w:p>
              </w:tc>
              <w:tc>
                <w:tcPr>
                  <w:tcW w:w="1155" w:type="pct"/>
                  <w:noWrap w:val="0"/>
                  <w:vAlign w:val="center"/>
                </w:tcPr>
                <w:p w14:paraId="2C1E75CE">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火灾危险类别</w:t>
                  </w:r>
                </w:p>
              </w:tc>
              <w:tc>
                <w:tcPr>
                  <w:tcW w:w="1271" w:type="pct"/>
                  <w:noWrap w:val="0"/>
                  <w:vAlign w:val="center"/>
                </w:tcPr>
                <w:p w14:paraId="037ADAB9">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甲 B</w:t>
                  </w:r>
                </w:p>
              </w:tc>
              <w:tc>
                <w:tcPr>
                  <w:tcW w:w="1089" w:type="pct"/>
                  <w:gridSpan w:val="2"/>
                  <w:noWrap w:val="0"/>
                  <w:vAlign w:val="center"/>
                </w:tcPr>
                <w:p w14:paraId="42619B91">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自燃温度（℃）</w:t>
                  </w:r>
                </w:p>
              </w:tc>
              <w:tc>
                <w:tcPr>
                  <w:tcW w:w="1081" w:type="pct"/>
                  <w:noWrap w:val="0"/>
                  <w:vAlign w:val="center"/>
                </w:tcPr>
                <w:p w14:paraId="20010DC8">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约 350</w:t>
                  </w:r>
                </w:p>
              </w:tc>
            </w:tr>
            <w:tr w14:paraId="44EF47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04" w:type="pct"/>
                  <w:vMerge w:val="continue"/>
                  <w:noWrap w:val="0"/>
                  <w:vAlign w:val="center"/>
                </w:tcPr>
                <w:p w14:paraId="5AE168A6">
                  <w:pPr>
                    <w:keepNext w:val="0"/>
                    <w:keepLines w:val="0"/>
                    <w:widowControl/>
                    <w:suppressLineNumbers w:val="0"/>
                    <w:spacing w:before="0" w:beforeAutospacing="0" w:after="0" w:afterAutospacing="0"/>
                    <w:ind w:left="0" w:right="0"/>
                    <w:jc w:val="left"/>
                    <w:rPr>
                      <w:rFonts w:hint="default"/>
                      <w:color w:val="auto"/>
                      <w:szCs w:val="21"/>
                    </w:rPr>
                  </w:pPr>
                </w:p>
              </w:tc>
              <w:tc>
                <w:tcPr>
                  <w:tcW w:w="1155" w:type="pct"/>
                  <w:noWrap w:val="0"/>
                  <w:vAlign w:val="center"/>
                </w:tcPr>
                <w:p w14:paraId="24173A62">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爆炸下限（V%）</w:t>
                  </w:r>
                </w:p>
              </w:tc>
              <w:tc>
                <w:tcPr>
                  <w:tcW w:w="1271" w:type="pct"/>
                  <w:noWrap w:val="0"/>
                  <w:vAlign w:val="center"/>
                </w:tcPr>
                <w:p w14:paraId="093E50A3">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0.6（轻柴油）</w:t>
                  </w:r>
                </w:p>
              </w:tc>
              <w:tc>
                <w:tcPr>
                  <w:tcW w:w="1089" w:type="pct"/>
                  <w:gridSpan w:val="2"/>
                  <w:noWrap w:val="0"/>
                  <w:vAlign w:val="center"/>
                </w:tcPr>
                <w:p w14:paraId="7271B881">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爆炸上限（V%）</w:t>
                  </w:r>
                </w:p>
              </w:tc>
              <w:tc>
                <w:tcPr>
                  <w:tcW w:w="1081" w:type="pct"/>
                  <w:noWrap w:val="0"/>
                  <w:vAlign w:val="center"/>
                </w:tcPr>
                <w:p w14:paraId="6C16A248">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7.5（轻柴油）</w:t>
                  </w:r>
                </w:p>
              </w:tc>
            </w:tr>
            <w:tr w14:paraId="0F7160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04" w:type="pct"/>
                  <w:vMerge w:val="continue"/>
                  <w:noWrap w:val="0"/>
                  <w:vAlign w:val="center"/>
                </w:tcPr>
                <w:p w14:paraId="53215828">
                  <w:pPr>
                    <w:keepNext w:val="0"/>
                    <w:keepLines w:val="0"/>
                    <w:widowControl/>
                    <w:suppressLineNumbers w:val="0"/>
                    <w:spacing w:before="0" w:beforeAutospacing="0" w:after="0" w:afterAutospacing="0"/>
                    <w:ind w:left="0" w:right="0"/>
                    <w:jc w:val="left"/>
                    <w:rPr>
                      <w:rFonts w:hint="default"/>
                      <w:color w:val="auto"/>
                      <w:szCs w:val="21"/>
                    </w:rPr>
                  </w:pPr>
                </w:p>
              </w:tc>
              <w:tc>
                <w:tcPr>
                  <w:tcW w:w="1155" w:type="pct"/>
                  <w:noWrap w:val="0"/>
                  <w:vAlign w:val="center"/>
                </w:tcPr>
                <w:p w14:paraId="0B9064B3">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火灾危险类别</w:t>
                  </w:r>
                </w:p>
              </w:tc>
              <w:tc>
                <w:tcPr>
                  <w:tcW w:w="1271" w:type="pct"/>
                  <w:noWrap w:val="0"/>
                  <w:vAlign w:val="center"/>
                </w:tcPr>
                <w:p w14:paraId="46D2BF2B">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乙 B（轻柴油）</w:t>
                  </w:r>
                </w:p>
                <w:p w14:paraId="54D95E49">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丙 A（重柴油）</w:t>
                  </w:r>
                </w:p>
              </w:tc>
              <w:tc>
                <w:tcPr>
                  <w:tcW w:w="1089" w:type="pct"/>
                  <w:gridSpan w:val="2"/>
                  <w:noWrap w:val="0"/>
                  <w:vAlign w:val="center"/>
                </w:tcPr>
                <w:p w14:paraId="1CB00DCA">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稳定性</w:t>
                  </w:r>
                </w:p>
              </w:tc>
              <w:tc>
                <w:tcPr>
                  <w:tcW w:w="1081" w:type="pct"/>
                  <w:noWrap w:val="0"/>
                  <w:vAlign w:val="center"/>
                </w:tcPr>
                <w:p w14:paraId="6F386935">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稳定</w:t>
                  </w:r>
                </w:p>
              </w:tc>
            </w:tr>
            <w:tr w14:paraId="2757E4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04" w:type="pct"/>
                  <w:vMerge w:val="continue"/>
                  <w:noWrap w:val="0"/>
                  <w:vAlign w:val="center"/>
                </w:tcPr>
                <w:p w14:paraId="5F2E66DC">
                  <w:pPr>
                    <w:keepNext w:val="0"/>
                    <w:keepLines w:val="0"/>
                    <w:widowControl/>
                    <w:suppressLineNumbers w:val="0"/>
                    <w:spacing w:before="0" w:beforeAutospacing="0" w:after="0" w:afterAutospacing="0"/>
                    <w:ind w:left="0" w:right="0"/>
                    <w:jc w:val="left"/>
                    <w:rPr>
                      <w:rFonts w:hint="default"/>
                      <w:color w:val="auto"/>
                      <w:szCs w:val="21"/>
                    </w:rPr>
                  </w:pPr>
                </w:p>
              </w:tc>
              <w:tc>
                <w:tcPr>
                  <w:tcW w:w="1155" w:type="pct"/>
                  <w:noWrap w:val="0"/>
                  <w:vAlign w:val="center"/>
                </w:tcPr>
                <w:p w14:paraId="3E35CBAB">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危险性类别</w:t>
                  </w:r>
                </w:p>
              </w:tc>
              <w:tc>
                <w:tcPr>
                  <w:tcW w:w="3441" w:type="pct"/>
                  <w:gridSpan w:val="4"/>
                  <w:noWrap w:val="0"/>
                  <w:vAlign w:val="center"/>
                </w:tcPr>
                <w:p w14:paraId="2020B946">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第 3.3 类 高闪点易燃液体</w:t>
                  </w:r>
                </w:p>
              </w:tc>
            </w:tr>
            <w:tr w14:paraId="278D72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2" w:hRule="atLeast"/>
                <w:jc w:val="center"/>
              </w:trPr>
              <w:tc>
                <w:tcPr>
                  <w:tcW w:w="404" w:type="pct"/>
                  <w:vMerge w:val="continue"/>
                  <w:noWrap w:val="0"/>
                  <w:vAlign w:val="center"/>
                </w:tcPr>
                <w:p w14:paraId="544F8F52">
                  <w:pPr>
                    <w:keepNext w:val="0"/>
                    <w:keepLines w:val="0"/>
                    <w:widowControl/>
                    <w:suppressLineNumbers w:val="0"/>
                    <w:spacing w:before="0" w:beforeAutospacing="0" w:after="0" w:afterAutospacing="0"/>
                    <w:ind w:left="0" w:right="0"/>
                    <w:jc w:val="left"/>
                    <w:rPr>
                      <w:rFonts w:hint="default"/>
                      <w:color w:val="auto"/>
                      <w:szCs w:val="21"/>
                    </w:rPr>
                  </w:pPr>
                </w:p>
              </w:tc>
              <w:tc>
                <w:tcPr>
                  <w:tcW w:w="1155" w:type="pct"/>
                  <w:noWrap w:val="0"/>
                  <w:vAlign w:val="center"/>
                </w:tcPr>
                <w:p w14:paraId="1D3DF6BA">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危险特性</w:t>
                  </w:r>
                </w:p>
              </w:tc>
              <w:tc>
                <w:tcPr>
                  <w:tcW w:w="3441" w:type="pct"/>
                  <w:gridSpan w:val="4"/>
                  <w:noWrap w:val="0"/>
                  <w:vAlign w:val="center"/>
                </w:tcPr>
                <w:p w14:paraId="739CDA7A">
                  <w:pPr>
                    <w:keepNext w:val="0"/>
                    <w:keepLines w:val="0"/>
                    <w:suppressLineNumbers w:val="0"/>
                    <w:spacing w:before="0" w:beforeAutospacing="0" w:after="0" w:afterAutospacing="0" w:line="260" w:lineRule="exact"/>
                    <w:ind w:left="0" w:right="0"/>
                    <w:rPr>
                      <w:rFonts w:hint="default"/>
                      <w:color w:val="auto"/>
                      <w:szCs w:val="21"/>
                    </w:rPr>
                  </w:pPr>
                  <w:r>
                    <w:rPr>
                      <w:rFonts w:hint="default"/>
                      <w:color w:val="auto"/>
                    </w:rPr>
                    <w:t>遇明火、高热或与</w:t>
                  </w:r>
                  <w:r>
                    <w:rPr>
                      <w:rFonts w:hint="eastAsia"/>
                      <w:color w:val="auto"/>
                      <w:lang w:eastAsia="zh-CN"/>
                    </w:rPr>
                    <w:t>催化</w:t>
                  </w:r>
                  <w:r>
                    <w:rPr>
                      <w:rFonts w:hint="default"/>
                      <w:color w:val="auto"/>
                    </w:rPr>
                    <w:t>剂接触，有引起燃烧爆炸的危险。若遇高热，容器内压增大，有开裂和爆炸的危险。</w:t>
                  </w:r>
                </w:p>
              </w:tc>
            </w:tr>
            <w:tr w14:paraId="2EB510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04" w:type="pct"/>
                  <w:vMerge w:val="continue"/>
                  <w:noWrap w:val="0"/>
                  <w:vAlign w:val="center"/>
                </w:tcPr>
                <w:p w14:paraId="7C7ACDB7">
                  <w:pPr>
                    <w:keepNext w:val="0"/>
                    <w:keepLines w:val="0"/>
                    <w:widowControl/>
                    <w:suppressLineNumbers w:val="0"/>
                    <w:spacing w:before="0" w:beforeAutospacing="0" w:after="0" w:afterAutospacing="0"/>
                    <w:ind w:left="0" w:right="0"/>
                    <w:jc w:val="left"/>
                    <w:rPr>
                      <w:rFonts w:hint="default"/>
                      <w:color w:val="auto"/>
                      <w:szCs w:val="21"/>
                    </w:rPr>
                  </w:pPr>
                </w:p>
              </w:tc>
              <w:tc>
                <w:tcPr>
                  <w:tcW w:w="1155" w:type="pct"/>
                  <w:noWrap w:val="0"/>
                  <w:vAlign w:val="center"/>
                </w:tcPr>
                <w:p w14:paraId="79D29796">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灭火方法</w:t>
                  </w:r>
                </w:p>
              </w:tc>
              <w:tc>
                <w:tcPr>
                  <w:tcW w:w="3441" w:type="pct"/>
                  <w:gridSpan w:val="4"/>
                  <w:noWrap w:val="0"/>
                  <w:vAlign w:val="center"/>
                </w:tcPr>
                <w:p w14:paraId="63C42ED4">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泡沫、二氧化碳、干粉、砂土</w:t>
                  </w:r>
                </w:p>
              </w:tc>
            </w:tr>
            <w:tr w14:paraId="735B0F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04" w:type="pct"/>
                  <w:vMerge w:val="restart"/>
                  <w:noWrap w:val="0"/>
                  <w:vAlign w:val="center"/>
                </w:tcPr>
                <w:p w14:paraId="3C32B24B">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毒性及健康危害</w:t>
                  </w:r>
                </w:p>
              </w:tc>
              <w:tc>
                <w:tcPr>
                  <w:tcW w:w="2497" w:type="pct"/>
                  <w:gridSpan w:val="3"/>
                  <w:noWrap w:val="0"/>
                  <w:vAlign w:val="center"/>
                </w:tcPr>
                <w:p w14:paraId="42006F8D">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LC50</w:t>
                  </w:r>
                  <w:r>
                    <w:rPr>
                      <w:rFonts w:hint="default"/>
                      <w:color w:val="auto"/>
                      <w:highlight w:val="none"/>
                    </w:rPr>
                    <w:t>：-</w:t>
                  </w:r>
                </w:p>
              </w:tc>
              <w:tc>
                <w:tcPr>
                  <w:tcW w:w="2099" w:type="pct"/>
                  <w:gridSpan w:val="2"/>
                  <w:noWrap w:val="0"/>
                  <w:vAlign w:val="center"/>
                </w:tcPr>
                <w:p w14:paraId="59BE72F0">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IDLH</w:t>
                  </w:r>
                  <w:r>
                    <w:rPr>
                      <w:rFonts w:hint="default"/>
                      <w:color w:val="auto"/>
                      <w:highlight w:val="none"/>
                    </w:rPr>
                    <w:t>：-</w:t>
                  </w:r>
                </w:p>
              </w:tc>
            </w:tr>
            <w:tr w14:paraId="47C530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04" w:type="pct"/>
                  <w:vMerge w:val="continue"/>
                  <w:noWrap w:val="0"/>
                  <w:vAlign w:val="center"/>
                </w:tcPr>
                <w:p w14:paraId="7B81A77D">
                  <w:pPr>
                    <w:keepNext w:val="0"/>
                    <w:keepLines w:val="0"/>
                    <w:widowControl/>
                    <w:suppressLineNumbers w:val="0"/>
                    <w:spacing w:before="0" w:beforeAutospacing="0" w:after="0" w:afterAutospacing="0"/>
                    <w:ind w:left="0" w:right="0"/>
                    <w:jc w:val="left"/>
                    <w:rPr>
                      <w:rFonts w:hint="default"/>
                      <w:color w:val="auto"/>
                      <w:szCs w:val="21"/>
                    </w:rPr>
                  </w:pPr>
                </w:p>
              </w:tc>
              <w:tc>
                <w:tcPr>
                  <w:tcW w:w="2497" w:type="pct"/>
                  <w:gridSpan w:val="3"/>
                  <w:noWrap w:val="0"/>
                  <w:vAlign w:val="center"/>
                </w:tcPr>
                <w:p w14:paraId="1B3EE1C1">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MAC（mg/m</w:t>
                  </w:r>
                  <w:r>
                    <w:rPr>
                      <w:rFonts w:hint="default"/>
                      <w:color w:val="auto"/>
                      <w:vertAlign w:val="superscript"/>
                    </w:rPr>
                    <w:t xml:space="preserve"> 3 </w:t>
                  </w:r>
                  <w:r>
                    <w:rPr>
                      <w:rFonts w:hint="default"/>
                      <w:color w:val="auto"/>
                    </w:rPr>
                    <w:t>）：未</w:t>
                  </w:r>
                  <w:r>
                    <w:rPr>
                      <w:rFonts w:hint="default"/>
                      <w:color w:val="auto"/>
                      <w:highlight w:val="none"/>
                    </w:rPr>
                    <w:t>制订</w:t>
                  </w:r>
                  <w:r>
                    <w:rPr>
                      <w:rFonts w:hint="default"/>
                      <w:color w:val="auto"/>
                    </w:rPr>
                    <w:t>标准</w:t>
                  </w:r>
                </w:p>
              </w:tc>
              <w:tc>
                <w:tcPr>
                  <w:tcW w:w="2099" w:type="pct"/>
                  <w:gridSpan w:val="2"/>
                  <w:noWrap w:val="0"/>
                  <w:vAlign w:val="center"/>
                </w:tcPr>
                <w:p w14:paraId="42A2487B">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居民区：</w:t>
                  </w:r>
                  <w:r>
                    <w:rPr>
                      <w:rFonts w:hint="default"/>
                      <w:color w:val="auto"/>
                      <w:highlight w:val="none"/>
                    </w:rPr>
                    <w:t>-</w:t>
                  </w:r>
                </w:p>
              </w:tc>
            </w:tr>
            <w:tr w14:paraId="421702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04" w:type="pct"/>
                  <w:vMerge w:val="continue"/>
                  <w:noWrap w:val="0"/>
                  <w:vAlign w:val="center"/>
                </w:tcPr>
                <w:p w14:paraId="5C07FFEF">
                  <w:pPr>
                    <w:keepNext w:val="0"/>
                    <w:keepLines w:val="0"/>
                    <w:widowControl/>
                    <w:suppressLineNumbers w:val="0"/>
                    <w:spacing w:before="0" w:beforeAutospacing="0" w:after="0" w:afterAutospacing="0"/>
                    <w:ind w:left="0" w:right="0"/>
                    <w:jc w:val="left"/>
                    <w:rPr>
                      <w:rFonts w:hint="default"/>
                      <w:color w:val="auto"/>
                      <w:szCs w:val="21"/>
                    </w:rPr>
                  </w:pPr>
                </w:p>
              </w:tc>
              <w:tc>
                <w:tcPr>
                  <w:tcW w:w="1155" w:type="pct"/>
                  <w:noWrap w:val="0"/>
                  <w:vAlign w:val="center"/>
                </w:tcPr>
                <w:p w14:paraId="2D5DA242">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侵入途径</w:t>
                  </w:r>
                </w:p>
              </w:tc>
              <w:tc>
                <w:tcPr>
                  <w:tcW w:w="3441" w:type="pct"/>
                  <w:gridSpan w:val="4"/>
                  <w:noWrap w:val="0"/>
                  <w:vAlign w:val="center"/>
                </w:tcPr>
                <w:p w14:paraId="0409EDD7">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吸入、误服</w:t>
                  </w:r>
                </w:p>
              </w:tc>
            </w:tr>
            <w:tr w14:paraId="3912BF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04" w:type="pct"/>
                  <w:vMerge w:val="continue"/>
                  <w:noWrap w:val="0"/>
                  <w:vAlign w:val="center"/>
                </w:tcPr>
                <w:p w14:paraId="47A64095">
                  <w:pPr>
                    <w:keepNext w:val="0"/>
                    <w:keepLines w:val="0"/>
                    <w:widowControl/>
                    <w:suppressLineNumbers w:val="0"/>
                    <w:spacing w:before="0" w:beforeAutospacing="0" w:after="0" w:afterAutospacing="0"/>
                    <w:ind w:left="0" w:right="0"/>
                    <w:jc w:val="left"/>
                    <w:rPr>
                      <w:rFonts w:hint="default"/>
                      <w:color w:val="auto"/>
                      <w:szCs w:val="21"/>
                    </w:rPr>
                  </w:pPr>
                </w:p>
              </w:tc>
              <w:tc>
                <w:tcPr>
                  <w:tcW w:w="1155" w:type="pct"/>
                  <w:noWrap w:val="0"/>
                  <w:vAlign w:val="center"/>
                </w:tcPr>
                <w:p w14:paraId="15CB0FAA">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毒性</w:t>
                  </w:r>
                </w:p>
              </w:tc>
              <w:tc>
                <w:tcPr>
                  <w:tcW w:w="3441" w:type="pct"/>
                  <w:gridSpan w:val="4"/>
                  <w:noWrap w:val="0"/>
                  <w:vAlign w:val="center"/>
                </w:tcPr>
                <w:p w14:paraId="77D5C382">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具体刺激作用</w:t>
                  </w:r>
                </w:p>
              </w:tc>
            </w:tr>
            <w:tr w14:paraId="2111D7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85" w:hRule="atLeast"/>
                <w:jc w:val="center"/>
              </w:trPr>
              <w:tc>
                <w:tcPr>
                  <w:tcW w:w="404" w:type="pct"/>
                  <w:vMerge w:val="continue"/>
                  <w:noWrap w:val="0"/>
                  <w:vAlign w:val="center"/>
                </w:tcPr>
                <w:p w14:paraId="3654BE6C">
                  <w:pPr>
                    <w:keepNext w:val="0"/>
                    <w:keepLines w:val="0"/>
                    <w:widowControl/>
                    <w:suppressLineNumbers w:val="0"/>
                    <w:spacing w:before="0" w:beforeAutospacing="0" w:after="0" w:afterAutospacing="0"/>
                    <w:ind w:left="0" w:right="0"/>
                    <w:jc w:val="left"/>
                    <w:rPr>
                      <w:rFonts w:hint="default"/>
                      <w:color w:val="auto"/>
                      <w:szCs w:val="21"/>
                    </w:rPr>
                  </w:pPr>
                </w:p>
              </w:tc>
              <w:tc>
                <w:tcPr>
                  <w:tcW w:w="1155" w:type="pct"/>
                  <w:noWrap w:val="0"/>
                  <w:vAlign w:val="center"/>
                </w:tcPr>
                <w:p w14:paraId="2D72EFEF">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健康危害</w:t>
                  </w:r>
                </w:p>
              </w:tc>
              <w:tc>
                <w:tcPr>
                  <w:tcW w:w="3441" w:type="pct"/>
                  <w:gridSpan w:val="4"/>
                  <w:noWrap w:val="0"/>
                  <w:vAlign w:val="center"/>
                </w:tcPr>
                <w:p w14:paraId="2A1D92A4">
                  <w:pPr>
                    <w:keepNext w:val="0"/>
                    <w:keepLines w:val="0"/>
                    <w:suppressLineNumbers w:val="0"/>
                    <w:spacing w:before="0" w:beforeAutospacing="0" w:after="0" w:afterAutospacing="0" w:line="260" w:lineRule="exact"/>
                    <w:ind w:left="0" w:right="0"/>
                    <w:rPr>
                      <w:rFonts w:hint="default"/>
                      <w:color w:val="auto"/>
                      <w:szCs w:val="21"/>
                    </w:rPr>
                  </w:pPr>
                  <w:r>
                    <w:rPr>
                      <w:rFonts w:hint="default"/>
                      <w:color w:val="auto"/>
                    </w:rPr>
                    <w:t>皮肤接触柴油可引起接触性皮炎、 油性痤疮，吸入可引起吸入性肺炎和肺的损害。柴油废气可引起眼、鼻</w:t>
                  </w:r>
                  <w:r>
                    <w:rPr>
                      <w:rFonts w:hint="eastAsia"/>
                      <w:color w:val="auto"/>
                      <w:highlight w:val="none"/>
                      <w:lang w:eastAsia="zh-CN"/>
                    </w:rPr>
                    <w:t>刺激症</w:t>
                  </w:r>
                  <w:r>
                    <w:rPr>
                      <w:rFonts w:hint="eastAsia"/>
                      <w:color w:val="auto"/>
                      <w:lang w:eastAsia="zh-CN"/>
                    </w:rPr>
                    <w:t>状</w:t>
                  </w:r>
                  <w:r>
                    <w:rPr>
                      <w:rFonts w:hint="default"/>
                      <w:color w:val="auto"/>
                    </w:rPr>
                    <w:t>，头痛及头晕。</w:t>
                  </w:r>
                </w:p>
              </w:tc>
            </w:tr>
            <w:tr w14:paraId="462162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38" w:hRule="atLeast"/>
                <w:jc w:val="center"/>
              </w:trPr>
              <w:tc>
                <w:tcPr>
                  <w:tcW w:w="404" w:type="pct"/>
                  <w:noWrap w:val="0"/>
                  <w:vAlign w:val="center"/>
                </w:tcPr>
                <w:p w14:paraId="6E06C39F">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急救</w:t>
                  </w:r>
                </w:p>
                <w:p w14:paraId="60BFB5DA">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措施</w:t>
                  </w:r>
                </w:p>
              </w:tc>
              <w:tc>
                <w:tcPr>
                  <w:tcW w:w="4596" w:type="pct"/>
                  <w:gridSpan w:val="5"/>
                  <w:noWrap w:val="0"/>
                  <w:vAlign w:val="center"/>
                </w:tcPr>
                <w:p w14:paraId="165A71A7">
                  <w:pPr>
                    <w:keepNext w:val="0"/>
                    <w:keepLines w:val="0"/>
                    <w:suppressLineNumbers w:val="0"/>
                    <w:spacing w:before="0" w:beforeAutospacing="0" w:after="0" w:afterAutospacing="0" w:line="260" w:lineRule="exact"/>
                    <w:ind w:left="0" w:right="0"/>
                    <w:rPr>
                      <w:rFonts w:hint="default"/>
                      <w:color w:val="auto"/>
                      <w:szCs w:val="21"/>
                    </w:rPr>
                  </w:pPr>
                  <w:r>
                    <w:rPr>
                      <w:rFonts w:hint="default"/>
                      <w:color w:val="auto"/>
                    </w:rPr>
                    <w:t>皮肤接触：脱去污染的衣着</w:t>
                  </w:r>
                  <w:r>
                    <w:rPr>
                      <w:rFonts w:hint="default"/>
                      <w:color w:val="auto"/>
                      <w:highlight w:val="none"/>
                    </w:rPr>
                    <w:t>，按</w:t>
                  </w:r>
                  <w:r>
                    <w:rPr>
                      <w:rFonts w:hint="default"/>
                      <w:color w:val="auto"/>
                    </w:rPr>
                    <w:t>用大量水</w:t>
                  </w:r>
                  <w:r>
                    <w:rPr>
                      <w:rFonts w:hint="eastAsia"/>
                      <w:color w:val="auto"/>
                      <w:lang w:eastAsia="zh-CN"/>
                    </w:rPr>
                    <w:t>冲洗</w:t>
                  </w:r>
                  <w:r>
                    <w:rPr>
                      <w:rFonts w:hint="default"/>
                      <w:color w:val="auto"/>
                    </w:rPr>
                    <w:t>皮肤至少15分钟。就医。</w:t>
                  </w:r>
                </w:p>
                <w:p w14:paraId="5B6778B0">
                  <w:pPr>
                    <w:keepNext w:val="0"/>
                    <w:keepLines w:val="0"/>
                    <w:suppressLineNumbers w:val="0"/>
                    <w:spacing w:before="0" w:beforeAutospacing="0" w:after="0" w:afterAutospacing="0" w:line="260" w:lineRule="exact"/>
                    <w:ind w:left="0" w:right="0"/>
                    <w:rPr>
                      <w:rFonts w:hint="default"/>
                      <w:color w:val="auto"/>
                    </w:rPr>
                  </w:pPr>
                  <w:r>
                    <w:rPr>
                      <w:rFonts w:hint="default"/>
                      <w:color w:val="auto"/>
                    </w:rPr>
                    <w:t>眼睛接触：立即提起眼睑用大量水冲洗眼睛，至少15分钟。就医。</w:t>
                  </w:r>
                </w:p>
                <w:p w14:paraId="3F24F370">
                  <w:pPr>
                    <w:keepNext w:val="0"/>
                    <w:keepLines w:val="0"/>
                    <w:suppressLineNumbers w:val="0"/>
                    <w:spacing w:before="0" w:beforeAutospacing="0" w:after="0" w:afterAutospacing="0" w:line="260" w:lineRule="exact"/>
                    <w:ind w:left="0" w:right="0"/>
                    <w:rPr>
                      <w:rFonts w:hint="default"/>
                      <w:color w:val="auto"/>
                    </w:rPr>
                  </w:pPr>
                  <w:r>
                    <w:rPr>
                      <w:rFonts w:hint="default"/>
                      <w:color w:val="auto"/>
                    </w:rPr>
                    <w:t>吸入：迅速撤离现场到空气新鲜处；如呼吸停止，进行人工呼吸；如呼吸困难，给输氧（如有适当的解毒剂，立即服用）。就医。</w:t>
                  </w:r>
                </w:p>
                <w:p w14:paraId="5206A856">
                  <w:pPr>
                    <w:keepNext w:val="0"/>
                    <w:keepLines w:val="0"/>
                    <w:suppressLineNumbers w:val="0"/>
                    <w:spacing w:before="0" w:beforeAutospacing="0" w:after="0" w:afterAutospacing="0" w:line="260" w:lineRule="exact"/>
                    <w:ind w:left="0" w:right="0"/>
                    <w:rPr>
                      <w:rFonts w:hint="default"/>
                      <w:color w:val="auto"/>
                      <w:szCs w:val="21"/>
                    </w:rPr>
                  </w:pPr>
                  <w:r>
                    <w:rPr>
                      <w:rFonts w:hint="default"/>
                      <w:color w:val="auto"/>
                    </w:rPr>
                    <w:t>食入：误服者立即漱口，饮足量温水，尽快洗胃。就医</w:t>
                  </w:r>
                </w:p>
              </w:tc>
            </w:tr>
            <w:tr w14:paraId="090E0B1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98" w:hRule="atLeast"/>
                <w:jc w:val="center"/>
              </w:trPr>
              <w:tc>
                <w:tcPr>
                  <w:tcW w:w="404" w:type="pct"/>
                  <w:noWrap w:val="0"/>
                  <w:vAlign w:val="center"/>
                </w:tcPr>
                <w:p w14:paraId="19AE36CC">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泄漏应急处理</w:t>
                  </w:r>
                </w:p>
              </w:tc>
              <w:tc>
                <w:tcPr>
                  <w:tcW w:w="4596" w:type="pct"/>
                  <w:gridSpan w:val="5"/>
                  <w:noWrap w:val="0"/>
                  <w:vAlign w:val="center"/>
                </w:tcPr>
                <w:p w14:paraId="7194598D">
                  <w:pPr>
                    <w:keepNext w:val="0"/>
                    <w:keepLines w:val="0"/>
                    <w:suppressLineNumbers w:val="0"/>
                    <w:spacing w:before="0" w:beforeAutospacing="0" w:after="0" w:afterAutospacing="0" w:line="240" w:lineRule="exact"/>
                    <w:ind w:left="0" w:right="0"/>
                    <w:rPr>
                      <w:rFonts w:hint="default"/>
                      <w:color w:val="auto"/>
                      <w:szCs w:val="21"/>
                    </w:rPr>
                  </w:pPr>
                  <w:r>
                    <w:rPr>
                      <w:rFonts w:hint="default"/>
                      <w:color w:val="auto"/>
                    </w:rPr>
                    <w:t>疏散泄漏污染区人员至安全区，禁止无关人员进入污染区，切断火源。应急处理人员戴自给式呼吸器，穿一般消防防护服。在确保安全情况下堵漏。喷水雾可减少蒸发。用活性炭或其他惰性材料吸收，然后收集运至废物处理场所。也可以用大量水冲洗，经稀释的洗液放入放心水系统。如大量泄漏，利用围堤收容 ，然后收集、转移、回收或无害处理后废弃</w:t>
                  </w:r>
                </w:p>
              </w:tc>
            </w:tr>
            <w:tr w14:paraId="4D4F40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58" w:hRule="atLeast"/>
                <w:jc w:val="center"/>
              </w:trPr>
              <w:tc>
                <w:tcPr>
                  <w:tcW w:w="404" w:type="pct"/>
                  <w:noWrap w:val="0"/>
                  <w:vAlign w:val="center"/>
                </w:tcPr>
                <w:p w14:paraId="20F79B66">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储存注意事项</w:t>
                  </w:r>
                </w:p>
              </w:tc>
              <w:tc>
                <w:tcPr>
                  <w:tcW w:w="4596" w:type="pct"/>
                  <w:gridSpan w:val="5"/>
                  <w:noWrap w:val="0"/>
                  <w:vAlign w:val="center"/>
                </w:tcPr>
                <w:p w14:paraId="79AD9753">
                  <w:pPr>
                    <w:keepNext w:val="0"/>
                    <w:keepLines w:val="0"/>
                    <w:suppressLineNumbers w:val="0"/>
                    <w:spacing w:before="0" w:beforeAutospacing="0" w:after="0" w:afterAutospacing="0" w:line="240" w:lineRule="exact"/>
                    <w:ind w:left="0" w:right="0"/>
                    <w:rPr>
                      <w:rFonts w:hint="default"/>
                      <w:color w:val="auto"/>
                      <w:szCs w:val="21"/>
                    </w:rPr>
                  </w:pPr>
                  <w:r>
                    <w:rPr>
                      <w:rFonts w:hint="default"/>
                      <w:color w:val="auto"/>
                    </w:rPr>
                    <w:t>储运于阴凉、通风</w:t>
                  </w:r>
                  <w:r>
                    <w:rPr>
                      <w:rFonts w:hint="eastAsia"/>
                      <w:color w:val="auto"/>
                      <w:lang w:eastAsia="zh-CN"/>
                    </w:rPr>
                    <w:t>房间内</w:t>
                  </w:r>
                  <w:r>
                    <w:rPr>
                      <w:rFonts w:hint="default"/>
                      <w:color w:val="auto"/>
                    </w:rPr>
                    <w:t>。远离火种、热源。仓温不宜超过 30℃。防止阳光直射。保持容器密封。储存间内的照明、通风等设施应采用防爆型。配备相应品种和数量的消防器材。罐储时要有防火防爆技术措施。禁止使用易产生火花的机械设备和工具。灌装时注意流速（不超过3m/s），且有接地装置，防止静电积聚。搬运时要轻装轻卸，防止包装及容器损坏。</w:t>
                  </w:r>
                </w:p>
              </w:tc>
            </w:tr>
            <w:tr w14:paraId="60BFBF0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06" w:hRule="atLeast"/>
                <w:jc w:val="center"/>
              </w:trPr>
              <w:tc>
                <w:tcPr>
                  <w:tcW w:w="404" w:type="pct"/>
                  <w:noWrap w:val="0"/>
                  <w:vAlign w:val="center"/>
                </w:tcPr>
                <w:p w14:paraId="471A47AB">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防护</w:t>
                  </w:r>
                </w:p>
                <w:p w14:paraId="7FB798BB">
                  <w:pPr>
                    <w:keepNext w:val="0"/>
                    <w:keepLines w:val="0"/>
                    <w:suppressLineNumbers w:val="0"/>
                    <w:spacing w:before="0" w:beforeAutospacing="0" w:after="0" w:afterAutospacing="0" w:line="260" w:lineRule="exact"/>
                    <w:ind w:left="0" w:right="0"/>
                    <w:jc w:val="center"/>
                    <w:rPr>
                      <w:rFonts w:hint="default"/>
                      <w:color w:val="auto"/>
                      <w:szCs w:val="21"/>
                    </w:rPr>
                  </w:pPr>
                  <w:r>
                    <w:rPr>
                      <w:rFonts w:hint="default"/>
                      <w:color w:val="auto"/>
                    </w:rPr>
                    <w:t>措施</w:t>
                  </w:r>
                </w:p>
              </w:tc>
              <w:tc>
                <w:tcPr>
                  <w:tcW w:w="4596" w:type="pct"/>
                  <w:gridSpan w:val="5"/>
                  <w:noWrap w:val="0"/>
                  <w:vAlign w:val="center"/>
                </w:tcPr>
                <w:p w14:paraId="36751CCB">
                  <w:pPr>
                    <w:keepNext w:val="0"/>
                    <w:keepLines w:val="0"/>
                    <w:suppressLineNumbers w:val="0"/>
                    <w:spacing w:before="0" w:beforeAutospacing="0" w:after="0" w:afterAutospacing="0" w:line="240" w:lineRule="exact"/>
                    <w:ind w:left="0" w:right="0"/>
                    <w:rPr>
                      <w:rFonts w:hint="default"/>
                      <w:color w:val="auto"/>
                      <w:szCs w:val="21"/>
                    </w:rPr>
                  </w:pPr>
                  <w:r>
                    <w:rPr>
                      <w:rFonts w:hint="default"/>
                      <w:color w:val="auto"/>
                    </w:rPr>
                    <w:t>工程控制：采用通风装置。</w:t>
                  </w:r>
                </w:p>
                <w:p w14:paraId="3311B626">
                  <w:pPr>
                    <w:keepNext w:val="0"/>
                    <w:keepLines w:val="0"/>
                    <w:suppressLineNumbers w:val="0"/>
                    <w:spacing w:before="0" w:beforeAutospacing="0" w:after="0" w:afterAutospacing="0" w:line="240" w:lineRule="exact"/>
                    <w:ind w:left="0" w:right="0"/>
                    <w:rPr>
                      <w:rFonts w:hint="default"/>
                      <w:color w:val="auto"/>
                    </w:rPr>
                  </w:pPr>
                  <w:r>
                    <w:rPr>
                      <w:rFonts w:hint="default"/>
                      <w:color w:val="auto"/>
                    </w:rPr>
                    <w:t>呼吸系统防护：高浓度环境中，应该佩戴防毒口罩，紧急事态抢救或撤离时，建议佩戴自给式呼吸器</w:t>
                  </w:r>
                </w:p>
                <w:p w14:paraId="23137542">
                  <w:pPr>
                    <w:keepNext w:val="0"/>
                    <w:keepLines w:val="0"/>
                    <w:suppressLineNumbers w:val="0"/>
                    <w:spacing w:before="0" w:beforeAutospacing="0" w:after="0" w:afterAutospacing="0" w:line="240" w:lineRule="exact"/>
                    <w:ind w:left="0" w:right="0"/>
                    <w:rPr>
                      <w:rFonts w:hint="default"/>
                      <w:color w:val="auto"/>
                    </w:rPr>
                  </w:pPr>
                  <w:r>
                    <w:rPr>
                      <w:rFonts w:hint="default"/>
                      <w:color w:val="auto"/>
                    </w:rPr>
                    <w:t>眼睛防护：化学安全防护眼镜</w:t>
                  </w:r>
                </w:p>
                <w:p w14:paraId="1ABD5897">
                  <w:pPr>
                    <w:keepNext w:val="0"/>
                    <w:keepLines w:val="0"/>
                    <w:suppressLineNumbers w:val="0"/>
                    <w:spacing w:before="0" w:beforeAutospacing="0" w:after="0" w:afterAutospacing="0" w:line="240" w:lineRule="exact"/>
                    <w:ind w:left="0" w:right="0"/>
                    <w:rPr>
                      <w:rFonts w:hint="default"/>
                      <w:color w:val="auto"/>
                    </w:rPr>
                  </w:pPr>
                  <w:r>
                    <w:rPr>
                      <w:rFonts w:hint="default"/>
                      <w:color w:val="auto"/>
                    </w:rPr>
                    <w:t>身体防护：橡胶工作服</w:t>
                  </w:r>
                </w:p>
                <w:p w14:paraId="3DACDDD0">
                  <w:pPr>
                    <w:keepNext w:val="0"/>
                    <w:keepLines w:val="0"/>
                    <w:suppressLineNumbers w:val="0"/>
                    <w:spacing w:before="0" w:beforeAutospacing="0" w:after="0" w:afterAutospacing="0" w:line="240" w:lineRule="exact"/>
                    <w:ind w:left="0" w:right="0"/>
                    <w:rPr>
                      <w:rFonts w:hint="default"/>
                      <w:color w:val="auto"/>
                    </w:rPr>
                  </w:pPr>
                  <w:r>
                    <w:rPr>
                      <w:rFonts w:hint="default"/>
                      <w:color w:val="auto"/>
                    </w:rPr>
                    <w:t>手防护：防护手套。其他：工作后，沐浴更衣。注意个人清洁卫生。</w:t>
                  </w:r>
                </w:p>
              </w:tc>
            </w:tr>
          </w:tbl>
          <w:p w14:paraId="7262B48D">
            <w:pPr>
              <w:keepNext w:val="0"/>
              <w:keepLines w:val="0"/>
              <w:suppressLineNumbers w:val="0"/>
              <w:autoSpaceDE w:val="0"/>
              <w:autoSpaceDN w:val="0"/>
              <w:adjustRightInd w:val="0"/>
              <w:spacing w:before="0" w:beforeAutospacing="0" w:after="0" w:afterAutospacing="0"/>
              <w:ind w:left="0" w:right="0" w:firstLine="482" w:firstLineChars="200"/>
              <w:jc w:val="center"/>
              <w:rPr>
                <w:rFonts w:hint="default"/>
                <w:b/>
                <w:color w:val="auto"/>
                <w:kern w:val="0"/>
                <w:sz w:val="24"/>
              </w:rPr>
            </w:pPr>
            <w:r>
              <w:rPr>
                <w:rFonts w:hint="default"/>
                <w:b/>
                <w:color w:val="auto"/>
                <w:kern w:val="0"/>
                <w:sz w:val="24"/>
              </w:rPr>
              <w:t>表</w:t>
            </w:r>
            <w:r>
              <w:rPr>
                <w:rFonts w:hint="eastAsia"/>
                <w:b/>
                <w:color w:val="auto"/>
                <w:kern w:val="0"/>
                <w:sz w:val="24"/>
              </w:rPr>
              <w:t>4</w:t>
            </w:r>
            <w:r>
              <w:rPr>
                <w:rFonts w:hint="default"/>
                <w:b/>
                <w:color w:val="auto"/>
                <w:kern w:val="0"/>
                <w:sz w:val="24"/>
              </w:rPr>
              <w:t>-</w:t>
            </w:r>
            <w:r>
              <w:rPr>
                <w:rFonts w:hint="eastAsia"/>
                <w:b/>
                <w:color w:val="auto"/>
                <w:kern w:val="0"/>
                <w:sz w:val="24"/>
              </w:rPr>
              <w:t>10</w:t>
            </w:r>
            <w:r>
              <w:rPr>
                <w:rFonts w:hint="default"/>
                <w:b/>
                <w:color w:val="auto"/>
                <w:kern w:val="0"/>
                <w:sz w:val="24"/>
              </w:rPr>
              <w:t xml:space="preserve"> 天然气（甲烷）特性表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02"/>
              <w:gridCol w:w="2183"/>
              <w:gridCol w:w="788"/>
              <w:gridCol w:w="588"/>
              <w:gridCol w:w="2154"/>
              <w:gridCol w:w="457"/>
              <w:gridCol w:w="1523"/>
            </w:tblGrid>
            <w:tr w14:paraId="7D11D2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306" w:type="pct"/>
                  <w:vMerge w:val="restart"/>
                  <w:shd w:val="clear" w:color="auto" w:fill="auto"/>
                  <w:noWrap w:val="0"/>
                  <w:tcMar>
                    <w:top w:w="0" w:type="dxa"/>
                    <w:left w:w="0" w:type="dxa"/>
                    <w:bottom w:w="0" w:type="dxa"/>
                    <w:right w:w="0" w:type="dxa"/>
                  </w:tcMar>
                  <w:vAlign w:val="center"/>
                </w:tcPr>
                <w:p w14:paraId="49FEFBC6">
                  <w:pPr>
                    <w:keepNext w:val="0"/>
                    <w:keepLines w:val="0"/>
                    <w:suppressLineNumbers w:val="0"/>
                    <w:adjustRightInd w:val="0"/>
                    <w:snapToGrid w:val="0"/>
                    <w:spacing w:before="0" w:beforeAutospacing="0" w:after="0" w:afterAutospacing="0"/>
                    <w:ind w:left="0" w:right="0"/>
                    <w:jc w:val="center"/>
                    <w:rPr>
                      <w:rFonts w:hint="default"/>
                      <w:b/>
                      <w:bCs/>
                      <w:color w:val="auto"/>
                      <w:sz w:val="24"/>
                    </w:rPr>
                  </w:pPr>
                  <w:r>
                    <w:rPr>
                      <w:rFonts w:hint="default"/>
                      <w:bCs/>
                      <w:color w:val="auto"/>
                    </w:rPr>
                    <w:t>标识</w:t>
                  </w:r>
                </w:p>
              </w:tc>
              <w:tc>
                <w:tcPr>
                  <w:tcW w:w="2172" w:type="pct"/>
                  <w:gridSpan w:val="3"/>
                  <w:shd w:val="clear" w:color="auto" w:fill="D9D9D9"/>
                  <w:noWrap w:val="0"/>
                  <w:tcMar>
                    <w:top w:w="0" w:type="dxa"/>
                    <w:left w:w="0" w:type="dxa"/>
                    <w:bottom w:w="0" w:type="dxa"/>
                    <w:right w:w="0" w:type="dxa"/>
                  </w:tcMar>
                  <w:vAlign w:val="center"/>
                </w:tcPr>
                <w:p w14:paraId="1449D3A8">
                  <w:pPr>
                    <w:keepNext w:val="0"/>
                    <w:keepLines w:val="0"/>
                    <w:suppressLineNumbers w:val="0"/>
                    <w:adjustRightInd w:val="0"/>
                    <w:snapToGrid w:val="0"/>
                    <w:spacing w:before="0" w:beforeAutospacing="0" w:after="0" w:afterAutospacing="0"/>
                    <w:ind w:left="0" w:right="0"/>
                    <w:jc w:val="center"/>
                    <w:rPr>
                      <w:rFonts w:hint="default"/>
                      <w:bCs/>
                      <w:color w:val="auto"/>
                    </w:rPr>
                  </w:pPr>
                  <w:r>
                    <w:rPr>
                      <w:rFonts w:hint="default"/>
                      <w:bCs/>
                      <w:color w:val="auto"/>
                    </w:rPr>
                    <w:t>中文名：甲烷；沼气分子式：CH4</w:t>
                  </w:r>
                </w:p>
              </w:tc>
              <w:tc>
                <w:tcPr>
                  <w:tcW w:w="2522" w:type="pct"/>
                  <w:gridSpan w:val="3"/>
                  <w:shd w:val="clear" w:color="auto" w:fill="D9D9D9"/>
                  <w:noWrap w:val="0"/>
                  <w:tcMar>
                    <w:top w:w="0" w:type="dxa"/>
                    <w:left w:w="0" w:type="dxa"/>
                    <w:bottom w:w="0" w:type="dxa"/>
                    <w:right w:w="0" w:type="dxa"/>
                  </w:tcMar>
                  <w:vAlign w:val="center"/>
                </w:tcPr>
                <w:p w14:paraId="3926BA22">
                  <w:pPr>
                    <w:keepNext w:val="0"/>
                    <w:keepLines w:val="0"/>
                    <w:suppressLineNumbers w:val="0"/>
                    <w:adjustRightInd w:val="0"/>
                    <w:snapToGrid w:val="0"/>
                    <w:spacing w:before="0" w:beforeAutospacing="0" w:after="0" w:afterAutospacing="0"/>
                    <w:ind w:left="0" w:right="0"/>
                    <w:jc w:val="center"/>
                    <w:rPr>
                      <w:rFonts w:hint="default"/>
                      <w:bCs/>
                      <w:color w:val="auto"/>
                    </w:rPr>
                  </w:pPr>
                  <w:r>
                    <w:rPr>
                      <w:rFonts w:hint="default"/>
                      <w:bCs/>
                      <w:color w:val="auto"/>
                    </w:rPr>
                    <w:t>英文名：methane;Marsh gas</w:t>
                  </w:r>
                </w:p>
              </w:tc>
            </w:tr>
            <w:tr w14:paraId="6579C1D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5DE4006F">
                  <w:pPr>
                    <w:keepNext w:val="0"/>
                    <w:keepLines w:val="0"/>
                    <w:widowControl/>
                    <w:suppressLineNumbers w:val="0"/>
                    <w:spacing w:before="0" w:beforeAutospacing="0" w:after="0" w:afterAutospacing="0"/>
                    <w:ind w:left="0" w:right="0"/>
                    <w:jc w:val="left"/>
                    <w:rPr>
                      <w:rFonts w:hint="default"/>
                      <w:b/>
                      <w:bCs/>
                      <w:color w:val="auto"/>
                      <w:sz w:val="24"/>
                    </w:rPr>
                  </w:pPr>
                </w:p>
              </w:tc>
              <w:tc>
                <w:tcPr>
                  <w:tcW w:w="2172" w:type="pct"/>
                  <w:gridSpan w:val="3"/>
                  <w:noWrap w:val="0"/>
                  <w:tcMar>
                    <w:top w:w="0" w:type="dxa"/>
                    <w:left w:w="0" w:type="dxa"/>
                    <w:bottom w:w="0" w:type="dxa"/>
                    <w:right w:w="0" w:type="dxa"/>
                  </w:tcMar>
                  <w:vAlign w:val="center"/>
                </w:tcPr>
                <w:p w14:paraId="46F43FD4">
                  <w:pPr>
                    <w:keepNext/>
                    <w:keepLines/>
                    <w:suppressLineNumbers w:val="0"/>
                    <w:adjustRightInd w:val="0"/>
                    <w:spacing w:before="0" w:beforeAutospacing="0" w:after="0" w:afterAutospacing="0"/>
                    <w:ind w:left="0" w:right="0"/>
                    <w:jc w:val="center"/>
                    <w:rPr>
                      <w:rFonts w:hint="default"/>
                      <w:bCs/>
                      <w:color w:val="auto"/>
                    </w:rPr>
                  </w:pPr>
                  <w:r>
                    <w:rPr>
                      <w:rFonts w:hint="default"/>
                      <w:bCs/>
                      <w:color w:val="auto"/>
                    </w:rPr>
                    <w:t>危险性类别：第2.1类易燃气体</w:t>
                  </w:r>
                </w:p>
              </w:tc>
              <w:tc>
                <w:tcPr>
                  <w:tcW w:w="1593" w:type="pct"/>
                  <w:gridSpan w:val="2"/>
                  <w:noWrap w:val="0"/>
                  <w:tcMar>
                    <w:top w:w="0" w:type="dxa"/>
                    <w:left w:w="0" w:type="dxa"/>
                    <w:bottom w:w="0" w:type="dxa"/>
                    <w:right w:w="0" w:type="dxa"/>
                  </w:tcMar>
                  <w:vAlign w:val="center"/>
                </w:tcPr>
                <w:p w14:paraId="6CA13FED">
                  <w:pPr>
                    <w:keepNext/>
                    <w:keepLines/>
                    <w:suppressLineNumbers w:val="0"/>
                    <w:adjustRightInd w:val="0"/>
                    <w:spacing w:before="0" w:beforeAutospacing="0" w:after="0" w:afterAutospacing="0"/>
                    <w:ind w:left="0" w:right="0"/>
                    <w:jc w:val="center"/>
                    <w:rPr>
                      <w:rFonts w:hint="default"/>
                      <w:bCs/>
                      <w:color w:val="auto"/>
                    </w:rPr>
                  </w:pPr>
                  <w:r>
                    <w:rPr>
                      <w:rFonts w:hint="default"/>
                      <w:bCs/>
                      <w:color w:val="auto"/>
                    </w:rPr>
                    <w:t>危险货物包装标志：4</w:t>
                  </w:r>
                </w:p>
              </w:tc>
              <w:tc>
                <w:tcPr>
                  <w:tcW w:w="929" w:type="pct"/>
                  <w:noWrap w:val="0"/>
                  <w:tcMar>
                    <w:top w:w="0" w:type="dxa"/>
                    <w:left w:w="0" w:type="dxa"/>
                    <w:bottom w:w="0" w:type="dxa"/>
                    <w:right w:w="0" w:type="dxa"/>
                  </w:tcMar>
                  <w:vAlign w:val="center"/>
                </w:tcPr>
                <w:p w14:paraId="3974A952">
                  <w:pPr>
                    <w:keepNext/>
                    <w:keepLines/>
                    <w:suppressLineNumbers w:val="0"/>
                    <w:spacing w:before="0" w:beforeAutospacing="0" w:after="0" w:afterAutospacing="0"/>
                    <w:ind w:left="0" w:right="0"/>
                    <w:jc w:val="center"/>
                    <w:rPr>
                      <w:rFonts w:hint="default"/>
                      <w:bCs/>
                      <w:color w:val="auto"/>
                    </w:rPr>
                  </w:pPr>
                  <w:r>
                    <w:rPr>
                      <w:rFonts w:hint="default"/>
                      <w:bCs/>
                      <w:color w:val="auto"/>
                    </w:rPr>
                    <w:t>UN编号：1971</w:t>
                  </w:r>
                </w:p>
              </w:tc>
            </w:tr>
            <w:tr w14:paraId="3BD548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6759A3F7">
                  <w:pPr>
                    <w:keepNext w:val="0"/>
                    <w:keepLines w:val="0"/>
                    <w:widowControl/>
                    <w:suppressLineNumbers w:val="0"/>
                    <w:spacing w:before="0" w:beforeAutospacing="0" w:after="0" w:afterAutospacing="0"/>
                    <w:ind w:left="0" w:right="0"/>
                    <w:jc w:val="left"/>
                    <w:rPr>
                      <w:rFonts w:hint="default"/>
                      <w:b/>
                      <w:bCs/>
                      <w:color w:val="auto"/>
                      <w:sz w:val="24"/>
                    </w:rPr>
                  </w:pPr>
                </w:p>
              </w:tc>
              <w:tc>
                <w:tcPr>
                  <w:tcW w:w="2172" w:type="pct"/>
                  <w:gridSpan w:val="3"/>
                  <w:noWrap w:val="0"/>
                  <w:tcMar>
                    <w:top w:w="0" w:type="dxa"/>
                    <w:left w:w="0" w:type="dxa"/>
                    <w:bottom w:w="0" w:type="dxa"/>
                    <w:right w:w="0" w:type="dxa"/>
                  </w:tcMar>
                  <w:vAlign w:val="center"/>
                </w:tcPr>
                <w:p w14:paraId="2E20053C">
                  <w:pPr>
                    <w:keepNext/>
                    <w:keepLines/>
                    <w:suppressLineNumbers w:val="0"/>
                    <w:adjustRightInd w:val="0"/>
                    <w:spacing w:before="0" w:beforeAutospacing="0" w:after="0" w:afterAutospacing="0"/>
                    <w:ind w:left="0" w:right="0"/>
                    <w:jc w:val="center"/>
                    <w:rPr>
                      <w:rFonts w:hint="default"/>
                      <w:bCs/>
                      <w:color w:val="auto"/>
                    </w:rPr>
                  </w:pPr>
                  <w:r>
                    <w:rPr>
                      <w:rFonts w:hint="default"/>
                      <w:bCs/>
                      <w:color w:val="auto"/>
                    </w:rPr>
                    <w:t>危险货物编号：21007</w:t>
                  </w:r>
                </w:p>
              </w:tc>
              <w:tc>
                <w:tcPr>
                  <w:tcW w:w="1593" w:type="pct"/>
                  <w:gridSpan w:val="2"/>
                  <w:noWrap w:val="0"/>
                  <w:tcMar>
                    <w:top w:w="0" w:type="dxa"/>
                    <w:left w:w="0" w:type="dxa"/>
                    <w:bottom w:w="0" w:type="dxa"/>
                    <w:right w:w="0" w:type="dxa"/>
                  </w:tcMar>
                  <w:vAlign w:val="center"/>
                </w:tcPr>
                <w:p w14:paraId="6088B183">
                  <w:pPr>
                    <w:keepNext/>
                    <w:keepLines/>
                    <w:suppressLineNumbers w:val="0"/>
                    <w:adjustRightInd w:val="0"/>
                    <w:spacing w:before="0" w:beforeAutospacing="0" w:after="0" w:afterAutospacing="0"/>
                    <w:ind w:left="0" w:right="0"/>
                    <w:jc w:val="center"/>
                    <w:rPr>
                      <w:rFonts w:hint="default"/>
                      <w:bCs/>
                      <w:color w:val="auto"/>
                    </w:rPr>
                  </w:pPr>
                  <w:r>
                    <w:rPr>
                      <w:rFonts w:hint="default"/>
                      <w:bCs/>
                      <w:color w:val="auto"/>
                    </w:rPr>
                    <w:t>RTECS号：PA1490000</w:t>
                  </w:r>
                </w:p>
              </w:tc>
              <w:tc>
                <w:tcPr>
                  <w:tcW w:w="929" w:type="pct"/>
                  <w:noWrap w:val="0"/>
                  <w:tcMar>
                    <w:top w:w="0" w:type="dxa"/>
                    <w:left w:w="0" w:type="dxa"/>
                    <w:bottom w:w="0" w:type="dxa"/>
                    <w:right w:w="0" w:type="dxa"/>
                  </w:tcMar>
                  <w:vAlign w:val="center"/>
                </w:tcPr>
                <w:p w14:paraId="23CE7E3C">
                  <w:pPr>
                    <w:keepNext/>
                    <w:keepLines/>
                    <w:suppressLineNumbers w:val="0"/>
                    <w:spacing w:before="0" w:beforeAutospacing="0" w:after="0" w:afterAutospacing="0"/>
                    <w:ind w:left="0" w:right="0"/>
                    <w:jc w:val="center"/>
                    <w:rPr>
                      <w:rFonts w:hint="default"/>
                      <w:bCs/>
                      <w:color w:val="auto"/>
                    </w:rPr>
                  </w:pPr>
                  <w:r>
                    <w:rPr>
                      <w:rFonts w:hint="default"/>
                      <w:bCs/>
                      <w:color w:val="auto"/>
                    </w:rPr>
                    <w:t>CAS号：74-82-8</w:t>
                  </w:r>
                </w:p>
              </w:tc>
            </w:tr>
            <w:tr w14:paraId="4DBA3E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306" w:type="pct"/>
                  <w:vMerge w:val="restart"/>
                  <w:noWrap w:val="0"/>
                  <w:tcMar>
                    <w:top w:w="0" w:type="dxa"/>
                    <w:left w:w="0" w:type="dxa"/>
                    <w:bottom w:w="0" w:type="dxa"/>
                    <w:right w:w="0" w:type="dxa"/>
                  </w:tcMar>
                  <w:vAlign w:val="center"/>
                </w:tcPr>
                <w:p w14:paraId="5C2EDF7C">
                  <w:pPr>
                    <w:keepNext/>
                    <w:keepLines/>
                    <w:suppressLineNumbers w:val="0"/>
                    <w:adjustRightInd w:val="0"/>
                    <w:spacing w:before="0" w:beforeAutospacing="0" w:after="0" w:afterAutospacing="0"/>
                    <w:ind w:left="0" w:right="0"/>
                    <w:jc w:val="center"/>
                    <w:rPr>
                      <w:rFonts w:hint="default"/>
                      <w:bCs/>
                      <w:color w:val="auto"/>
                    </w:rPr>
                  </w:pPr>
                  <w:r>
                    <w:rPr>
                      <w:rFonts w:hint="default"/>
                      <w:bCs/>
                      <w:color w:val="auto"/>
                    </w:rPr>
                    <w:t>理化特性</w:t>
                  </w:r>
                </w:p>
              </w:tc>
              <w:tc>
                <w:tcPr>
                  <w:tcW w:w="4694" w:type="pct"/>
                  <w:gridSpan w:val="6"/>
                  <w:noWrap w:val="0"/>
                  <w:tcMar>
                    <w:top w:w="0" w:type="dxa"/>
                    <w:left w:w="0" w:type="dxa"/>
                    <w:bottom w:w="0" w:type="dxa"/>
                    <w:right w:w="0" w:type="dxa"/>
                  </w:tcMar>
                  <w:vAlign w:val="center"/>
                </w:tcPr>
                <w:p w14:paraId="4925901E">
                  <w:pPr>
                    <w:keepNext/>
                    <w:keepLines/>
                    <w:suppressLineNumbers w:val="0"/>
                    <w:spacing w:before="0" w:beforeAutospacing="0" w:after="0" w:afterAutospacing="0"/>
                    <w:ind w:left="0" w:right="0"/>
                    <w:jc w:val="center"/>
                    <w:rPr>
                      <w:rFonts w:hint="default"/>
                      <w:bCs/>
                      <w:color w:val="auto"/>
                    </w:rPr>
                  </w:pPr>
                  <w:r>
                    <w:rPr>
                      <w:rFonts w:hint="default"/>
                      <w:bCs/>
                      <w:color w:val="auto"/>
                    </w:rPr>
                    <w:t>外观与性状：无色无臭气体</w:t>
                  </w:r>
                </w:p>
              </w:tc>
            </w:tr>
            <w:tr w14:paraId="1983B6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74EEF255">
                  <w:pPr>
                    <w:keepNext w:val="0"/>
                    <w:keepLines w:val="0"/>
                    <w:widowControl/>
                    <w:suppressLineNumbers w:val="0"/>
                    <w:spacing w:before="0" w:beforeAutospacing="0" w:after="0" w:afterAutospacing="0"/>
                    <w:ind w:left="0" w:right="0"/>
                    <w:jc w:val="left"/>
                    <w:rPr>
                      <w:rFonts w:hint="default"/>
                      <w:bCs/>
                      <w:color w:val="auto"/>
                    </w:rPr>
                  </w:pPr>
                </w:p>
              </w:tc>
              <w:tc>
                <w:tcPr>
                  <w:tcW w:w="4694" w:type="pct"/>
                  <w:gridSpan w:val="6"/>
                  <w:noWrap w:val="0"/>
                  <w:tcMar>
                    <w:top w:w="0" w:type="dxa"/>
                    <w:left w:w="0" w:type="dxa"/>
                    <w:bottom w:w="0" w:type="dxa"/>
                    <w:right w:w="0" w:type="dxa"/>
                  </w:tcMar>
                  <w:vAlign w:val="center"/>
                </w:tcPr>
                <w:p w14:paraId="18FAB079">
                  <w:pPr>
                    <w:keepNext/>
                    <w:keepLines/>
                    <w:suppressLineNumbers w:val="0"/>
                    <w:spacing w:before="0" w:beforeAutospacing="0" w:after="0" w:afterAutospacing="0"/>
                    <w:ind w:left="0" w:right="0"/>
                    <w:jc w:val="center"/>
                    <w:rPr>
                      <w:rFonts w:hint="default"/>
                      <w:bCs/>
                      <w:color w:val="auto"/>
                    </w:rPr>
                  </w:pPr>
                  <w:r>
                    <w:rPr>
                      <w:rFonts w:hint="eastAsia"/>
                      <w:bCs/>
                      <w:color w:val="auto"/>
                      <w:lang w:eastAsia="zh-CN"/>
                    </w:rPr>
                    <w:t>熔点</w:t>
                  </w:r>
                  <w:r>
                    <w:rPr>
                      <w:rFonts w:hint="default"/>
                      <w:bCs/>
                      <w:color w:val="auto"/>
                    </w:rPr>
                    <w:t>/℃： -182．5               沸点/℃：-161．5</w:t>
                  </w:r>
                </w:p>
              </w:tc>
            </w:tr>
            <w:tr w14:paraId="46C244D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5FDFEF90">
                  <w:pPr>
                    <w:keepNext w:val="0"/>
                    <w:keepLines w:val="0"/>
                    <w:widowControl/>
                    <w:suppressLineNumbers w:val="0"/>
                    <w:spacing w:before="0" w:beforeAutospacing="0" w:after="0" w:afterAutospacing="0"/>
                    <w:ind w:left="0" w:right="0"/>
                    <w:jc w:val="left"/>
                    <w:rPr>
                      <w:rFonts w:hint="default"/>
                      <w:bCs/>
                      <w:color w:val="auto"/>
                    </w:rPr>
                  </w:pPr>
                </w:p>
              </w:tc>
              <w:tc>
                <w:tcPr>
                  <w:tcW w:w="4694" w:type="pct"/>
                  <w:gridSpan w:val="6"/>
                  <w:noWrap w:val="0"/>
                  <w:tcMar>
                    <w:top w:w="0" w:type="dxa"/>
                    <w:left w:w="0" w:type="dxa"/>
                    <w:bottom w:w="0" w:type="dxa"/>
                    <w:right w:w="0" w:type="dxa"/>
                  </w:tcMar>
                  <w:vAlign w:val="center"/>
                </w:tcPr>
                <w:p w14:paraId="26352BEA">
                  <w:pPr>
                    <w:keepNext/>
                    <w:keepLines/>
                    <w:suppressLineNumbers w:val="0"/>
                    <w:spacing w:before="0" w:beforeAutospacing="0" w:after="0" w:afterAutospacing="0"/>
                    <w:ind w:left="0" w:right="0"/>
                    <w:jc w:val="center"/>
                    <w:rPr>
                      <w:rFonts w:hint="default"/>
                      <w:bCs/>
                      <w:color w:val="auto"/>
                    </w:rPr>
                  </w:pPr>
                  <w:r>
                    <w:rPr>
                      <w:rFonts w:hint="default"/>
                      <w:bCs/>
                      <w:color w:val="auto"/>
                    </w:rPr>
                    <w:t>溶解性：微溶于水，溶于乙醇、乙醚。</w:t>
                  </w:r>
                </w:p>
              </w:tc>
            </w:tr>
            <w:tr w14:paraId="661B0D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4356E7A6">
                  <w:pPr>
                    <w:keepNext w:val="0"/>
                    <w:keepLines w:val="0"/>
                    <w:widowControl/>
                    <w:suppressLineNumbers w:val="0"/>
                    <w:spacing w:before="0" w:beforeAutospacing="0" w:after="0" w:afterAutospacing="0"/>
                    <w:ind w:left="0" w:right="0"/>
                    <w:jc w:val="left"/>
                    <w:rPr>
                      <w:rFonts w:hint="default"/>
                      <w:bCs/>
                      <w:color w:val="auto"/>
                    </w:rPr>
                  </w:pPr>
                </w:p>
              </w:tc>
              <w:tc>
                <w:tcPr>
                  <w:tcW w:w="1813" w:type="pct"/>
                  <w:gridSpan w:val="2"/>
                  <w:noWrap w:val="0"/>
                  <w:tcMar>
                    <w:top w:w="0" w:type="dxa"/>
                    <w:left w:w="0" w:type="dxa"/>
                    <w:bottom w:w="0" w:type="dxa"/>
                    <w:right w:w="0" w:type="dxa"/>
                  </w:tcMar>
                  <w:vAlign w:val="center"/>
                </w:tcPr>
                <w:p w14:paraId="584228E5">
                  <w:pPr>
                    <w:keepNext/>
                    <w:keepLines/>
                    <w:suppressLineNumbers w:val="0"/>
                    <w:adjustRightInd w:val="0"/>
                    <w:spacing w:before="0" w:beforeAutospacing="0" w:after="0" w:afterAutospacing="0"/>
                    <w:ind w:left="0" w:right="0"/>
                    <w:jc w:val="center"/>
                    <w:rPr>
                      <w:rFonts w:hint="default"/>
                      <w:bCs/>
                      <w:color w:val="auto"/>
                    </w:rPr>
                  </w:pPr>
                  <w:r>
                    <w:rPr>
                      <w:rFonts w:hint="default"/>
                      <w:bCs/>
                      <w:color w:val="auto"/>
                    </w:rPr>
                    <w:t>侵入途径：吸入</w:t>
                  </w:r>
                </w:p>
              </w:tc>
              <w:tc>
                <w:tcPr>
                  <w:tcW w:w="2881" w:type="pct"/>
                  <w:gridSpan w:val="4"/>
                  <w:noWrap w:val="0"/>
                  <w:tcMar>
                    <w:top w:w="0" w:type="dxa"/>
                    <w:left w:w="0" w:type="dxa"/>
                    <w:bottom w:w="0" w:type="dxa"/>
                    <w:right w:w="0" w:type="dxa"/>
                  </w:tcMar>
                  <w:vAlign w:val="center"/>
                </w:tcPr>
                <w:p w14:paraId="2554877B">
                  <w:pPr>
                    <w:keepNext/>
                    <w:keepLines/>
                    <w:suppressLineNumbers w:val="0"/>
                    <w:adjustRightInd w:val="0"/>
                    <w:spacing w:before="0" w:beforeAutospacing="0" w:after="0" w:afterAutospacing="0"/>
                    <w:ind w:left="0" w:right="0"/>
                    <w:jc w:val="center"/>
                    <w:rPr>
                      <w:rFonts w:hint="default"/>
                      <w:bCs/>
                      <w:color w:val="auto"/>
                    </w:rPr>
                  </w:pPr>
                  <w:r>
                    <w:rPr>
                      <w:rFonts w:hint="default"/>
                      <w:bCs/>
                      <w:color w:val="auto"/>
                    </w:rPr>
                    <w:t>相对密度（空气=1）：0.55</w:t>
                  </w:r>
                </w:p>
              </w:tc>
            </w:tr>
            <w:tr w14:paraId="49ACB4A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306" w:type="pct"/>
                  <w:vMerge w:val="restart"/>
                  <w:noWrap w:val="0"/>
                  <w:tcMar>
                    <w:top w:w="0" w:type="dxa"/>
                    <w:left w:w="0" w:type="dxa"/>
                    <w:bottom w:w="0" w:type="dxa"/>
                    <w:right w:w="0" w:type="dxa"/>
                  </w:tcMar>
                  <w:vAlign w:val="center"/>
                </w:tcPr>
                <w:p w14:paraId="493F2BF7">
                  <w:pPr>
                    <w:keepNext/>
                    <w:keepLines/>
                    <w:suppressLineNumbers w:val="0"/>
                    <w:adjustRightInd w:val="0"/>
                    <w:spacing w:before="0" w:beforeAutospacing="0" w:after="0" w:afterAutospacing="0"/>
                    <w:ind w:left="0" w:right="0"/>
                    <w:jc w:val="center"/>
                    <w:rPr>
                      <w:rFonts w:hint="default"/>
                      <w:bCs/>
                      <w:color w:val="auto"/>
                    </w:rPr>
                  </w:pPr>
                  <w:r>
                    <w:rPr>
                      <w:rFonts w:hint="default"/>
                      <w:bCs/>
                      <w:color w:val="auto"/>
                    </w:rPr>
                    <w:t>燃烧爆炸危险性</w:t>
                  </w:r>
                </w:p>
              </w:tc>
              <w:tc>
                <w:tcPr>
                  <w:tcW w:w="1332" w:type="pct"/>
                  <w:noWrap w:val="0"/>
                  <w:tcMar>
                    <w:top w:w="0" w:type="dxa"/>
                    <w:left w:w="0" w:type="dxa"/>
                    <w:bottom w:w="0" w:type="dxa"/>
                    <w:right w:w="0" w:type="dxa"/>
                  </w:tcMar>
                  <w:vAlign w:val="center"/>
                </w:tcPr>
                <w:p w14:paraId="3F0A4101">
                  <w:pPr>
                    <w:keepNext/>
                    <w:keepLines/>
                    <w:suppressLineNumbers w:val="0"/>
                    <w:spacing w:before="0" w:beforeAutospacing="0" w:after="0" w:afterAutospacing="0"/>
                    <w:ind w:left="0" w:right="0"/>
                    <w:jc w:val="center"/>
                    <w:rPr>
                      <w:rFonts w:hint="default"/>
                      <w:bCs/>
                      <w:color w:val="auto"/>
                    </w:rPr>
                  </w:pPr>
                  <w:r>
                    <w:rPr>
                      <w:rFonts w:hint="default"/>
                      <w:bCs/>
                      <w:color w:val="auto"/>
                    </w:rPr>
                    <w:t>燃烧性：易燃</w:t>
                  </w:r>
                </w:p>
              </w:tc>
              <w:tc>
                <w:tcPr>
                  <w:tcW w:w="2154" w:type="pct"/>
                  <w:gridSpan w:val="3"/>
                  <w:noWrap w:val="0"/>
                  <w:tcMar>
                    <w:top w:w="0" w:type="dxa"/>
                    <w:left w:w="0" w:type="dxa"/>
                    <w:bottom w:w="0" w:type="dxa"/>
                    <w:right w:w="0" w:type="dxa"/>
                  </w:tcMar>
                  <w:vAlign w:val="center"/>
                </w:tcPr>
                <w:p w14:paraId="658A475C">
                  <w:pPr>
                    <w:keepNext/>
                    <w:keepLines/>
                    <w:suppressLineNumbers w:val="0"/>
                    <w:adjustRightInd w:val="0"/>
                    <w:spacing w:before="0" w:beforeAutospacing="0" w:after="0" w:afterAutospacing="0"/>
                    <w:ind w:left="0" w:right="0"/>
                    <w:jc w:val="center"/>
                    <w:rPr>
                      <w:rFonts w:hint="default"/>
                      <w:bCs/>
                      <w:color w:val="auto"/>
                    </w:rPr>
                  </w:pPr>
                  <w:r>
                    <w:rPr>
                      <w:rFonts w:hint="default"/>
                      <w:bCs/>
                      <w:color w:val="auto"/>
                    </w:rPr>
                    <w:t>燃烧分解产物：一氧化碳、二氧化碳。</w:t>
                  </w:r>
                </w:p>
              </w:tc>
              <w:tc>
                <w:tcPr>
                  <w:tcW w:w="1208" w:type="pct"/>
                  <w:gridSpan w:val="2"/>
                  <w:noWrap w:val="0"/>
                  <w:tcMar>
                    <w:top w:w="0" w:type="dxa"/>
                    <w:left w:w="0" w:type="dxa"/>
                    <w:bottom w:w="0" w:type="dxa"/>
                    <w:right w:w="0" w:type="dxa"/>
                  </w:tcMar>
                  <w:vAlign w:val="center"/>
                </w:tcPr>
                <w:p w14:paraId="27F14475">
                  <w:pPr>
                    <w:keepNext/>
                    <w:keepLines/>
                    <w:suppressLineNumbers w:val="0"/>
                    <w:adjustRightInd w:val="0"/>
                    <w:spacing w:before="0" w:beforeAutospacing="0" w:after="0" w:afterAutospacing="0"/>
                    <w:ind w:left="0" w:right="0"/>
                    <w:jc w:val="center"/>
                    <w:rPr>
                      <w:rFonts w:hint="default"/>
                      <w:bCs/>
                      <w:color w:val="auto"/>
                    </w:rPr>
                  </w:pPr>
                  <w:r>
                    <w:rPr>
                      <w:rFonts w:hint="default"/>
                      <w:bCs/>
                      <w:color w:val="auto"/>
                    </w:rPr>
                    <w:t>聚合危害不能出现</w:t>
                  </w:r>
                </w:p>
              </w:tc>
            </w:tr>
            <w:tr w14:paraId="36D167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385CA32A">
                  <w:pPr>
                    <w:keepNext w:val="0"/>
                    <w:keepLines w:val="0"/>
                    <w:widowControl/>
                    <w:suppressLineNumbers w:val="0"/>
                    <w:spacing w:before="0" w:beforeAutospacing="0" w:after="0" w:afterAutospacing="0"/>
                    <w:ind w:left="0" w:right="0"/>
                    <w:jc w:val="left"/>
                    <w:rPr>
                      <w:rFonts w:hint="default"/>
                      <w:bCs/>
                      <w:color w:val="auto"/>
                    </w:rPr>
                  </w:pPr>
                </w:p>
              </w:tc>
              <w:tc>
                <w:tcPr>
                  <w:tcW w:w="1332" w:type="pct"/>
                  <w:noWrap w:val="0"/>
                  <w:tcMar>
                    <w:top w:w="0" w:type="dxa"/>
                    <w:left w:w="0" w:type="dxa"/>
                    <w:bottom w:w="0" w:type="dxa"/>
                    <w:right w:w="0" w:type="dxa"/>
                  </w:tcMar>
                  <w:vAlign w:val="center"/>
                </w:tcPr>
                <w:p w14:paraId="4F468A8A">
                  <w:pPr>
                    <w:keepNext/>
                    <w:keepLines/>
                    <w:suppressLineNumbers w:val="0"/>
                    <w:spacing w:before="0" w:beforeAutospacing="0" w:after="0" w:afterAutospacing="0"/>
                    <w:ind w:left="0" w:right="0"/>
                    <w:jc w:val="center"/>
                    <w:rPr>
                      <w:rFonts w:hint="default"/>
                      <w:bCs/>
                      <w:color w:val="auto"/>
                    </w:rPr>
                  </w:pPr>
                  <w:r>
                    <w:rPr>
                      <w:rFonts w:hint="default"/>
                      <w:bCs/>
                      <w:color w:val="auto"/>
                    </w:rPr>
                    <w:t>闪点/℃： -188</w:t>
                  </w:r>
                </w:p>
              </w:tc>
              <w:tc>
                <w:tcPr>
                  <w:tcW w:w="2154" w:type="pct"/>
                  <w:gridSpan w:val="3"/>
                  <w:noWrap w:val="0"/>
                  <w:tcMar>
                    <w:top w:w="0" w:type="dxa"/>
                    <w:left w:w="0" w:type="dxa"/>
                    <w:bottom w:w="0" w:type="dxa"/>
                    <w:right w:w="0" w:type="dxa"/>
                  </w:tcMar>
                  <w:vAlign w:val="center"/>
                </w:tcPr>
                <w:p w14:paraId="6442C506">
                  <w:pPr>
                    <w:keepNext/>
                    <w:keepLines/>
                    <w:suppressLineNumbers w:val="0"/>
                    <w:adjustRightInd w:val="0"/>
                    <w:spacing w:before="0" w:beforeAutospacing="0" w:after="0" w:afterAutospacing="0"/>
                    <w:ind w:left="0" w:right="0"/>
                    <w:jc w:val="center"/>
                    <w:rPr>
                      <w:rFonts w:hint="default"/>
                      <w:bCs/>
                      <w:color w:val="auto"/>
                    </w:rPr>
                  </w:pPr>
                  <w:r>
                    <w:rPr>
                      <w:rFonts w:hint="default"/>
                      <w:bCs/>
                      <w:color w:val="auto"/>
                    </w:rPr>
                    <w:t>自燃温度（℃）：538</w:t>
                  </w:r>
                </w:p>
              </w:tc>
              <w:tc>
                <w:tcPr>
                  <w:tcW w:w="1208" w:type="pct"/>
                  <w:gridSpan w:val="2"/>
                  <w:noWrap w:val="0"/>
                  <w:tcMar>
                    <w:top w:w="0" w:type="dxa"/>
                    <w:left w:w="0" w:type="dxa"/>
                    <w:bottom w:w="0" w:type="dxa"/>
                    <w:right w:w="0" w:type="dxa"/>
                  </w:tcMar>
                  <w:vAlign w:val="center"/>
                </w:tcPr>
                <w:p w14:paraId="512F1A23">
                  <w:pPr>
                    <w:keepNext/>
                    <w:keepLines/>
                    <w:suppressLineNumbers w:val="0"/>
                    <w:adjustRightInd w:val="0"/>
                    <w:spacing w:before="0" w:beforeAutospacing="0" w:after="0" w:afterAutospacing="0"/>
                    <w:ind w:left="102" w:right="0"/>
                    <w:jc w:val="center"/>
                    <w:rPr>
                      <w:rFonts w:hint="default"/>
                      <w:bCs/>
                      <w:color w:val="auto"/>
                    </w:rPr>
                  </w:pPr>
                  <w:r>
                    <w:rPr>
                      <w:rFonts w:hint="default"/>
                      <w:bCs/>
                      <w:color w:val="auto"/>
                    </w:rPr>
                    <w:t>爆炸上限（V%）：15</w:t>
                  </w:r>
                </w:p>
              </w:tc>
            </w:tr>
            <w:tr w14:paraId="4D64FE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731CA125">
                  <w:pPr>
                    <w:keepNext w:val="0"/>
                    <w:keepLines w:val="0"/>
                    <w:widowControl/>
                    <w:suppressLineNumbers w:val="0"/>
                    <w:spacing w:before="0" w:beforeAutospacing="0" w:after="0" w:afterAutospacing="0"/>
                    <w:ind w:left="0" w:right="0"/>
                    <w:jc w:val="left"/>
                    <w:rPr>
                      <w:rFonts w:hint="default"/>
                      <w:bCs/>
                      <w:color w:val="auto"/>
                    </w:rPr>
                  </w:pPr>
                </w:p>
              </w:tc>
              <w:tc>
                <w:tcPr>
                  <w:tcW w:w="1332" w:type="pct"/>
                  <w:noWrap w:val="0"/>
                  <w:tcMar>
                    <w:top w:w="0" w:type="dxa"/>
                    <w:left w:w="0" w:type="dxa"/>
                    <w:bottom w:w="0" w:type="dxa"/>
                    <w:right w:w="0" w:type="dxa"/>
                  </w:tcMar>
                  <w:vAlign w:val="center"/>
                </w:tcPr>
                <w:p w14:paraId="025D68F6">
                  <w:pPr>
                    <w:keepNext/>
                    <w:keepLines/>
                    <w:suppressLineNumbers w:val="0"/>
                    <w:adjustRightInd w:val="0"/>
                    <w:spacing w:before="0" w:beforeAutospacing="0" w:after="0" w:afterAutospacing="0"/>
                    <w:ind w:left="0" w:right="0"/>
                    <w:jc w:val="center"/>
                    <w:rPr>
                      <w:rFonts w:hint="default"/>
                      <w:bCs/>
                      <w:color w:val="auto"/>
                    </w:rPr>
                  </w:pPr>
                  <w:r>
                    <w:rPr>
                      <w:rFonts w:hint="default"/>
                      <w:bCs/>
                      <w:color w:val="auto"/>
                    </w:rPr>
                    <w:t>稳定性：稳定</w:t>
                  </w:r>
                </w:p>
              </w:tc>
              <w:tc>
                <w:tcPr>
                  <w:tcW w:w="2154" w:type="pct"/>
                  <w:gridSpan w:val="3"/>
                  <w:noWrap w:val="0"/>
                  <w:tcMar>
                    <w:top w:w="0" w:type="dxa"/>
                    <w:left w:w="0" w:type="dxa"/>
                    <w:bottom w:w="0" w:type="dxa"/>
                    <w:right w:w="0" w:type="dxa"/>
                  </w:tcMar>
                  <w:vAlign w:val="center"/>
                </w:tcPr>
                <w:p w14:paraId="259F5D3E">
                  <w:pPr>
                    <w:keepNext/>
                    <w:keepLines/>
                    <w:suppressLineNumbers w:val="0"/>
                    <w:spacing w:before="0" w:beforeAutospacing="0" w:after="0" w:afterAutospacing="0"/>
                    <w:ind w:left="0" w:right="0"/>
                    <w:jc w:val="center"/>
                    <w:rPr>
                      <w:rFonts w:hint="default"/>
                      <w:bCs/>
                      <w:color w:val="auto"/>
                    </w:rPr>
                  </w:pPr>
                  <w:r>
                    <w:rPr>
                      <w:rFonts w:hint="default"/>
                      <w:bCs/>
                      <w:color w:val="auto"/>
                    </w:rPr>
                    <w:t>禁忌物：强氧化剂、氟、氯。</w:t>
                  </w:r>
                </w:p>
              </w:tc>
              <w:tc>
                <w:tcPr>
                  <w:tcW w:w="1208" w:type="pct"/>
                  <w:gridSpan w:val="2"/>
                  <w:noWrap w:val="0"/>
                  <w:tcMar>
                    <w:top w:w="0" w:type="dxa"/>
                    <w:left w:w="0" w:type="dxa"/>
                    <w:bottom w:w="0" w:type="dxa"/>
                    <w:right w:w="0" w:type="dxa"/>
                  </w:tcMar>
                  <w:vAlign w:val="center"/>
                </w:tcPr>
                <w:p w14:paraId="68559A4E">
                  <w:pPr>
                    <w:keepNext/>
                    <w:keepLines/>
                    <w:suppressLineNumbers w:val="0"/>
                    <w:spacing w:before="0" w:beforeAutospacing="0" w:after="0" w:afterAutospacing="0"/>
                    <w:ind w:left="0" w:right="0"/>
                    <w:jc w:val="center"/>
                    <w:rPr>
                      <w:rFonts w:hint="default"/>
                      <w:bCs/>
                      <w:color w:val="auto"/>
                    </w:rPr>
                  </w:pPr>
                  <w:r>
                    <w:rPr>
                      <w:rFonts w:hint="default"/>
                      <w:bCs/>
                      <w:color w:val="auto"/>
                    </w:rPr>
                    <w:t>爆炸下限（V%）</w:t>
                  </w:r>
                  <w:r>
                    <w:rPr>
                      <w:rFonts w:hint="eastAsia"/>
                      <w:bCs/>
                      <w:color w:val="auto"/>
                      <w:lang w:eastAsia="zh-CN"/>
                    </w:rPr>
                    <w:t>：</w:t>
                  </w:r>
                  <w:r>
                    <w:rPr>
                      <w:rFonts w:hint="default"/>
                      <w:bCs/>
                      <w:color w:val="auto"/>
                    </w:rPr>
                    <w:t>5.3</w:t>
                  </w:r>
                </w:p>
              </w:tc>
            </w:tr>
            <w:tr w14:paraId="29F5B2A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5F4CB47F">
                  <w:pPr>
                    <w:keepNext w:val="0"/>
                    <w:keepLines w:val="0"/>
                    <w:widowControl/>
                    <w:suppressLineNumbers w:val="0"/>
                    <w:spacing w:before="0" w:beforeAutospacing="0" w:after="0" w:afterAutospacing="0"/>
                    <w:ind w:left="0" w:right="0"/>
                    <w:jc w:val="left"/>
                    <w:rPr>
                      <w:rFonts w:hint="default"/>
                      <w:bCs/>
                      <w:color w:val="auto"/>
                    </w:rPr>
                  </w:pPr>
                </w:p>
              </w:tc>
              <w:tc>
                <w:tcPr>
                  <w:tcW w:w="1332" w:type="pct"/>
                  <w:noWrap w:val="0"/>
                  <w:tcMar>
                    <w:top w:w="0" w:type="dxa"/>
                    <w:left w:w="0" w:type="dxa"/>
                    <w:bottom w:w="0" w:type="dxa"/>
                    <w:right w:w="0" w:type="dxa"/>
                  </w:tcMar>
                  <w:vAlign w:val="center"/>
                </w:tcPr>
                <w:p w14:paraId="3AA8CC47">
                  <w:pPr>
                    <w:keepNext/>
                    <w:keepLines/>
                    <w:suppressLineNumbers w:val="0"/>
                    <w:adjustRightInd w:val="0"/>
                    <w:spacing w:before="0" w:beforeAutospacing="0" w:after="0" w:afterAutospacing="0"/>
                    <w:ind w:left="0" w:right="0"/>
                    <w:jc w:val="center"/>
                    <w:rPr>
                      <w:rFonts w:hint="default"/>
                      <w:bCs/>
                      <w:color w:val="auto"/>
                    </w:rPr>
                  </w:pPr>
                  <w:r>
                    <w:rPr>
                      <w:rFonts w:hint="default"/>
                      <w:bCs/>
                      <w:color w:val="auto"/>
                    </w:rPr>
                    <w:t>临界温度（℃）：-82.6</w:t>
                  </w:r>
                </w:p>
              </w:tc>
              <w:tc>
                <w:tcPr>
                  <w:tcW w:w="2154" w:type="pct"/>
                  <w:gridSpan w:val="3"/>
                  <w:noWrap w:val="0"/>
                  <w:tcMar>
                    <w:top w:w="0" w:type="dxa"/>
                    <w:left w:w="0" w:type="dxa"/>
                    <w:bottom w:w="0" w:type="dxa"/>
                    <w:right w:w="0" w:type="dxa"/>
                  </w:tcMar>
                  <w:vAlign w:val="center"/>
                </w:tcPr>
                <w:p w14:paraId="499F3C04">
                  <w:pPr>
                    <w:keepNext/>
                    <w:keepLines/>
                    <w:suppressLineNumbers w:val="0"/>
                    <w:adjustRightInd w:val="0"/>
                    <w:spacing w:before="0" w:beforeAutospacing="0" w:after="0" w:afterAutospacing="0"/>
                    <w:ind w:left="0" w:right="0"/>
                    <w:jc w:val="center"/>
                    <w:rPr>
                      <w:rFonts w:hint="default"/>
                      <w:bCs/>
                      <w:color w:val="auto"/>
                    </w:rPr>
                  </w:pPr>
                  <w:r>
                    <w:rPr>
                      <w:rFonts w:hint="default"/>
                      <w:bCs/>
                      <w:color w:val="auto"/>
                    </w:rPr>
                    <w:t>临界压力（MPa）：4.59</w:t>
                  </w:r>
                </w:p>
              </w:tc>
              <w:tc>
                <w:tcPr>
                  <w:tcW w:w="1208" w:type="pct"/>
                  <w:gridSpan w:val="2"/>
                  <w:noWrap w:val="0"/>
                  <w:tcMar>
                    <w:top w:w="0" w:type="dxa"/>
                    <w:left w:w="0" w:type="dxa"/>
                    <w:bottom w:w="0" w:type="dxa"/>
                    <w:right w:w="0" w:type="dxa"/>
                  </w:tcMar>
                  <w:vAlign w:val="center"/>
                </w:tcPr>
                <w:p w14:paraId="4110AF2A">
                  <w:pPr>
                    <w:keepNext/>
                    <w:keepLines/>
                    <w:suppressLineNumbers w:val="0"/>
                    <w:adjustRightInd w:val="0"/>
                    <w:spacing w:before="0" w:beforeAutospacing="0" w:after="0" w:afterAutospacing="0"/>
                    <w:ind w:left="0" w:right="0"/>
                    <w:jc w:val="center"/>
                    <w:rPr>
                      <w:rFonts w:hint="default"/>
                      <w:bCs/>
                      <w:color w:val="auto"/>
                    </w:rPr>
                  </w:pPr>
                  <w:r>
                    <w:rPr>
                      <w:rFonts w:hint="default"/>
                      <w:bCs/>
                      <w:color w:val="auto"/>
                    </w:rPr>
                    <w:t>燃烧热（kj/mol） ：889.5</w:t>
                  </w:r>
                </w:p>
              </w:tc>
            </w:tr>
            <w:tr w14:paraId="0613FC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05" w:hRule="atLeast"/>
              </w:trPr>
              <w:tc>
                <w:tcPr>
                  <w:tcW w:w="306" w:type="pct"/>
                  <w:vMerge w:val="continue"/>
                  <w:noWrap w:val="0"/>
                  <w:vAlign w:val="center"/>
                </w:tcPr>
                <w:p w14:paraId="706F87AE">
                  <w:pPr>
                    <w:keepNext w:val="0"/>
                    <w:keepLines w:val="0"/>
                    <w:widowControl/>
                    <w:suppressLineNumbers w:val="0"/>
                    <w:spacing w:before="0" w:beforeAutospacing="0" w:after="0" w:afterAutospacing="0"/>
                    <w:ind w:left="0" w:right="0"/>
                    <w:jc w:val="left"/>
                    <w:rPr>
                      <w:rFonts w:hint="default"/>
                      <w:bCs/>
                      <w:color w:val="auto"/>
                    </w:rPr>
                  </w:pPr>
                </w:p>
              </w:tc>
              <w:tc>
                <w:tcPr>
                  <w:tcW w:w="4694" w:type="pct"/>
                  <w:gridSpan w:val="6"/>
                  <w:noWrap w:val="0"/>
                  <w:tcMar>
                    <w:top w:w="0" w:type="dxa"/>
                    <w:left w:w="0" w:type="dxa"/>
                    <w:bottom w:w="0" w:type="dxa"/>
                    <w:right w:w="0" w:type="dxa"/>
                  </w:tcMar>
                  <w:vAlign w:val="center"/>
                </w:tcPr>
                <w:p w14:paraId="300E696E">
                  <w:pPr>
                    <w:keepNext/>
                    <w:keepLines/>
                    <w:suppressLineNumbers w:val="0"/>
                    <w:spacing w:before="0" w:beforeAutospacing="0" w:after="0" w:afterAutospacing="0"/>
                    <w:ind w:left="0" w:right="0"/>
                    <w:rPr>
                      <w:rFonts w:hint="default"/>
                      <w:bCs/>
                      <w:color w:val="auto"/>
                    </w:rPr>
                  </w:pPr>
                  <w:r>
                    <w:rPr>
                      <w:rFonts w:hint="default"/>
                      <w:bCs/>
                      <w:color w:val="auto"/>
                    </w:rPr>
                    <w:t>危险特性：与空气混合能形成爆炸性混合物，遇点火源、高热能引起燃烧爆炸。与氟、氯等能发生剧烈的化学反应。若遇高热，容器内压增大，有开裂和爆炸的危险。</w:t>
                  </w:r>
                </w:p>
              </w:tc>
            </w:tr>
            <w:tr w14:paraId="559FADA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23" w:hRule="atLeast"/>
              </w:trPr>
              <w:tc>
                <w:tcPr>
                  <w:tcW w:w="306" w:type="pct"/>
                  <w:vMerge w:val="continue"/>
                  <w:noWrap w:val="0"/>
                  <w:vAlign w:val="center"/>
                </w:tcPr>
                <w:p w14:paraId="4339036B">
                  <w:pPr>
                    <w:keepNext w:val="0"/>
                    <w:keepLines w:val="0"/>
                    <w:widowControl/>
                    <w:suppressLineNumbers w:val="0"/>
                    <w:spacing w:before="0" w:beforeAutospacing="0" w:after="0" w:afterAutospacing="0"/>
                    <w:ind w:left="0" w:right="0"/>
                    <w:jc w:val="left"/>
                    <w:rPr>
                      <w:rFonts w:hint="default"/>
                      <w:bCs/>
                      <w:color w:val="auto"/>
                    </w:rPr>
                  </w:pPr>
                </w:p>
              </w:tc>
              <w:tc>
                <w:tcPr>
                  <w:tcW w:w="4694" w:type="pct"/>
                  <w:gridSpan w:val="6"/>
                  <w:noWrap w:val="0"/>
                  <w:tcMar>
                    <w:top w:w="0" w:type="dxa"/>
                    <w:left w:w="0" w:type="dxa"/>
                    <w:bottom w:w="0" w:type="dxa"/>
                    <w:right w:w="0" w:type="dxa"/>
                  </w:tcMar>
                  <w:vAlign w:val="center"/>
                </w:tcPr>
                <w:p w14:paraId="5FE5FDF5">
                  <w:pPr>
                    <w:keepNext/>
                    <w:keepLines/>
                    <w:suppressLineNumbers w:val="0"/>
                    <w:spacing w:before="0" w:beforeAutospacing="0" w:after="0" w:afterAutospacing="0"/>
                    <w:ind w:left="0" w:right="0"/>
                    <w:jc w:val="center"/>
                    <w:rPr>
                      <w:rFonts w:hint="default"/>
                      <w:bCs/>
                      <w:color w:val="auto"/>
                    </w:rPr>
                  </w:pPr>
                  <w:r>
                    <w:rPr>
                      <w:rFonts w:hint="default"/>
                      <w:bCs/>
                      <w:color w:val="auto"/>
                    </w:rPr>
                    <w:t>灭火方法：切断气源。若不能立即切断气源，则不允许熄灭正在燃烧的气体。喷水冷却容器，可能的话将容器从火场移至空旷处。雾状水、泡沫、二氧化碳。</w:t>
                  </w:r>
                </w:p>
              </w:tc>
            </w:tr>
            <w:tr w14:paraId="623AFF9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830" w:hRule="atLeast"/>
              </w:trPr>
              <w:tc>
                <w:tcPr>
                  <w:tcW w:w="306" w:type="pct"/>
                  <w:noWrap w:val="0"/>
                  <w:tcMar>
                    <w:top w:w="0" w:type="dxa"/>
                    <w:left w:w="0" w:type="dxa"/>
                    <w:bottom w:w="0" w:type="dxa"/>
                    <w:right w:w="0" w:type="dxa"/>
                  </w:tcMar>
                  <w:vAlign w:val="center"/>
                </w:tcPr>
                <w:p w14:paraId="0635C9F4">
                  <w:pPr>
                    <w:keepNext/>
                    <w:keepLines/>
                    <w:suppressLineNumbers w:val="0"/>
                    <w:adjustRightInd w:val="0"/>
                    <w:spacing w:before="0" w:beforeAutospacing="0" w:after="0" w:afterAutospacing="0"/>
                    <w:ind w:left="0" w:right="0"/>
                    <w:jc w:val="center"/>
                    <w:rPr>
                      <w:rFonts w:hint="default"/>
                      <w:bCs/>
                      <w:color w:val="auto"/>
                    </w:rPr>
                  </w:pPr>
                  <w:r>
                    <w:rPr>
                      <w:rFonts w:hint="default"/>
                      <w:bCs/>
                      <w:color w:val="auto"/>
                    </w:rPr>
                    <w:t>健康危害</w:t>
                  </w:r>
                </w:p>
              </w:tc>
              <w:tc>
                <w:tcPr>
                  <w:tcW w:w="4694" w:type="pct"/>
                  <w:gridSpan w:val="6"/>
                  <w:noWrap w:val="0"/>
                  <w:tcMar>
                    <w:top w:w="0" w:type="dxa"/>
                    <w:left w:w="0" w:type="dxa"/>
                    <w:bottom w:w="0" w:type="dxa"/>
                    <w:right w:w="0" w:type="dxa"/>
                  </w:tcMar>
                  <w:vAlign w:val="center"/>
                </w:tcPr>
                <w:p w14:paraId="2C42C54E">
                  <w:pPr>
                    <w:keepNext/>
                    <w:keepLines/>
                    <w:suppressLineNumbers w:val="0"/>
                    <w:adjustRightInd w:val="0"/>
                    <w:spacing w:before="0" w:beforeAutospacing="0" w:after="0" w:afterAutospacing="0"/>
                    <w:ind w:left="0" w:right="0"/>
                    <w:rPr>
                      <w:rFonts w:hint="default"/>
                      <w:bCs/>
                      <w:color w:val="auto"/>
                    </w:rPr>
                  </w:pPr>
                  <w:r>
                    <w:rPr>
                      <w:rFonts w:hint="default"/>
                      <w:bCs/>
                      <w:color w:val="auto"/>
                    </w:rPr>
                    <w:t>空气中甲烷浓度过高，能使人窒息。当空气中甲烷达25</w:t>
                  </w:r>
                  <w:r>
                    <w:rPr>
                      <w:rFonts w:hint="default"/>
                      <w:bCs/>
                      <w:color w:val="auto"/>
                      <w:highlight w:val="none"/>
                    </w:rPr>
                    <w:t>～</w:t>
                  </w:r>
                  <w:r>
                    <w:rPr>
                      <w:rFonts w:hint="default"/>
                      <w:bCs/>
                      <w:color w:val="auto"/>
                    </w:rPr>
                    <w:t>30％时，可引起头痛、头晕、乏力、注意力不集中、呼吸和心跳加速、精细动作障碍等，甚至因缺氧而窒息、昏迷。</w:t>
                  </w:r>
                </w:p>
              </w:tc>
            </w:tr>
            <w:tr w14:paraId="6FFD89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81" w:hRule="atLeast"/>
              </w:trPr>
              <w:tc>
                <w:tcPr>
                  <w:tcW w:w="306" w:type="pct"/>
                  <w:noWrap w:val="0"/>
                  <w:tcMar>
                    <w:top w:w="0" w:type="dxa"/>
                    <w:left w:w="0" w:type="dxa"/>
                    <w:bottom w:w="0" w:type="dxa"/>
                    <w:right w:w="0" w:type="dxa"/>
                  </w:tcMar>
                  <w:vAlign w:val="center"/>
                </w:tcPr>
                <w:p w14:paraId="7EDAC4E3">
                  <w:pPr>
                    <w:keepNext/>
                    <w:keepLines/>
                    <w:suppressLineNumbers w:val="0"/>
                    <w:adjustRightInd w:val="0"/>
                    <w:spacing w:before="0" w:beforeAutospacing="0" w:after="0" w:afterAutospacing="0"/>
                    <w:ind w:left="0" w:right="0"/>
                    <w:jc w:val="center"/>
                    <w:rPr>
                      <w:rFonts w:hint="default"/>
                      <w:bCs/>
                      <w:color w:val="auto"/>
                    </w:rPr>
                  </w:pPr>
                  <w:r>
                    <w:rPr>
                      <w:rFonts w:hint="default"/>
                      <w:bCs/>
                      <w:color w:val="auto"/>
                    </w:rPr>
                    <w:t>急救</w:t>
                  </w:r>
                </w:p>
              </w:tc>
              <w:tc>
                <w:tcPr>
                  <w:tcW w:w="4694" w:type="pct"/>
                  <w:gridSpan w:val="6"/>
                  <w:noWrap w:val="0"/>
                  <w:tcMar>
                    <w:top w:w="0" w:type="dxa"/>
                    <w:left w:w="0" w:type="dxa"/>
                    <w:bottom w:w="0" w:type="dxa"/>
                    <w:right w:w="0" w:type="dxa"/>
                  </w:tcMar>
                  <w:vAlign w:val="center"/>
                </w:tcPr>
                <w:p w14:paraId="5121953D">
                  <w:pPr>
                    <w:keepNext/>
                    <w:keepLines/>
                    <w:suppressLineNumbers w:val="0"/>
                    <w:spacing w:before="0" w:beforeAutospacing="0" w:after="0" w:afterAutospacing="0"/>
                    <w:ind w:left="0" w:right="0"/>
                    <w:rPr>
                      <w:rFonts w:hint="default"/>
                      <w:bCs/>
                      <w:color w:val="auto"/>
                    </w:rPr>
                  </w:pPr>
                  <w:r>
                    <w:rPr>
                      <w:rFonts w:hint="default"/>
                      <w:bCs/>
                      <w:color w:val="auto"/>
                    </w:rPr>
                    <w:t>[吸入]：迅速脱离现场至空气新鲜处。注意保暖，呼吸困难时给输氧。呼吸及心跳停止者立即进行人工呼吸和心脏按压术。就医。</w:t>
                  </w:r>
                </w:p>
              </w:tc>
            </w:tr>
            <w:tr w14:paraId="2D4CCE2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52" w:hRule="atLeast"/>
              </w:trPr>
              <w:tc>
                <w:tcPr>
                  <w:tcW w:w="306" w:type="pct"/>
                  <w:noWrap w:val="0"/>
                  <w:tcMar>
                    <w:top w:w="0" w:type="dxa"/>
                    <w:left w:w="0" w:type="dxa"/>
                    <w:bottom w:w="0" w:type="dxa"/>
                    <w:right w:w="0" w:type="dxa"/>
                  </w:tcMar>
                  <w:vAlign w:val="center"/>
                </w:tcPr>
                <w:p w14:paraId="0D660B02">
                  <w:pPr>
                    <w:keepNext/>
                    <w:keepLines/>
                    <w:suppressLineNumbers w:val="0"/>
                    <w:adjustRightInd w:val="0"/>
                    <w:spacing w:before="0" w:beforeAutospacing="0" w:after="0" w:afterAutospacing="0"/>
                    <w:ind w:left="0" w:right="0"/>
                    <w:jc w:val="center"/>
                    <w:rPr>
                      <w:rFonts w:hint="default"/>
                      <w:bCs/>
                      <w:color w:val="auto"/>
                    </w:rPr>
                  </w:pPr>
                  <w:r>
                    <w:rPr>
                      <w:rFonts w:hint="default"/>
                      <w:bCs/>
                      <w:color w:val="auto"/>
                    </w:rPr>
                    <w:t>防护</w:t>
                  </w:r>
                </w:p>
              </w:tc>
              <w:tc>
                <w:tcPr>
                  <w:tcW w:w="4694" w:type="pct"/>
                  <w:gridSpan w:val="6"/>
                  <w:noWrap w:val="0"/>
                  <w:tcMar>
                    <w:top w:w="0" w:type="dxa"/>
                    <w:left w:w="0" w:type="dxa"/>
                    <w:bottom w:w="0" w:type="dxa"/>
                    <w:right w:w="0" w:type="dxa"/>
                  </w:tcMar>
                  <w:vAlign w:val="center"/>
                </w:tcPr>
                <w:p w14:paraId="684F2718">
                  <w:pPr>
                    <w:keepNext/>
                    <w:keepLines/>
                    <w:suppressLineNumbers w:val="0"/>
                    <w:spacing w:before="0" w:beforeAutospacing="0" w:after="0" w:afterAutospacing="0"/>
                    <w:ind w:left="0" w:right="0"/>
                    <w:rPr>
                      <w:rFonts w:hint="default"/>
                      <w:bCs/>
                      <w:color w:val="auto"/>
                    </w:rPr>
                  </w:pPr>
                  <w:r>
                    <w:rPr>
                      <w:rFonts w:hint="default"/>
                      <w:bCs/>
                      <w:color w:val="auto"/>
                    </w:rPr>
                    <w:t>[工程控制]：生产过程密闭，全面通风。</w:t>
                  </w:r>
                </w:p>
                <w:p w14:paraId="12DC42FD">
                  <w:pPr>
                    <w:keepNext/>
                    <w:keepLines/>
                    <w:suppressLineNumbers w:val="0"/>
                    <w:spacing w:before="0" w:beforeAutospacing="0" w:after="0" w:afterAutospacing="0"/>
                    <w:ind w:left="0" w:right="0"/>
                    <w:rPr>
                      <w:rFonts w:hint="default"/>
                      <w:bCs/>
                      <w:color w:val="auto"/>
                    </w:rPr>
                  </w:pPr>
                  <w:r>
                    <w:rPr>
                      <w:rFonts w:hint="default"/>
                      <w:bCs/>
                      <w:color w:val="auto"/>
                    </w:rPr>
                    <w:t>[呼吸系统防护]：高浓度环境中，</w:t>
                  </w:r>
                  <w:r>
                    <w:rPr>
                      <w:rFonts w:hint="eastAsia"/>
                      <w:bCs/>
                      <w:color w:val="auto"/>
                      <w:lang w:eastAsia="zh-CN"/>
                    </w:rPr>
                    <w:t>佩戴</w:t>
                  </w:r>
                  <w:r>
                    <w:rPr>
                      <w:rFonts w:hint="default"/>
                      <w:bCs/>
                      <w:color w:val="auto"/>
                    </w:rPr>
                    <w:t>供气式呼吸器。</w:t>
                  </w:r>
                </w:p>
                <w:p w14:paraId="347854D2">
                  <w:pPr>
                    <w:keepNext/>
                    <w:keepLines/>
                    <w:suppressLineNumbers w:val="0"/>
                    <w:spacing w:before="0" w:beforeAutospacing="0" w:after="0" w:afterAutospacing="0"/>
                    <w:ind w:left="0" w:right="0"/>
                    <w:rPr>
                      <w:rFonts w:hint="default"/>
                      <w:bCs/>
                      <w:color w:val="auto"/>
                    </w:rPr>
                  </w:pPr>
                  <w:r>
                    <w:rPr>
                      <w:rFonts w:hint="default"/>
                      <w:bCs/>
                      <w:color w:val="auto"/>
                    </w:rPr>
                    <w:t>[眼睛防护]：一般不需特殊防护，高浓度接触时可戴安全防护眼镜。</w:t>
                  </w:r>
                </w:p>
                <w:p w14:paraId="6F1A2337">
                  <w:pPr>
                    <w:keepNext/>
                    <w:keepLines/>
                    <w:suppressLineNumbers w:val="0"/>
                    <w:spacing w:before="0" w:beforeAutospacing="0" w:after="0" w:afterAutospacing="0"/>
                    <w:ind w:left="0" w:right="0"/>
                    <w:rPr>
                      <w:rFonts w:hint="default"/>
                      <w:bCs/>
                      <w:color w:val="auto"/>
                    </w:rPr>
                  </w:pPr>
                  <w:r>
                    <w:rPr>
                      <w:rFonts w:hint="default"/>
                      <w:bCs/>
                      <w:color w:val="auto"/>
                    </w:rPr>
                    <w:t>[防护服]：穿工作服。</w:t>
                  </w:r>
                </w:p>
                <w:p w14:paraId="65AE1B2F">
                  <w:pPr>
                    <w:keepNext/>
                    <w:keepLines/>
                    <w:suppressLineNumbers w:val="0"/>
                    <w:spacing w:before="0" w:beforeAutospacing="0" w:after="0" w:afterAutospacing="0"/>
                    <w:ind w:left="0" w:right="0"/>
                    <w:rPr>
                      <w:rFonts w:hint="default"/>
                      <w:bCs/>
                      <w:color w:val="auto"/>
                    </w:rPr>
                  </w:pPr>
                  <w:r>
                    <w:rPr>
                      <w:rFonts w:hint="default"/>
                      <w:bCs/>
                      <w:color w:val="auto"/>
                    </w:rPr>
                    <w:t>[手防护]：一般不需特殊防护，高浓度接触时可戴防护手套。</w:t>
                  </w:r>
                </w:p>
                <w:p w14:paraId="1504A3FA">
                  <w:pPr>
                    <w:keepNext/>
                    <w:keepLines/>
                    <w:suppressLineNumbers w:val="0"/>
                    <w:adjustRightInd w:val="0"/>
                    <w:spacing w:before="0" w:beforeAutospacing="0" w:after="0" w:afterAutospacing="0"/>
                    <w:ind w:left="0" w:right="0"/>
                    <w:rPr>
                      <w:rFonts w:hint="default"/>
                      <w:bCs/>
                      <w:color w:val="auto"/>
                    </w:rPr>
                  </w:pPr>
                  <w:r>
                    <w:rPr>
                      <w:rFonts w:hint="default"/>
                      <w:bCs/>
                      <w:color w:val="auto"/>
                    </w:rPr>
                    <w:t>[皮肤接触] ：若有冻伤，就医治疗。</w:t>
                  </w:r>
                </w:p>
              </w:tc>
            </w:tr>
            <w:tr w14:paraId="5A2E39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482" w:hRule="atLeast"/>
              </w:trPr>
              <w:tc>
                <w:tcPr>
                  <w:tcW w:w="306" w:type="pct"/>
                  <w:noWrap w:val="0"/>
                  <w:tcMar>
                    <w:top w:w="0" w:type="dxa"/>
                    <w:left w:w="0" w:type="dxa"/>
                    <w:bottom w:w="0" w:type="dxa"/>
                    <w:right w:w="0" w:type="dxa"/>
                  </w:tcMar>
                  <w:vAlign w:val="center"/>
                </w:tcPr>
                <w:p w14:paraId="691F292E">
                  <w:pPr>
                    <w:keepNext/>
                    <w:keepLines/>
                    <w:suppressLineNumbers w:val="0"/>
                    <w:adjustRightInd w:val="0"/>
                    <w:spacing w:before="0" w:beforeAutospacing="0" w:after="0" w:afterAutospacing="0"/>
                    <w:ind w:left="0" w:right="0"/>
                    <w:jc w:val="center"/>
                    <w:rPr>
                      <w:rFonts w:hint="default"/>
                      <w:bCs/>
                      <w:color w:val="auto"/>
                    </w:rPr>
                  </w:pPr>
                  <w:r>
                    <w:rPr>
                      <w:rFonts w:hint="default"/>
                      <w:bCs/>
                      <w:color w:val="auto"/>
                    </w:rPr>
                    <w:t>泄漏处理</w:t>
                  </w:r>
                </w:p>
              </w:tc>
              <w:tc>
                <w:tcPr>
                  <w:tcW w:w="4694" w:type="pct"/>
                  <w:gridSpan w:val="6"/>
                  <w:noWrap w:val="0"/>
                  <w:tcMar>
                    <w:top w:w="0" w:type="dxa"/>
                    <w:left w:w="0" w:type="dxa"/>
                    <w:bottom w:w="0" w:type="dxa"/>
                    <w:right w:w="0" w:type="dxa"/>
                  </w:tcMar>
                  <w:vAlign w:val="center"/>
                </w:tcPr>
                <w:p w14:paraId="7CB1B5D8">
                  <w:pPr>
                    <w:keepNext/>
                    <w:keepLines/>
                    <w:suppressLineNumbers w:val="0"/>
                    <w:adjustRightInd w:val="0"/>
                    <w:spacing w:before="0" w:beforeAutospacing="0" w:after="0" w:afterAutospacing="0"/>
                    <w:ind w:left="0" w:right="0"/>
                    <w:rPr>
                      <w:rFonts w:hint="default"/>
                      <w:bCs/>
                      <w:color w:val="auto"/>
                    </w:rPr>
                  </w:pPr>
                  <w:r>
                    <w:rPr>
                      <w:rFonts w:hint="default"/>
                      <w:bCs/>
                      <w:color w:val="auto"/>
                    </w:rPr>
                    <w:t>迅速撤离泄漏污染区人员至上风处，并隔离直至气体散尽，切断火源。建议应急处理人员戴自给式呼吸器，穿一般消防防护服。切断气源，喷雾状水稀释、溶解，抽排（室内）或强力通风（室外）。如有可能，将漏出气用排风机送至空旷地方或装设适当喷头烧掉。也可以将漏气的容器移至空旷处，注意通风。漏气容器不能再用，且要经过技术处理以清除可能剩下的气体。</w:t>
                  </w:r>
                </w:p>
              </w:tc>
            </w:tr>
            <w:tr w14:paraId="1226677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948" w:hRule="atLeast"/>
              </w:trPr>
              <w:tc>
                <w:tcPr>
                  <w:tcW w:w="306" w:type="pct"/>
                  <w:noWrap w:val="0"/>
                  <w:tcMar>
                    <w:top w:w="0" w:type="dxa"/>
                    <w:left w:w="0" w:type="dxa"/>
                    <w:bottom w:w="0" w:type="dxa"/>
                    <w:right w:w="0" w:type="dxa"/>
                  </w:tcMar>
                  <w:vAlign w:val="center"/>
                </w:tcPr>
                <w:p w14:paraId="403418EF">
                  <w:pPr>
                    <w:keepNext/>
                    <w:keepLines/>
                    <w:suppressLineNumbers w:val="0"/>
                    <w:adjustRightInd w:val="0"/>
                    <w:spacing w:before="0" w:beforeAutospacing="0" w:after="0" w:afterAutospacing="0"/>
                    <w:ind w:left="0" w:right="0"/>
                    <w:jc w:val="center"/>
                    <w:rPr>
                      <w:rFonts w:hint="default"/>
                      <w:bCs/>
                      <w:color w:val="auto"/>
                    </w:rPr>
                  </w:pPr>
                  <w:r>
                    <w:rPr>
                      <w:rFonts w:hint="default"/>
                      <w:bCs/>
                      <w:color w:val="auto"/>
                    </w:rPr>
                    <w:t>储运</w:t>
                  </w:r>
                </w:p>
              </w:tc>
              <w:tc>
                <w:tcPr>
                  <w:tcW w:w="4694" w:type="pct"/>
                  <w:gridSpan w:val="6"/>
                  <w:noWrap w:val="0"/>
                  <w:tcMar>
                    <w:top w:w="0" w:type="dxa"/>
                    <w:left w:w="0" w:type="dxa"/>
                    <w:bottom w:w="0" w:type="dxa"/>
                    <w:right w:w="0" w:type="dxa"/>
                  </w:tcMar>
                  <w:vAlign w:val="center"/>
                </w:tcPr>
                <w:p w14:paraId="203E798F">
                  <w:pPr>
                    <w:keepNext/>
                    <w:keepLines/>
                    <w:suppressLineNumbers w:val="0"/>
                    <w:adjustRightInd w:val="0"/>
                    <w:spacing w:before="0" w:beforeAutospacing="0" w:after="0" w:afterAutospacing="0"/>
                    <w:ind w:left="0" w:right="0"/>
                    <w:rPr>
                      <w:rFonts w:hint="default"/>
                      <w:bCs/>
                      <w:color w:val="auto"/>
                    </w:rPr>
                  </w:pPr>
                  <w:r>
                    <w:rPr>
                      <w:rFonts w:hint="default"/>
                      <w:bCs/>
                      <w:color w:val="auto"/>
                    </w:rPr>
                    <w:t>易燃压缩气体。储存于阴凉、通风</w:t>
                  </w:r>
                  <w:r>
                    <w:rPr>
                      <w:rFonts w:hint="eastAsia"/>
                      <w:bCs/>
                      <w:color w:val="auto"/>
                      <w:lang w:eastAsia="zh-CN"/>
                    </w:rPr>
                    <w:t>房间内</w:t>
                  </w:r>
                  <w:r>
                    <w:rPr>
                      <w:rFonts w:hint="default"/>
                      <w:bCs/>
                      <w:color w:val="auto"/>
                    </w:rPr>
                    <w:t>。仓温不宜超过30℃。远离火种、热源。防止阳光直射。应与氧气、压缩空气、卤素（氟、氯、溴）等分开存放。切忌混储混运。储存间内的照明、通风等设施应采用防爆型，开关设在仓外。配备相应品种和数量的消防器材。罐储时要有防火防爆技术措施。露天贮罐夏季要有降温措施。禁止使用易产生火花的机械设备和工具。验收时要注意品名，注意验瓶日期，先进仓的先发用。搬运时轻装轻卸，防止钢瓶及附件破损。</w:t>
                  </w:r>
                </w:p>
              </w:tc>
            </w:tr>
            <w:tr w14:paraId="7A02F1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43" w:hRule="atLeast"/>
              </w:trPr>
              <w:tc>
                <w:tcPr>
                  <w:tcW w:w="306" w:type="pct"/>
                  <w:noWrap w:val="0"/>
                  <w:tcMar>
                    <w:top w:w="0" w:type="dxa"/>
                    <w:left w:w="0" w:type="dxa"/>
                    <w:bottom w:w="0" w:type="dxa"/>
                    <w:right w:w="0" w:type="dxa"/>
                  </w:tcMar>
                  <w:vAlign w:val="center"/>
                </w:tcPr>
                <w:p w14:paraId="158A7FC6">
                  <w:pPr>
                    <w:keepNext/>
                    <w:keepLines/>
                    <w:suppressLineNumbers w:val="0"/>
                    <w:adjustRightInd w:val="0"/>
                    <w:spacing w:before="0" w:beforeAutospacing="0" w:after="0" w:afterAutospacing="0"/>
                    <w:ind w:left="0" w:right="0"/>
                    <w:rPr>
                      <w:rFonts w:hint="default"/>
                      <w:bCs/>
                      <w:color w:val="auto"/>
                    </w:rPr>
                  </w:pPr>
                  <w:r>
                    <w:rPr>
                      <w:rFonts w:hint="default"/>
                      <w:bCs/>
                      <w:color w:val="auto"/>
                    </w:rPr>
                    <w:t>其他</w:t>
                  </w:r>
                </w:p>
              </w:tc>
              <w:tc>
                <w:tcPr>
                  <w:tcW w:w="4694" w:type="pct"/>
                  <w:gridSpan w:val="6"/>
                  <w:noWrap w:val="0"/>
                  <w:tcMar>
                    <w:top w:w="0" w:type="dxa"/>
                    <w:left w:w="0" w:type="dxa"/>
                    <w:bottom w:w="0" w:type="dxa"/>
                    <w:right w:w="0" w:type="dxa"/>
                  </w:tcMar>
                  <w:vAlign w:val="center"/>
                </w:tcPr>
                <w:p w14:paraId="1FF6EC9E">
                  <w:pPr>
                    <w:keepNext/>
                    <w:keepLines/>
                    <w:suppressLineNumbers w:val="0"/>
                    <w:adjustRightInd w:val="0"/>
                    <w:spacing w:before="0" w:beforeAutospacing="0" w:after="0" w:afterAutospacing="0"/>
                    <w:ind w:left="0" w:right="0"/>
                    <w:jc w:val="left"/>
                    <w:rPr>
                      <w:rFonts w:hint="default"/>
                      <w:bCs/>
                      <w:color w:val="auto"/>
                    </w:rPr>
                  </w:pPr>
                  <w:r>
                    <w:rPr>
                      <w:rFonts w:hint="default"/>
                      <w:bCs/>
                      <w:color w:val="auto"/>
                    </w:rPr>
                    <w:t>工作现场严禁吸烟。避免长期反复接触。进入罐</w:t>
                  </w:r>
                  <w:r>
                    <w:rPr>
                      <w:rFonts w:hint="eastAsia"/>
                      <w:bCs/>
                      <w:color w:val="auto"/>
                      <w:lang w:eastAsia="zh-CN"/>
                    </w:rPr>
                    <w:t>或其他</w:t>
                  </w:r>
                  <w:r>
                    <w:rPr>
                      <w:rFonts w:hint="default"/>
                      <w:bCs/>
                      <w:color w:val="auto"/>
                    </w:rPr>
                    <w:t>高浓度区作业，须有人监护。</w:t>
                  </w:r>
                </w:p>
              </w:tc>
            </w:tr>
          </w:tbl>
          <w:p w14:paraId="5F08E44B">
            <w:pPr>
              <w:keepNext w:val="0"/>
              <w:keepLines w:val="0"/>
              <w:suppressLineNumbers w:val="0"/>
              <w:spacing w:before="0" w:beforeAutospacing="0" w:after="0" w:afterAutospacing="0"/>
              <w:ind w:left="0" w:right="0"/>
              <w:jc w:val="center"/>
              <w:rPr>
                <w:rFonts w:hint="default"/>
                <w:b/>
                <w:bCs/>
                <w:color w:val="auto"/>
                <w:sz w:val="24"/>
              </w:rPr>
            </w:pPr>
            <w:r>
              <w:rPr>
                <w:rFonts w:hint="default"/>
                <w:b/>
                <w:color w:val="auto"/>
                <w:kern w:val="0"/>
                <w:sz w:val="24"/>
              </w:rPr>
              <w:t>表</w:t>
            </w:r>
            <w:r>
              <w:rPr>
                <w:rFonts w:hint="eastAsia"/>
                <w:b/>
                <w:color w:val="auto"/>
                <w:kern w:val="0"/>
                <w:sz w:val="24"/>
              </w:rPr>
              <w:t>4</w:t>
            </w:r>
            <w:r>
              <w:rPr>
                <w:rFonts w:hint="default"/>
                <w:b/>
                <w:color w:val="auto"/>
                <w:kern w:val="0"/>
                <w:sz w:val="24"/>
              </w:rPr>
              <w:t>-</w:t>
            </w:r>
            <w:r>
              <w:rPr>
                <w:rFonts w:hint="eastAsia"/>
                <w:b/>
                <w:color w:val="auto"/>
                <w:kern w:val="0"/>
                <w:sz w:val="24"/>
              </w:rPr>
              <w:t>11</w:t>
            </w:r>
            <w:r>
              <w:rPr>
                <w:rFonts w:hint="default"/>
                <w:b/>
                <w:color w:val="auto"/>
                <w:kern w:val="0"/>
                <w:sz w:val="24"/>
              </w:rPr>
              <w:t xml:space="preserve"> </w:t>
            </w:r>
            <w:r>
              <w:rPr>
                <w:rFonts w:hint="eastAsia"/>
                <w:b/>
                <w:color w:val="auto"/>
                <w:kern w:val="0"/>
                <w:sz w:val="24"/>
              </w:rPr>
              <w:t>氢氧化钠</w:t>
            </w:r>
            <w:r>
              <w:rPr>
                <w:rFonts w:hint="default"/>
                <w:b/>
                <w:color w:val="auto"/>
                <w:kern w:val="0"/>
                <w:sz w:val="24"/>
              </w:rPr>
              <w:t>特性表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06"/>
              <w:gridCol w:w="3711"/>
              <w:gridCol w:w="1518"/>
              <w:gridCol w:w="2360"/>
            </w:tblGrid>
            <w:tr w14:paraId="29A031C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70" w:type="pct"/>
                  <w:vMerge w:val="restart"/>
                  <w:noWrap w:val="0"/>
                  <w:vAlign w:val="center"/>
                </w:tcPr>
                <w:p w14:paraId="3D12D045">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标</w:t>
                  </w:r>
                </w:p>
                <w:p w14:paraId="70017F17">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识</w:t>
                  </w:r>
                </w:p>
              </w:tc>
              <w:tc>
                <w:tcPr>
                  <w:tcW w:w="2264" w:type="pct"/>
                  <w:noWrap w:val="0"/>
                  <w:vAlign w:val="top"/>
                </w:tcPr>
                <w:p w14:paraId="1954CA60">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中文名：氢氧化钠</w:t>
                  </w:r>
                </w:p>
                <w:p w14:paraId="48982453">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别名： 烧碱</w:t>
                  </w:r>
                </w:p>
              </w:tc>
              <w:tc>
                <w:tcPr>
                  <w:tcW w:w="2366" w:type="pct"/>
                  <w:gridSpan w:val="2"/>
                  <w:noWrap w:val="0"/>
                  <w:vAlign w:val="top"/>
                </w:tcPr>
                <w:p w14:paraId="4DD2D15B">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英文名：sodiun hydroxide  </w:t>
                  </w:r>
                </w:p>
                <w:p w14:paraId="3FC0F2E7">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Caustic soda</w:t>
                  </w:r>
                </w:p>
              </w:tc>
            </w:tr>
            <w:tr w14:paraId="75A7DF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70" w:type="pct"/>
                  <w:vMerge w:val="continue"/>
                  <w:noWrap w:val="0"/>
                  <w:vAlign w:val="center"/>
                </w:tcPr>
                <w:p w14:paraId="1217CA4B">
                  <w:pPr>
                    <w:keepNext w:val="0"/>
                    <w:keepLines w:val="0"/>
                    <w:widowControl/>
                    <w:suppressLineNumbers w:val="0"/>
                    <w:spacing w:before="0" w:beforeAutospacing="0" w:after="0" w:afterAutospacing="0"/>
                    <w:ind w:left="0" w:right="0"/>
                    <w:jc w:val="left"/>
                    <w:rPr>
                      <w:rFonts w:hint="default"/>
                      <w:color w:val="auto"/>
                      <w:szCs w:val="21"/>
                    </w:rPr>
                  </w:pPr>
                </w:p>
              </w:tc>
              <w:tc>
                <w:tcPr>
                  <w:tcW w:w="2264" w:type="pct"/>
                  <w:noWrap w:val="0"/>
                  <w:vAlign w:val="top"/>
                </w:tcPr>
                <w:p w14:paraId="2A00F1C4">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分子式：NaOH</w:t>
                  </w:r>
                </w:p>
              </w:tc>
              <w:tc>
                <w:tcPr>
                  <w:tcW w:w="926" w:type="pct"/>
                  <w:noWrap w:val="0"/>
                  <w:vAlign w:val="top"/>
                </w:tcPr>
                <w:p w14:paraId="122FE047">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分子量：40.01</w:t>
                  </w:r>
                </w:p>
              </w:tc>
              <w:tc>
                <w:tcPr>
                  <w:tcW w:w="1440" w:type="pct"/>
                  <w:noWrap w:val="0"/>
                  <w:vAlign w:val="top"/>
                </w:tcPr>
                <w:p w14:paraId="75E3544E">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UN编号：1823</w:t>
                  </w:r>
                </w:p>
              </w:tc>
            </w:tr>
            <w:tr w14:paraId="7DABDA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70" w:type="pct"/>
                  <w:vMerge w:val="continue"/>
                  <w:noWrap w:val="0"/>
                  <w:vAlign w:val="center"/>
                </w:tcPr>
                <w:p w14:paraId="4643C3C4">
                  <w:pPr>
                    <w:keepNext w:val="0"/>
                    <w:keepLines w:val="0"/>
                    <w:widowControl/>
                    <w:suppressLineNumbers w:val="0"/>
                    <w:spacing w:before="0" w:beforeAutospacing="0" w:after="0" w:afterAutospacing="0"/>
                    <w:ind w:left="0" w:right="0"/>
                    <w:jc w:val="left"/>
                    <w:rPr>
                      <w:rFonts w:hint="default"/>
                      <w:color w:val="auto"/>
                      <w:szCs w:val="21"/>
                    </w:rPr>
                  </w:pPr>
                </w:p>
              </w:tc>
              <w:tc>
                <w:tcPr>
                  <w:tcW w:w="3190" w:type="pct"/>
                  <w:gridSpan w:val="2"/>
                  <w:noWrap w:val="0"/>
                  <w:vAlign w:val="top"/>
                </w:tcPr>
                <w:p w14:paraId="6E24851D">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危险类别：第8.2类碱性腐蚀品   82001</w:t>
                  </w:r>
                </w:p>
              </w:tc>
              <w:tc>
                <w:tcPr>
                  <w:tcW w:w="1440" w:type="pct"/>
                  <w:noWrap w:val="0"/>
                  <w:vAlign w:val="top"/>
                </w:tcPr>
                <w:p w14:paraId="61360222">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CAS号：1310-73-2</w:t>
                  </w:r>
                </w:p>
              </w:tc>
            </w:tr>
            <w:tr w14:paraId="59F846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70" w:type="pct"/>
                  <w:vMerge w:val="restart"/>
                  <w:noWrap w:val="0"/>
                  <w:vAlign w:val="center"/>
                </w:tcPr>
                <w:p w14:paraId="2C53A40C">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理化</w:t>
                  </w:r>
                </w:p>
                <w:p w14:paraId="07D03284">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特性</w:t>
                  </w:r>
                </w:p>
              </w:tc>
              <w:tc>
                <w:tcPr>
                  <w:tcW w:w="4630" w:type="pct"/>
                  <w:gridSpan w:val="3"/>
                  <w:noWrap w:val="0"/>
                  <w:vAlign w:val="top"/>
                </w:tcPr>
                <w:p w14:paraId="340378EB">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外观与性状：白色不透明固体，易潮解</w:t>
                  </w:r>
                </w:p>
              </w:tc>
            </w:tr>
            <w:tr w14:paraId="0762D8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70" w:type="pct"/>
                  <w:vMerge w:val="continue"/>
                  <w:noWrap w:val="0"/>
                  <w:vAlign w:val="center"/>
                </w:tcPr>
                <w:p w14:paraId="2AD6522E">
                  <w:pPr>
                    <w:keepNext w:val="0"/>
                    <w:keepLines w:val="0"/>
                    <w:widowControl/>
                    <w:suppressLineNumbers w:val="0"/>
                    <w:spacing w:before="0" w:beforeAutospacing="0" w:after="0" w:afterAutospacing="0"/>
                    <w:ind w:left="0" w:right="0"/>
                    <w:jc w:val="left"/>
                    <w:rPr>
                      <w:rFonts w:hint="default"/>
                      <w:color w:val="auto"/>
                      <w:szCs w:val="21"/>
                    </w:rPr>
                  </w:pPr>
                </w:p>
              </w:tc>
              <w:tc>
                <w:tcPr>
                  <w:tcW w:w="2264" w:type="pct"/>
                  <w:noWrap w:val="0"/>
                  <w:vAlign w:val="top"/>
                </w:tcPr>
                <w:p w14:paraId="12241D37">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熔点/℃：318.4</w:t>
                  </w:r>
                </w:p>
              </w:tc>
              <w:tc>
                <w:tcPr>
                  <w:tcW w:w="2366" w:type="pct"/>
                  <w:gridSpan w:val="2"/>
                  <w:noWrap w:val="0"/>
                  <w:vAlign w:val="top"/>
                </w:tcPr>
                <w:p w14:paraId="710F14BE">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沸点/℃：1390</w:t>
                  </w:r>
                </w:p>
              </w:tc>
            </w:tr>
            <w:tr w14:paraId="7AAD00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70" w:type="pct"/>
                  <w:vMerge w:val="continue"/>
                  <w:noWrap w:val="0"/>
                  <w:vAlign w:val="center"/>
                </w:tcPr>
                <w:p w14:paraId="791149EA">
                  <w:pPr>
                    <w:keepNext w:val="0"/>
                    <w:keepLines w:val="0"/>
                    <w:widowControl/>
                    <w:suppressLineNumbers w:val="0"/>
                    <w:spacing w:before="0" w:beforeAutospacing="0" w:after="0" w:afterAutospacing="0"/>
                    <w:ind w:left="0" w:right="0"/>
                    <w:jc w:val="left"/>
                    <w:rPr>
                      <w:rFonts w:hint="default"/>
                      <w:color w:val="auto"/>
                      <w:szCs w:val="21"/>
                    </w:rPr>
                  </w:pPr>
                </w:p>
              </w:tc>
              <w:tc>
                <w:tcPr>
                  <w:tcW w:w="2264" w:type="pct"/>
                  <w:noWrap w:val="0"/>
                  <w:vAlign w:val="top"/>
                </w:tcPr>
                <w:p w14:paraId="7C706A3C">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相对密度（水=1）：2.13</w:t>
                  </w:r>
                </w:p>
              </w:tc>
              <w:tc>
                <w:tcPr>
                  <w:tcW w:w="2366" w:type="pct"/>
                  <w:gridSpan w:val="2"/>
                  <w:noWrap w:val="0"/>
                  <w:vAlign w:val="top"/>
                </w:tcPr>
                <w:p w14:paraId="58B316CA">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相对蒸气密度（空气=1）：无资料</w:t>
                  </w:r>
                </w:p>
              </w:tc>
            </w:tr>
            <w:tr w14:paraId="07B398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70" w:type="pct"/>
                  <w:vMerge w:val="continue"/>
                  <w:noWrap w:val="0"/>
                  <w:vAlign w:val="center"/>
                </w:tcPr>
                <w:p w14:paraId="00DAE7C5">
                  <w:pPr>
                    <w:keepNext w:val="0"/>
                    <w:keepLines w:val="0"/>
                    <w:widowControl/>
                    <w:suppressLineNumbers w:val="0"/>
                    <w:spacing w:before="0" w:beforeAutospacing="0" w:after="0" w:afterAutospacing="0"/>
                    <w:ind w:left="0" w:right="0"/>
                    <w:jc w:val="left"/>
                    <w:rPr>
                      <w:rFonts w:hint="default"/>
                      <w:color w:val="auto"/>
                      <w:szCs w:val="21"/>
                    </w:rPr>
                  </w:pPr>
                </w:p>
              </w:tc>
              <w:tc>
                <w:tcPr>
                  <w:tcW w:w="2264" w:type="pct"/>
                  <w:noWrap w:val="0"/>
                  <w:vAlign w:val="top"/>
                </w:tcPr>
                <w:p w14:paraId="360F3E09">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饱和蒸汽压/kPa：0.13（739℃）</w:t>
                  </w:r>
                </w:p>
              </w:tc>
              <w:tc>
                <w:tcPr>
                  <w:tcW w:w="2366" w:type="pct"/>
                  <w:gridSpan w:val="2"/>
                  <w:noWrap w:val="0"/>
                  <w:vAlign w:val="top"/>
                </w:tcPr>
                <w:p w14:paraId="60803338">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临界压力/MPa：25</w:t>
                  </w:r>
                </w:p>
              </w:tc>
            </w:tr>
            <w:tr w14:paraId="19BA12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70" w:type="pct"/>
                  <w:vMerge w:val="continue"/>
                  <w:noWrap w:val="0"/>
                  <w:vAlign w:val="center"/>
                </w:tcPr>
                <w:p w14:paraId="544DABB4">
                  <w:pPr>
                    <w:keepNext w:val="0"/>
                    <w:keepLines w:val="0"/>
                    <w:widowControl/>
                    <w:suppressLineNumbers w:val="0"/>
                    <w:spacing w:before="0" w:beforeAutospacing="0" w:after="0" w:afterAutospacing="0"/>
                    <w:ind w:left="0" w:right="0"/>
                    <w:jc w:val="left"/>
                    <w:rPr>
                      <w:rFonts w:hint="default"/>
                      <w:color w:val="auto"/>
                      <w:szCs w:val="21"/>
                    </w:rPr>
                  </w:pPr>
                </w:p>
              </w:tc>
              <w:tc>
                <w:tcPr>
                  <w:tcW w:w="2264" w:type="pct"/>
                  <w:noWrap w:val="0"/>
                  <w:vAlign w:val="top"/>
                </w:tcPr>
                <w:p w14:paraId="3F8F5E63">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闪点（℃）：无意义</w:t>
                  </w:r>
                </w:p>
              </w:tc>
              <w:tc>
                <w:tcPr>
                  <w:tcW w:w="2366" w:type="pct"/>
                  <w:gridSpan w:val="2"/>
                  <w:noWrap w:val="0"/>
                  <w:vAlign w:val="top"/>
                </w:tcPr>
                <w:p w14:paraId="4F3F6D8D">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临界温度（℃）：</w:t>
                  </w:r>
                </w:p>
              </w:tc>
            </w:tr>
            <w:tr w14:paraId="537BF8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70" w:type="pct"/>
                  <w:vMerge w:val="continue"/>
                  <w:noWrap w:val="0"/>
                  <w:vAlign w:val="center"/>
                </w:tcPr>
                <w:p w14:paraId="5B359036">
                  <w:pPr>
                    <w:keepNext w:val="0"/>
                    <w:keepLines w:val="0"/>
                    <w:widowControl/>
                    <w:suppressLineNumbers w:val="0"/>
                    <w:spacing w:before="0" w:beforeAutospacing="0" w:after="0" w:afterAutospacing="0"/>
                    <w:ind w:left="0" w:right="0"/>
                    <w:jc w:val="left"/>
                    <w:rPr>
                      <w:rFonts w:hint="default"/>
                      <w:color w:val="auto"/>
                      <w:szCs w:val="21"/>
                    </w:rPr>
                  </w:pPr>
                </w:p>
              </w:tc>
              <w:tc>
                <w:tcPr>
                  <w:tcW w:w="2264" w:type="pct"/>
                  <w:noWrap w:val="0"/>
                  <w:vAlign w:val="top"/>
                </w:tcPr>
                <w:p w14:paraId="2E2EB930">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爆炸下限（%）：无意义</w:t>
                  </w:r>
                </w:p>
              </w:tc>
              <w:tc>
                <w:tcPr>
                  <w:tcW w:w="2366" w:type="pct"/>
                  <w:gridSpan w:val="2"/>
                  <w:noWrap w:val="0"/>
                  <w:vAlign w:val="top"/>
                </w:tcPr>
                <w:p w14:paraId="6206B58E">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爆炸上限（%）：无意义</w:t>
                  </w:r>
                </w:p>
              </w:tc>
            </w:tr>
            <w:tr w14:paraId="065196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70" w:type="pct"/>
                  <w:vMerge w:val="continue"/>
                  <w:noWrap w:val="0"/>
                  <w:vAlign w:val="center"/>
                </w:tcPr>
                <w:p w14:paraId="60BA6FEC">
                  <w:pPr>
                    <w:keepNext w:val="0"/>
                    <w:keepLines w:val="0"/>
                    <w:widowControl/>
                    <w:suppressLineNumbers w:val="0"/>
                    <w:spacing w:before="0" w:beforeAutospacing="0" w:after="0" w:afterAutospacing="0"/>
                    <w:ind w:left="0" w:right="0"/>
                    <w:jc w:val="left"/>
                    <w:rPr>
                      <w:rFonts w:hint="default"/>
                      <w:color w:val="auto"/>
                      <w:szCs w:val="21"/>
                    </w:rPr>
                  </w:pPr>
                </w:p>
              </w:tc>
              <w:tc>
                <w:tcPr>
                  <w:tcW w:w="2264" w:type="pct"/>
                  <w:noWrap w:val="0"/>
                  <w:vAlign w:val="top"/>
                </w:tcPr>
                <w:p w14:paraId="79004FDE">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辛醇/水分配系数：-3.88</w:t>
                  </w:r>
                </w:p>
              </w:tc>
              <w:tc>
                <w:tcPr>
                  <w:tcW w:w="2366" w:type="pct"/>
                  <w:gridSpan w:val="2"/>
                  <w:noWrap w:val="0"/>
                  <w:vAlign w:val="top"/>
                </w:tcPr>
                <w:p w14:paraId="7F674157">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燃烧热（kJ/mol）：</w:t>
                  </w:r>
                </w:p>
              </w:tc>
            </w:tr>
            <w:tr w14:paraId="43A38B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70" w:type="pct"/>
                  <w:vMerge w:val="continue"/>
                  <w:noWrap w:val="0"/>
                  <w:vAlign w:val="center"/>
                </w:tcPr>
                <w:p w14:paraId="506896B5">
                  <w:pPr>
                    <w:keepNext w:val="0"/>
                    <w:keepLines w:val="0"/>
                    <w:widowControl/>
                    <w:suppressLineNumbers w:val="0"/>
                    <w:spacing w:before="0" w:beforeAutospacing="0" w:after="0" w:afterAutospacing="0"/>
                    <w:ind w:left="0" w:right="0"/>
                    <w:jc w:val="left"/>
                    <w:rPr>
                      <w:rFonts w:hint="default"/>
                      <w:color w:val="auto"/>
                      <w:szCs w:val="21"/>
                    </w:rPr>
                  </w:pPr>
                </w:p>
              </w:tc>
              <w:tc>
                <w:tcPr>
                  <w:tcW w:w="2264" w:type="pct"/>
                  <w:noWrap w:val="0"/>
                  <w:vAlign w:val="top"/>
                </w:tcPr>
                <w:p w14:paraId="5F5A3B4D">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引燃温度（℃）：无意义</w:t>
                  </w:r>
                </w:p>
              </w:tc>
              <w:tc>
                <w:tcPr>
                  <w:tcW w:w="2366" w:type="pct"/>
                  <w:gridSpan w:val="2"/>
                  <w:noWrap w:val="0"/>
                  <w:vAlign w:val="top"/>
                </w:tcPr>
                <w:p w14:paraId="0A3F4BC1">
                  <w:pPr>
                    <w:keepNext w:val="0"/>
                    <w:keepLines w:val="0"/>
                    <w:suppressLineNumbers w:val="0"/>
                    <w:spacing w:before="0" w:beforeAutospacing="0" w:after="0" w:afterAutospacing="0"/>
                    <w:ind w:left="0" w:right="0"/>
                    <w:rPr>
                      <w:rFonts w:hint="default"/>
                      <w:color w:val="auto"/>
                      <w:szCs w:val="21"/>
                    </w:rPr>
                  </w:pPr>
                </w:p>
              </w:tc>
            </w:tr>
            <w:tr w14:paraId="44D86F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70" w:type="pct"/>
                  <w:vMerge w:val="continue"/>
                  <w:noWrap w:val="0"/>
                  <w:vAlign w:val="center"/>
                </w:tcPr>
                <w:p w14:paraId="0C0E6180">
                  <w:pPr>
                    <w:keepNext w:val="0"/>
                    <w:keepLines w:val="0"/>
                    <w:widowControl/>
                    <w:suppressLineNumbers w:val="0"/>
                    <w:spacing w:before="0" w:beforeAutospacing="0" w:after="0" w:afterAutospacing="0"/>
                    <w:ind w:left="0" w:right="0"/>
                    <w:jc w:val="left"/>
                    <w:rPr>
                      <w:rFonts w:hint="default"/>
                      <w:color w:val="auto"/>
                      <w:szCs w:val="21"/>
                    </w:rPr>
                  </w:pPr>
                </w:p>
              </w:tc>
              <w:tc>
                <w:tcPr>
                  <w:tcW w:w="4630" w:type="pct"/>
                  <w:gridSpan w:val="3"/>
                  <w:noWrap w:val="0"/>
                  <w:vAlign w:val="top"/>
                </w:tcPr>
                <w:p w14:paraId="4A4248F3">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溶解性：易溶于水、乙醇、甘油，不溶于丙酮、乙醚。</w:t>
                  </w:r>
                </w:p>
              </w:tc>
            </w:tr>
            <w:tr w14:paraId="23994C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8" w:hRule="atLeast"/>
              </w:trPr>
              <w:tc>
                <w:tcPr>
                  <w:tcW w:w="370" w:type="pct"/>
                  <w:vMerge w:val="continue"/>
                  <w:noWrap w:val="0"/>
                  <w:vAlign w:val="center"/>
                </w:tcPr>
                <w:p w14:paraId="1C895AA2">
                  <w:pPr>
                    <w:keepNext w:val="0"/>
                    <w:keepLines w:val="0"/>
                    <w:widowControl/>
                    <w:suppressLineNumbers w:val="0"/>
                    <w:spacing w:before="0" w:beforeAutospacing="0" w:after="0" w:afterAutospacing="0"/>
                    <w:ind w:left="0" w:right="0"/>
                    <w:jc w:val="left"/>
                    <w:rPr>
                      <w:rFonts w:hint="default"/>
                      <w:color w:val="auto"/>
                      <w:szCs w:val="21"/>
                    </w:rPr>
                  </w:pPr>
                </w:p>
              </w:tc>
              <w:tc>
                <w:tcPr>
                  <w:tcW w:w="4630" w:type="pct"/>
                  <w:gridSpan w:val="3"/>
                  <w:noWrap w:val="0"/>
                  <w:vAlign w:val="top"/>
                </w:tcPr>
                <w:p w14:paraId="1279EF17">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主要用途：广泛用作中和剂，用于制造各种钠盐、肥皂、纸浆，整理棉织品、丝、粘胶纤维，橡胶制品的再生，金属清洗、电镀，漂白等。</w:t>
                  </w:r>
                </w:p>
              </w:tc>
            </w:tr>
            <w:tr w14:paraId="472121E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521" w:hRule="atLeast"/>
              </w:trPr>
              <w:tc>
                <w:tcPr>
                  <w:tcW w:w="370" w:type="pct"/>
                  <w:noWrap w:val="0"/>
                  <w:vAlign w:val="center"/>
                </w:tcPr>
                <w:p w14:paraId="5D51B319">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危险性概述</w:t>
                  </w:r>
                </w:p>
              </w:tc>
              <w:tc>
                <w:tcPr>
                  <w:tcW w:w="4630" w:type="pct"/>
                  <w:gridSpan w:val="3"/>
                  <w:noWrap w:val="0"/>
                  <w:vAlign w:val="center"/>
                </w:tcPr>
                <w:p w14:paraId="23B0168F">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侵入途径：吸入、食入</w:t>
                  </w:r>
                </w:p>
                <w:p w14:paraId="433F34BB">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健康危害：本品有强烈刺激和腐蚀性。粉尘刺激眼和呼吸道，腐蚀鼻中隔；皮肤和眼直接接触可引起灼伤；误服可造成消化道灼伤，</w:t>
                  </w:r>
                  <w:r>
                    <w:rPr>
                      <w:rFonts w:hint="eastAsia"/>
                      <w:color w:val="auto"/>
                      <w:szCs w:val="21"/>
                      <w:lang w:eastAsia="zh-CN"/>
                    </w:rPr>
                    <w:t>黏膜</w:t>
                  </w:r>
                  <w:r>
                    <w:rPr>
                      <w:rFonts w:hint="default"/>
                      <w:color w:val="auto"/>
                      <w:szCs w:val="21"/>
                    </w:rPr>
                    <w:t>糜烂、出血和休克。</w:t>
                  </w:r>
                </w:p>
                <w:p w14:paraId="4DBE78B7">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燃爆危险：不燃，无特殊爆燃特性</w:t>
                  </w:r>
                </w:p>
              </w:tc>
            </w:tr>
            <w:tr w14:paraId="580B22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558" w:hRule="atLeast"/>
              </w:trPr>
              <w:tc>
                <w:tcPr>
                  <w:tcW w:w="370" w:type="pct"/>
                  <w:noWrap w:val="0"/>
                  <w:tcMar>
                    <w:left w:w="0" w:type="dxa"/>
                    <w:right w:w="0" w:type="dxa"/>
                  </w:tcMar>
                  <w:vAlign w:val="center"/>
                </w:tcPr>
                <w:p w14:paraId="1CC9C036">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稳定性和反应性</w:t>
                  </w:r>
                </w:p>
              </w:tc>
              <w:tc>
                <w:tcPr>
                  <w:tcW w:w="4630" w:type="pct"/>
                  <w:gridSpan w:val="3"/>
                  <w:noWrap w:val="0"/>
                  <w:vAlign w:val="center"/>
                </w:tcPr>
                <w:p w14:paraId="27AC4B6C">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稳定性：稳定</w:t>
                  </w:r>
                </w:p>
                <w:p w14:paraId="2D769432">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禁配物：强酸、易燃或可燃物、二氧化碳、过氧化物、水</w:t>
                  </w:r>
                </w:p>
                <w:p w14:paraId="3B63A675">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避免接触的条件：潮湿空气</w:t>
                  </w:r>
                </w:p>
                <w:p w14:paraId="70656327">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聚合危害：不聚合</w:t>
                  </w:r>
                </w:p>
                <w:p w14:paraId="1BB0F17D">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分解产物：氧化钠</w:t>
                  </w:r>
                </w:p>
              </w:tc>
            </w:tr>
            <w:tr w14:paraId="0A0F01F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04" w:hRule="atLeast"/>
              </w:trPr>
              <w:tc>
                <w:tcPr>
                  <w:tcW w:w="370" w:type="pct"/>
                  <w:noWrap w:val="0"/>
                  <w:vAlign w:val="center"/>
                </w:tcPr>
                <w:p w14:paraId="27761C83">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消防措施</w:t>
                  </w:r>
                </w:p>
              </w:tc>
              <w:tc>
                <w:tcPr>
                  <w:tcW w:w="4630" w:type="pct"/>
                  <w:gridSpan w:val="3"/>
                  <w:noWrap w:val="0"/>
                  <w:tcMar>
                    <w:left w:w="0" w:type="dxa"/>
                    <w:right w:w="0" w:type="dxa"/>
                  </w:tcMar>
                  <w:vAlign w:val="center"/>
                </w:tcPr>
                <w:p w14:paraId="74268B4B">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危险特性：与酸</w:t>
                  </w:r>
                  <w:r>
                    <w:rPr>
                      <w:rFonts w:hint="eastAsia"/>
                      <w:color w:val="auto"/>
                      <w:szCs w:val="21"/>
                      <w:highlight w:val="none"/>
                      <w:lang w:eastAsia="zh-CN"/>
                    </w:rPr>
                    <w:t>发生中</w:t>
                  </w:r>
                  <w:r>
                    <w:rPr>
                      <w:rFonts w:hint="default"/>
                      <w:color w:val="auto"/>
                      <w:szCs w:val="21"/>
                    </w:rPr>
                    <w:t>和反应并放热。遇潮时对铝、锌和锡有腐蚀性，并放出易燃易爆的氢气。本品不会燃烧</w:t>
                  </w:r>
                  <w:r>
                    <w:rPr>
                      <w:rFonts w:hint="eastAsia"/>
                      <w:color w:val="auto"/>
                      <w:szCs w:val="21"/>
                      <w:lang w:eastAsia="zh-CN"/>
                    </w:rPr>
                    <w:t>，</w:t>
                  </w:r>
                  <w:r>
                    <w:rPr>
                      <w:rFonts w:hint="default"/>
                      <w:color w:val="auto"/>
                      <w:szCs w:val="21"/>
                    </w:rPr>
                    <w:t xml:space="preserve"> 遇水和水蒸气大量放热</w:t>
                  </w:r>
                  <w:r>
                    <w:rPr>
                      <w:rFonts w:hint="eastAsia"/>
                      <w:color w:val="auto"/>
                      <w:szCs w:val="21"/>
                      <w:lang w:eastAsia="zh-CN"/>
                    </w:rPr>
                    <w:t>，</w:t>
                  </w:r>
                  <w:r>
                    <w:rPr>
                      <w:rFonts w:hint="default"/>
                      <w:color w:val="auto"/>
                      <w:szCs w:val="21"/>
                    </w:rPr>
                    <w:t xml:space="preserve"> 形成腐蚀性溶液。具有强腐蚀性。</w:t>
                  </w:r>
                </w:p>
                <w:p w14:paraId="11491A19">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有害燃烧产物：无意义</w:t>
                  </w:r>
                </w:p>
                <w:p w14:paraId="51E1CFF2">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灭火方法：本品不燃。根据着火原因选择适当灭火剂灭火。</w:t>
                  </w:r>
                </w:p>
                <w:p w14:paraId="46075BB1">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灭火注意事项及措施：消防人员须穿全身耐酸碱消防服、佩戴空气呼吸器灭火。尽可能将容器从火场移至空旷处。喷水保持火场容器冷却，直至灭火结束。</w:t>
                  </w:r>
                </w:p>
              </w:tc>
            </w:tr>
            <w:tr w14:paraId="7693D9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29" w:hRule="atLeast"/>
              </w:trPr>
              <w:tc>
                <w:tcPr>
                  <w:tcW w:w="370" w:type="pct"/>
                  <w:noWrap w:val="0"/>
                  <w:tcMar>
                    <w:left w:w="0" w:type="dxa"/>
                    <w:right w:w="0" w:type="dxa"/>
                  </w:tcMar>
                  <w:vAlign w:val="center"/>
                </w:tcPr>
                <w:p w14:paraId="186536E8">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毒理学资料</w:t>
                  </w:r>
                </w:p>
              </w:tc>
              <w:tc>
                <w:tcPr>
                  <w:tcW w:w="4630" w:type="pct"/>
                  <w:gridSpan w:val="3"/>
                  <w:noWrap w:val="0"/>
                  <w:vAlign w:val="center"/>
                </w:tcPr>
                <w:p w14:paraId="35D54C22">
                  <w:pPr>
                    <w:keepNext w:val="0"/>
                    <w:keepLines w:val="0"/>
                    <w:suppressLineNumbers w:val="0"/>
                    <w:spacing w:before="0" w:beforeAutospacing="0" w:after="0" w:afterAutospacing="0"/>
                    <w:ind w:left="1050" w:right="0" w:hanging="1050" w:hangingChars="500"/>
                    <w:rPr>
                      <w:rFonts w:hint="default"/>
                      <w:color w:val="auto"/>
                      <w:szCs w:val="21"/>
                    </w:rPr>
                  </w:pPr>
                  <w:r>
                    <w:rPr>
                      <w:rFonts w:hint="default"/>
                      <w:color w:val="auto"/>
                      <w:szCs w:val="21"/>
                    </w:rPr>
                    <w:t>急性毒性：LD</w:t>
                  </w:r>
                  <w:r>
                    <w:rPr>
                      <w:rFonts w:hint="default"/>
                      <w:color w:val="auto"/>
                      <w:szCs w:val="21"/>
                      <w:vertAlign w:val="subscript"/>
                    </w:rPr>
                    <w:t>50</w:t>
                  </w:r>
                  <w:r>
                    <w:rPr>
                      <w:rFonts w:hint="default"/>
                      <w:color w:val="auto"/>
                      <w:szCs w:val="21"/>
                      <w:highlight w:val="none"/>
                    </w:rPr>
                    <w:t>：</w:t>
                  </w:r>
                  <w:r>
                    <w:rPr>
                      <w:rFonts w:hint="default"/>
                      <w:color w:val="auto"/>
                      <w:szCs w:val="21"/>
                    </w:rPr>
                    <w:t>40mg/kg（小鼠腹腔）；</w:t>
                  </w:r>
                </w:p>
                <w:p w14:paraId="2C5C2C84">
                  <w:pPr>
                    <w:keepNext w:val="0"/>
                    <w:keepLines w:val="0"/>
                    <w:suppressLineNumbers w:val="0"/>
                    <w:spacing w:before="0" w:beforeAutospacing="0" w:after="0" w:afterAutospacing="0"/>
                    <w:ind w:left="1050" w:leftChars="500" w:right="0"/>
                    <w:rPr>
                      <w:rFonts w:hint="default"/>
                      <w:color w:val="auto"/>
                      <w:szCs w:val="21"/>
                    </w:rPr>
                  </w:pPr>
                  <w:r>
                    <w:rPr>
                      <w:rFonts w:hint="default"/>
                      <w:color w:val="auto"/>
                      <w:szCs w:val="21"/>
                    </w:rPr>
                    <w:t>LC</w:t>
                  </w:r>
                  <w:r>
                    <w:rPr>
                      <w:rFonts w:hint="default"/>
                      <w:color w:val="auto"/>
                      <w:szCs w:val="21"/>
                      <w:vertAlign w:val="subscript"/>
                    </w:rPr>
                    <w:t>50</w:t>
                  </w:r>
                  <w:r>
                    <w:rPr>
                      <w:rFonts w:hint="default"/>
                      <w:color w:val="auto"/>
                      <w:szCs w:val="21"/>
                    </w:rPr>
                    <w:t>：无资料</w:t>
                  </w:r>
                </w:p>
                <w:p w14:paraId="1E283B77">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刺激性：家兔经皮：50mg（24h），重度刺激；</w:t>
                  </w:r>
                </w:p>
                <w:p w14:paraId="25C2B46F">
                  <w:pPr>
                    <w:keepNext w:val="0"/>
                    <w:keepLines w:val="0"/>
                    <w:suppressLineNumbers w:val="0"/>
                    <w:spacing w:before="0" w:beforeAutospacing="0" w:after="0" w:afterAutospacing="0"/>
                    <w:ind w:left="0" w:right="0" w:firstLine="840" w:firstLineChars="400"/>
                    <w:rPr>
                      <w:rFonts w:hint="default"/>
                      <w:color w:val="auto"/>
                      <w:szCs w:val="21"/>
                    </w:rPr>
                  </w:pPr>
                  <w:r>
                    <w:rPr>
                      <w:rFonts w:hint="default"/>
                      <w:color w:val="auto"/>
                      <w:szCs w:val="21"/>
                    </w:rPr>
                    <w:t xml:space="preserve">家兔经眼：1%，重度刺激 </w:t>
                  </w:r>
                </w:p>
              </w:tc>
            </w:tr>
            <w:tr w14:paraId="67D9A4F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70" w:type="pct"/>
                  <w:noWrap w:val="0"/>
                  <w:vAlign w:val="center"/>
                </w:tcPr>
                <w:p w14:paraId="21F962CC">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接触控制/个体防护</w:t>
                  </w:r>
                </w:p>
              </w:tc>
              <w:tc>
                <w:tcPr>
                  <w:tcW w:w="4630" w:type="pct"/>
                  <w:gridSpan w:val="3"/>
                  <w:noWrap w:val="0"/>
                  <w:vAlign w:val="center"/>
                </w:tcPr>
                <w:p w14:paraId="260ED14E">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职业性接触限值  中国 MAC（mg/m</w:t>
                  </w:r>
                  <w:r>
                    <w:rPr>
                      <w:rFonts w:hint="default"/>
                      <w:color w:val="auto"/>
                      <w:szCs w:val="21"/>
                      <w:vertAlign w:val="superscript"/>
                    </w:rPr>
                    <w:t>3</w:t>
                  </w:r>
                  <w:r>
                    <w:rPr>
                      <w:rFonts w:hint="default"/>
                      <w:color w:val="auto"/>
                      <w:szCs w:val="21"/>
                    </w:rPr>
                    <w:t>）：2</w:t>
                  </w:r>
                </w:p>
                <w:p w14:paraId="6B64C76B">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 xml:space="preserve">                美国（ACGIH）TLV-C（mg/m</w:t>
                  </w:r>
                  <w:r>
                    <w:rPr>
                      <w:rFonts w:hint="default"/>
                      <w:color w:val="auto"/>
                      <w:szCs w:val="21"/>
                      <w:vertAlign w:val="superscript"/>
                    </w:rPr>
                    <w:t>3</w:t>
                  </w:r>
                  <w:r>
                    <w:rPr>
                      <w:rFonts w:hint="default"/>
                      <w:color w:val="auto"/>
                      <w:szCs w:val="21"/>
                    </w:rPr>
                    <w:t>）：2</w:t>
                  </w:r>
                </w:p>
                <w:p w14:paraId="7B02DD34">
                  <w:pPr>
                    <w:keepNext w:val="0"/>
                    <w:keepLines w:val="0"/>
                    <w:suppressLineNumbers w:val="0"/>
                    <w:spacing w:before="0" w:beforeAutospacing="0" w:after="0" w:afterAutospacing="0"/>
                    <w:ind w:left="0" w:right="0"/>
                    <w:rPr>
                      <w:rFonts w:hint="default"/>
                      <w:color w:val="auto"/>
                      <w:szCs w:val="21"/>
                    </w:rPr>
                  </w:pPr>
                  <w:r>
                    <w:rPr>
                      <w:rFonts w:hint="eastAsia"/>
                      <w:color w:val="auto"/>
                      <w:szCs w:val="21"/>
                      <w:lang w:eastAsia="zh-CN"/>
                    </w:rPr>
                    <w:t>检测</w:t>
                  </w:r>
                  <w:r>
                    <w:rPr>
                      <w:rFonts w:hint="default"/>
                      <w:color w:val="auto"/>
                      <w:szCs w:val="21"/>
                    </w:rPr>
                    <w:t>方法：火焰原子吸收光谱法</w:t>
                  </w:r>
                </w:p>
                <w:p w14:paraId="30D04FB0">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工程控制：密闭操作。提供安全淋浴和洗眼设备。</w:t>
                  </w:r>
                </w:p>
                <w:p w14:paraId="69E7A8B5">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呼吸系统防护：可能接触其粉尘时，必须佩戴过滤式防尘呼吸器。必要时佩戴空气呼吸器。</w:t>
                  </w:r>
                </w:p>
                <w:p w14:paraId="6B02731B">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眼睛防护：戴化学安全防护眼镜。</w:t>
                  </w:r>
                </w:p>
                <w:p w14:paraId="64FEDCA2">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身体防护：穿橡胶耐酸碱服。</w:t>
                  </w:r>
                </w:p>
                <w:p w14:paraId="40280CC0">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手防护：戴橡胶耐酸碱手套。</w:t>
                  </w:r>
                </w:p>
                <w:p w14:paraId="1AB05F6F">
                  <w:pPr>
                    <w:keepNext w:val="0"/>
                    <w:keepLines w:val="0"/>
                    <w:suppressLineNumbers w:val="0"/>
                    <w:spacing w:before="0" w:beforeAutospacing="0" w:after="0" w:afterAutospacing="0"/>
                    <w:ind w:left="0" w:right="0"/>
                    <w:rPr>
                      <w:rFonts w:hint="default"/>
                      <w:color w:val="auto"/>
                      <w:szCs w:val="21"/>
                    </w:rPr>
                  </w:pPr>
                  <w:r>
                    <w:rPr>
                      <w:rFonts w:hint="default"/>
                      <w:color w:val="auto"/>
                      <w:szCs w:val="21"/>
                      <w:highlight w:val="none"/>
                    </w:rPr>
                    <w:t>其它</w:t>
                  </w:r>
                  <w:r>
                    <w:rPr>
                      <w:rFonts w:hint="default"/>
                      <w:color w:val="auto"/>
                      <w:szCs w:val="21"/>
                    </w:rPr>
                    <w:t>：工作现场禁止吸烟、进食和饮水，饭前要洗手。工作完毕，淋浴更衣。注意个人清洁卫生。</w:t>
                  </w:r>
                </w:p>
              </w:tc>
            </w:tr>
            <w:tr w14:paraId="68C7DC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70" w:type="pct"/>
                  <w:noWrap w:val="0"/>
                  <w:vAlign w:val="center"/>
                </w:tcPr>
                <w:p w14:paraId="6460AA3F">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急救措施</w:t>
                  </w:r>
                </w:p>
              </w:tc>
              <w:tc>
                <w:tcPr>
                  <w:tcW w:w="4630" w:type="pct"/>
                  <w:gridSpan w:val="3"/>
                  <w:noWrap w:val="0"/>
                  <w:vAlign w:val="center"/>
                </w:tcPr>
                <w:p w14:paraId="6713A05A">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皮肤接触：立即脱去污染的衣着，用大量流动清水冲洗20～30min。如有不适感。就医。</w:t>
                  </w:r>
                </w:p>
                <w:p w14:paraId="1A48CD0D">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眼睛接触：立即提起眼睑，用大量流动清水或生理盐水彻底冲洗10～15min。如有不适感，就医。</w:t>
                  </w:r>
                </w:p>
                <w:p w14:paraId="413E980C">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吸入：迅速脱离现场至空气新鲜处。保持呼吸道通畅。如呼吸困难，给输氧。呼吸、心跳停止，立即进行心肺复苏术。就医。</w:t>
                  </w:r>
                </w:p>
                <w:p w14:paraId="5B432CDD">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食入：用水漱口，禁止催吐。给饮牛奶或蛋清，就医。</w:t>
                  </w:r>
                </w:p>
              </w:tc>
            </w:tr>
            <w:tr w14:paraId="72CA61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96" w:hRule="atLeast"/>
              </w:trPr>
              <w:tc>
                <w:tcPr>
                  <w:tcW w:w="370" w:type="pct"/>
                  <w:noWrap w:val="0"/>
                  <w:tcMar>
                    <w:left w:w="0" w:type="dxa"/>
                    <w:right w:w="0" w:type="dxa"/>
                  </w:tcMar>
                  <w:vAlign w:val="center"/>
                </w:tcPr>
                <w:p w14:paraId="3C5A920F">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泄漏应急处理</w:t>
                  </w:r>
                </w:p>
              </w:tc>
              <w:tc>
                <w:tcPr>
                  <w:tcW w:w="4630" w:type="pct"/>
                  <w:gridSpan w:val="3"/>
                  <w:noWrap w:val="0"/>
                  <w:vAlign w:val="center"/>
                </w:tcPr>
                <w:p w14:paraId="65987FE4">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隔离泄漏污染区，限制出入。建议应急处理人员戴防尘口罩，穿防酸碱服，戴橡胶耐酸碱手套。穿上适当的防护服前严禁接触破裂的容器和泄漏物。尽可能切断泄漏源。用塑料布覆盖泄漏物，减少飞散。勿使水进入包装容器内。用洁净的铲子收集泄漏物，置于干净、干燥、盖子较松的容器中，将容器移离泄漏区。</w:t>
                  </w:r>
                </w:p>
              </w:tc>
            </w:tr>
            <w:tr w14:paraId="6BE200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00" w:hRule="atLeast"/>
              </w:trPr>
              <w:tc>
                <w:tcPr>
                  <w:tcW w:w="370" w:type="pct"/>
                  <w:noWrap w:val="0"/>
                  <w:vAlign w:val="center"/>
                </w:tcPr>
                <w:p w14:paraId="43267CA4">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操作处置与储运</w:t>
                  </w:r>
                </w:p>
              </w:tc>
              <w:tc>
                <w:tcPr>
                  <w:tcW w:w="4630" w:type="pct"/>
                  <w:gridSpan w:val="3"/>
                  <w:noWrap w:val="0"/>
                  <w:vAlign w:val="center"/>
                </w:tcPr>
                <w:p w14:paraId="1CCAAFF0">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操作注意事项：密闭操作。操作人员必须经过专门培训，严格遵守操作规程。建议操作人员佩戴头罩型电动送风过滤式防尘呼吸器，穿橡胶耐酸碱服，戴橡胶耐酸碱手套。远离易燃、可燃物。避免产生粉尘。避免与酸类接触。搬运时要轻装轻卸，防止包装及容器损坏。配备泄漏应急处理设备。倒空的容器可能残留有害物。稀释或制备溶液时，应把碱加入水中，避免沸腾和飞溅。</w:t>
                  </w:r>
                </w:p>
                <w:p w14:paraId="48F37031">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储存注意事项：储存于阴凉、干燥、通风良好的库房。远离火种、热源。库温不宜超过35℃，相对湿度不超过80%。包装必须密封，切勿受潮。应与易（可）燃物、酸类等分开存放，切忌混储。储区应</w:t>
                  </w:r>
                  <w:r>
                    <w:rPr>
                      <w:rFonts w:hint="eastAsia"/>
                      <w:color w:val="auto"/>
                      <w:szCs w:val="21"/>
                      <w:lang w:eastAsia="zh-CN"/>
                    </w:rPr>
                    <w:t>备有</w:t>
                  </w:r>
                  <w:r>
                    <w:rPr>
                      <w:rFonts w:hint="default"/>
                      <w:color w:val="auto"/>
                      <w:szCs w:val="21"/>
                    </w:rPr>
                    <w:t>合适的材料收容泄漏物。</w:t>
                  </w:r>
                </w:p>
              </w:tc>
            </w:tr>
            <w:tr w14:paraId="03BC226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00" w:hRule="atLeast"/>
              </w:trPr>
              <w:tc>
                <w:tcPr>
                  <w:tcW w:w="370" w:type="pct"/>
                  <w:noWrap w:val="0"/>
                  <w:vAlign w:val="center"/>
                </w:tcPr>
                <w:p w14:paraId="22398EB7">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废弃处置</w:t>
                  </w:r>
                </w:p>
              </w:tc>
              <w:tc>
                <w:tcPr>
                  <w:tcW w:w="4630" w:type="pct"/>
                  <w:gridSpan w:val="3"/>
                  <w:noWrap w:val="0"/>
                  <w:vAlign w:val="center"/>
                </w:tcPr>
                <w:p w14:paraId="1ABFD4D5">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废弃物性质：危险废物</w:t>
                  </w:r>
                </w:p>
                <w:p w14:paraId="37267C8A">
                  <w:pPr>
                    <w:keepNext w:val="0"/>
                    <w:keepLines w:val="0"/>
                    <w:suppressLineNumbers w:val="0"/>
                    <w:spacing w:before="0" w:beforeAutospacing="0" w:after="0" w:afterAutospacing="0"/>
                    <w:ind w:left="0" w:right="0"/>
                    <w:rPr>
                      <w:rFonts w:hint="default"/>
                      <w:color w:val="auto"/>
                      <w:szCs w:val="21"/>
                    </w:rPr>
                  </w:pPr>
                  <w:r>
                    <w:rPr>
                      <w:rFonts w:hint="default"/>
                      <w:color w:val="auto"/>
                      <w:szCs w:val="21"/>
                      <w:highlight w:val="none"/>
                    </w:rPr>
                    <w:t>废弃</w:t>
                  </w:r>
                  <w:r>
                    <w:rPr>
                      <w:rFonts w:hint="default"/>
                      <w:color w:val="auto"/>
                      <w:szCs w:val="21"/>
                    </w:rPr>
                    <w:t>处置方法：中和、稀释后，排入废水系统</w:t>
                  </w:r>
                </w:p>
                <w:p w14:paraId="52E332C9">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废弃注意事项：处置前应参阅国家和地方相关法规。把倒空的容器归还厂商或在规定场所掩埋</w:t>
                  </w:r>
                </w:p>
              </w:tc>
            </w:tr>
            <w:tr w14:paraId="179CA5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2" w:hRule="atLeast"/>
              </w:trPr>
              <w:tc>
                <w:tcPr>
                  <w:tcW w:w="370" w:type="pct"/>
                  <w:noWrap w:val="0"/>
                  <w:vAlign w:val="center"/>
                </w:tcPr>
                <w:p w14:paraId="53B9A4EE">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运输信息</w:t>
                  </w:r>
                </w:p>
              </w:tc>
              <w:tc>
                <w:tcPr>
                  <w:tcW w:w="4630" w:type="pct"/>
                  <w:gridSpan w:val="3"/>
                  <w:noWrap w:val="0"/>
                  <w:vAlign w:val="center"/>
                </w:tcPr>
                <w:p w14:paraId="575BD2D6">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 xml:space="preserve">包装类别：Ⅱ类包装              包装标志：腐蚀品 </w:t>
                  </w:r>
                </w:p>
                <w:p w14:paraId="273D5EF7">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包装方法：固体可装入0.5 毫米厚的钢桶中严封，每桶净重不超过100 公斤；塑料袋或二层牛皮纸袋外全开口或中开口钢桶；螺纹口玻璃瓶、铁盖压口玻璃瓶、塑料瓶或金属桶（罐）外普通木箱；螺纹口玻璃瓶、塑料瓶或镀锡薄钢板桶（罐）外满底板花格箱、纤维板箱或胶合板箱；镀锡薄钢板桶（罐）、金属桶（罐）、塑料瓶或金属软管外瓦楞纸箱。</w:t>
                  </w:r>
                </w:p>
                <w:p w14:paraId="1A65A1B1">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运输注意事项：铁路运输时，钢桶包装的可用敞车运输。起运时包装要完整，装载应稳妥。运输过程中要确保容器不泄漏、不倒塌、不坠落、不损坏。严禁与易燃物或可燃物、酸类、食用化学品等混装混运。运输时运输车辆应配备泄漏应急处理设备。</w:t>
                  </w:r>
                </w:p>
              </w:tc>
            </w:tr>
          </w:tbl>
          <w:p w14:paraId="3C0D93F0">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default"/>
                <w:color w:val="auto"/>
                <w:sz w:val="24"/>
                <w:szCs w:val="32"/>
              </w:rPr>
              <w:t>（2）勘探过程</w:t>
            </w:r>
            <w:r>
              <w:rPr>
                <w:rFonts w:hint="eastAsia"/>
                <w:color w:val="auto"/>
                <w:sz w:val="24"/>
                <w:szCs w:val="32"/>
                <w:lang w:eastAsia="zh-CN"/>
              </w:rPr>
              <w:t>风险</w:t>
            </w:r>
            <w:r>
              <w:rPr>
                <w:rFonts w:hint="default"/>
                <w:color w:val="auto"/>
                <w:sz w:val="24"/>
                <w:szCs w:val="32"/>
              </w:rPr>
              <w:t>识别</w:t>
            </w:r>
          </w:p>
          <w:p w14:paraId="7FDB1C14">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eastAsia" w:ascii="宋体" w:hAnsi="宋体" w:cs="宋体"/>
                <w:color w:val="auto"/>
                <w:sz w:val="24"/>
                <w:szCs w:val="32"/>
              </w:rPr>
              <w:t>①</w:t>
            </w:r>
            <w:r>
              <w:rPr>
                <w:rFonts w:hint="eastAsia"/>
                <w:color w:val="auto"/>
                <w:sz w:val="24"/>
                <w:szCs w:val="32"/>
              </w:rPr>
              <w:t>危险性识别</w:t>
            </w:r>
          </w:p>
          <w:p w14:paraId="0DBDCC5F">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eastAsia"/>
                <w:color w:val="auto"/>
                <w:sz w:val="24"/>
                <w:szCs w:val="32"/>
              </w:rPr>
              <w:t>勘探井开发过程环境风险事故中，影响范围较广的风险事故主要为井喷及井喷引起的火灾、爆炸等。其潜在的风险事故和危害如下表所示。</w:t>
            </w:r>
          </w:p>
          <w:p w14:paraId="5F58B56D">
            <w:pPr>
              <w:keepNext w:val="0"/>
              <w:keepLines w:val="0"/>
              <w:suppressLineNumbers w:val="0"/>
              <w:autoSpaceDE w:val="0"/>
              <w:autoSpaceDN w:val="0"/>
              <w:adjustRightInd w:val="0"/>
              <w:spacing w:before="0" w:beforeAutospacing="0" w:after="0" w:afterAutospacing="0"/>
              <w:ind w:left="0" w:right="0" w:firstLine="482" w:firstLineChars="200"/>
              <w:jc w:val="center"/>
              <w:rPr>
                <w:rFonts w:hint="default"/>
                <w:b/>
                <w:color w:val="auto"/>
                <w:kern w:val="0"/>
                <w:sz w:val="24"/>
              </w:rPr>
            </w:pPr>
            <w:r>
              <w:rPr>
                <w:rFonts w:hint="default"/>
                <w:b/>
                <w:color w:val="auto"/>
                <w:kern w:val="0"/>
                <w:sz w:val="24"/>
              </w:rPr>
              <w:t>表</w:t>
            </w:r>
            <w:r>
              <w:rPr>
                <w:rFonts w:hint="eastAsia"/>
                <w:b/>
                <w:color w:val="auto"/>
                <w:kern w:val="0"/>
                <w:sz w:val="24"/>
              </w:rPr>
              <w:t>4</w:t>
            </w:r>
            <w:r>
              <w:rPr>
                <w:rFonts w:hint="default"/>
                <w:b/>
                <w:color w:val="auto"/>
                <w:kern w:val="0"/>
                <w:sz w:val="24"/>
              </w:rPr>
              <w:t>-</w:t>
            </w:r>
            <w:r>
              <w:rPr>
                <w:rFonts w:hint="eastAsia"/>
                <w:b/>
                <w:color w:val="auto"/>
                <w:kern w:val="0"/>
                <w:sz w:val="24"/>
              </w:rPr>
              <w:t>12 主要事故类型、来源及影响环境的途径</w:t>
            </w:r>
          </w:p>
          <w:tbl>
            <w:tblPr>
              <w:tblStyle w:val="30"/>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844"/>
              <w:gridCol w:w="927"/>
              <w:gridCol w:w="1199"/>
              <w:gridCol w:w="3788"/>
              <w:gridCol w:w="1437"/>
            </w:tblGrid>
            <w:tr w14:paraId="2CB0EC6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515" w:type="pct"/>
                  <w:noWrap w:val="0"/>
                  <w:vAlign w:val="center"/>
                </w:tcPr>
                <w:p w14:paraId="20CD6E49">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事故</w:t>
                  </w:r>
                </w:p>
                <w:p w14:paraId="209706D8">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类型</w:t>
                  </w:r>
                </w:p>
              </w:tc>
              <w:tc>
                <w:tcPr>
                  <w:tcW w:w="565" w:type="pct"/>
                  <w:noWrap w:val="0"/>
                  <w:vAlign w:val="center"/>
                </w:tcPr>
                <w:p w14:paraId="7B198F96">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来源</w:t>
                  </w:r>
                </w:p>
              </w:tc>
              <w:tc>
                <w:tcPr>
                  <w:tcW w:w="731" w:type="pct"/>
                  <w:noWrap w:val="0"/>
                  <w:vAlign w:val="center"/>
                </w:tcPr>
                <w:p w14:paraId="123B3C56">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危险物质</w:t>
                  </w:r>
                </w:p>
              </w:tc>
              <w:tc>
                <w:tcPr>
                  <w:tcW w:w="2310" w:type="pct"/>
                  <w:noWrap w:val="0"/>
                  <w:vAlign w:val="center"/>
                </w:tcPr>
                <w:p w14:paraId="2E052C18">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影响环境的途径</w:t>
                  </w:r>
                </w:p>
              </w:tc>
              <w:tc>
                <w:tcPr>
                  <w:tcW w:w="876" w:type="pct"/>
                  <w:noWrap w:val="0"/>
                  <w:vAlign w:val="center"/>
                </w:tcPr>
                <w:p w14:paraId="45620817">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可能影响</w:t>
                  </w:r>
                  <w:r>
                    <w:rPr>
                      <w:rFonts w:hint="eastAsia"/>
                      <w:color w:val="auto"/>
                      <w:szCs w:val="21"/>
                      <w:lang w:eastAsia="zh-CN"/>
                    </w:rPr>
                    <w:t>的</w:t>
                  </w:r>
                  <w:r>
                    <w:rPr>
                      <w:rFonts w:hint="default"/>
                      <w:color w:val="auto"/>
                      <w:szCs w:val="21"/>
                    </w:rPr>
                    <w:t>环境敏感目标</w:t>
                  </w:r>
                </w:p>
              </w:tc>
            </w:tr>
            <w:tr w14:paraId="256D93A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601" w:hRule="atLeast"/>
              </w:trPr>
              <w:tc>
                <w:tcPr>
                  <w:tcW w:w="515" w:type="pct"/>
                  <w:noWrap w:val="0"/>
                  <w:vAlign w:val="center"/>
                </w:tcPr>
                <w:p w14:paraId="533D41AE">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井喷</w:t>
                  </w:r>
                </w:p>
              </w:tc>
              <w:tc>
                <w:tcPr>
                  <w:tcW w:w="565" w:type="pct"/>
                  <w:noWrap w:val="0"/>
                  <w:vAlign w:val="center"/>
                </w:tcPr>
                <w:p w14:paraId="1723DD15">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钻井</w:t>
                  </w:r>
                </w:p>
              </w:tc>
              <w:tc>
                <w:tcPr>
                  <w:tcW w:w="731" w:type="pct"/>
                  <w:noWrap w:val="0"/>
                  <w:vAlign w:val="center"/>
                </w:tcPr>
                <w:p w14:paraId="3BC45B4A">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原油</w:t>
                  </w:r>
                </w:p>
              </w:tc>
              <w:tc>
                <w:tcPr>
                  <w:tcW w:w="2310" w:type="pct"/>
                  <w:noWrap w:val="0"/>
                  <w:vAlign w:val="center"/>
                </w:tcPr>
                <w:p w14:paraId="665AD7F7">
                  <w:pPr>
                    <w:keepNext w:val="0"/>
                    <w:keepLines w:val="0"/>
                    <w:suppressLineNumbers w:val="0"/>
                    <w:spacing w:before="0" w:beforeAutospacing="0" w:after="0" w:afterAutospacing="0"/>
                    <w:ind w:left="0" w:right="0"/>
                    <w:rPr>
                      <w:rFonts w:hint="default"/>
                      <w:color w:val="auto"/>
                      <w:szCs w:val="21"/>
                    </w:rPr>
                  </w:pPr>
                  <w:r>
                    <w:rPr>
                      <w:rFonts w:hint="eastAsia" w:ascii="宋体" w:hAnsi="宋体" w:cs="宋体"/>
                      <w:color w:val="auto"/>
                      <w:szCs w:val="21"/>
                    </w:rPr>
                    <w:t>①</w:t>
                  </w:r>
                  <w:r>
                    <w:rPr>
                      <w:rFonts w:hint="default"/>
                      <w:color w:val="auto"/>
                      <w:szCs w:val="21"/>
                    </w:rPr>
                    <w:t>释放有毒污染物，引发火灾从而污染大气环境；</w:t>
                  </w:r>
                </w:p>
                <w:p w14:paraId="5ECFCC2E">
                  <w:pPr>
                    <w:keepNext w:val="0"/>
                    <w:keepLines w:val="0"/>
                    <w:suppressLineNumbers w:val="0"/>
                    <w:spacing w:before="0" w:beforeAutospacing="0" w:after="0" w:afterAutospacing="0"/>
                    <w:ind w:left="0" w:right="0"/>
                    <w:rPr>
                      <w:rFonts w:hint="default"/>
                      <w:color w:val="auto"/>
                      <w:szCs w:val="21"/>
                    </w:rPr>
                  </w:pPr>
                  <w:r>
                    <w:rPr>
                      <w:rFonts w:hint="eastAsia" w:ascii="宋体" w:hAnsi="宋体" w:cs="宋体"/>
                      <w:color w:val="auto"/>
                      <w:szCs w:val="21"/>
                    </w:rPr>
                    <w:t>②</w:t>
                  </w:r>
                  <w:r>
                    <w:rPr>
                      <w:rFonts w:hint="default"/>
                      <w:color w:val="auto"/>
                      <w:szCs w:val="21"/>
                    </w:rPr>
                    <w:t>原油泄漏进入地表，阻塞土壤孔隙，使土壤板结，降低通透性，不利于植物生长；</w:t>
                  </w:r>
                </w:p>
                <w:p w14:paraId="52489481">
                  <w:pPr>
                    <w:keepNext w:val="0"/>
                    <w:keepLines w:val="0"/>
                    <w:suppressLineNumbers w:val="0"/>
                    <w:spacing w:before="0" w:beforeAutospacing="0" w:after="0" w:afterAutospacing="0"/>
                    <w:ind w:left="0" w:right="0"/>
                    <w:rPr>
                      <w:rFonts w:hint="default"/>
                      <w:color w:val="auto"/>
                      <w:szCs w:val="21"/>
                    </w:rPr>
                  </w:pPr>
                  <w:r>
                    <w:rPr>
                      <w:rFonts w:hint="eastAsia" w:ascii="宋体" w:hAnsi="宋体" w:cs="宋体"/>
                      <w:color w:val="auto"/>
                      <w:szCs w:val="21"/>
                    </w:rPr>
                    <w:t>③</w:t>
                  </w:r>
                  <w:r>
                    <w:rPr>
                      <w:rFonts w:hint="default"/>
                      <w:color w:val="auto"/>
                      <w:szCs w:val="21"/>
                    </w:rPr>
                    <w:t>进入地下水层，污染地下水水质</w:t>
                  </w:r>
                </w:p>
              </w:tc>
              <w:tc>
                <w:tcPr>
                  <w:tcW w:w="876" w:type="pct"/>
                  <w:noWrap w:val="0"/>
                  <w:vAlign w:val="center"/>
                </w:tcPr>
                <w:p w14:paraId="43ABAB29">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周围大气环境、土壤、地下水</w:t>
                  </w:r>
                </w:p>
              </w:tc>
            </w:tr>
            <w:tr w14:paraId="18F9D15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83" w:hRule="atLeast"/>
              </w:trPr>
              <w:tc>
                <w:tcPr>
                  <w:tcW w:w="515" w:type="pct"/>
                  <w:noWrap w:val="0"/>
                  <w:vAlign w:val="center"/>
                </w:tcPr>
                <w:p w14:paraId="2B9F8494">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井漏</w:t>
                  </w:r>
                </w:p>
              </w:tc>
              <w:tc>
                <w:tcPr>
                  <w:tcW w:w="565" w:type="pct"/>
                  <w:noWrap w:val="0"/>
                  <w:vAlign w:val="center"/>
                </w:tcPr>
                <w:p w14:paraId="50D466DD">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钻井</w:t>
                  </w:r>
                </w:p>
              </w:tc>
              <w:tc>
                <w:tcPr>
                  <w:tcW w:w="731" w:type="pct"/>
                  <w:noWrap w:val="0"/>
                  <w:vAlign w:val="center"/>
                </w:tcPr>
                <w:p w14:paraId="0EE40ADF">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钻井液等</w:t>
                  </w:r>
                </w:p>
              </w:tc>
              <w:tc>
                <w:tcPr>
                  <w:tcW w:w="2310" w:type="pct"/>
                  <w:noWrap w:val="0"/>
                  <w:vAlign w:val="center"/>
                </w:tcPr>
                <w:p w14:paraId="146320C0">
                  <w:pPr>
                    <w:keepNext w:val="0"/>
                    <w:keepLines w:val="0"/>
                    <w:suppressLineNumbers w:val="0"/>
                    <w:spacing w:before="0" w:beforeAutospacing="0" w:after="0" w:afterAutospacing="0"/>
                    <w:ind w:left="0" w:right="0"/>
                    <w:jc w:val="left"/>
                    <w:rPr>
                      <w:rFonts w:hint="default"/>
                      <w:color w:val="auto"/>
                      <w:szCs w:val="21"/>
                    </w:rPr>
                  </w:pPr>
                  <w:r>
                    <w:rPr>
                      <w:rFonts w:hint="default"/>
                      <w:color w:val="auto"/>
                      <w:szCs w:val="21"/>
                    </w:rPr>
                    <w:t>钻井液等沿裂缝漏失进入地下水层，污染地下水水质</w:t>
                  </w:r>
                </w:p>
              </w:tc>
              <w:tc>
                <w:tcPr>
                  <w:tcW w:w="876" w:type="pct"/>
                  <w:noWrap w:val="0"/>
                  <w:vAlign w:val="center"/>
                </w:tcPr>
                <w:p w14:paraId="49D0DB31">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地下水</w:t>
                  </w:r>
                </w:p>
              </w:tc>
            </w:tr>
            <w:tr w14:paraId="087B4AF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699" w:hRule="atLeast"/>
              </w:trPr>
              <w:tc>
                <w:tcPr>
                  <w:tcW w:w="515" w:type="pct"/>
                  <w:noWrap w:val="0"/>
                  <w:vAlign w:val="center"/>
                </w:tcPr>
                <w:p w14:paraId="1CF1784C">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柴油罐泄漏、火灾、爆炸</w:t>
                  </w:r>
                </w:p>
              </w:tc>
              <w:tc>
                <w:tcPr>
                  <w:tcW w:w="565" w:type="pct"/>
                  <w:noWrap w:val="0"/>
                  <w:vAlign w:val="center"/>
                </w:tcPr>
                <w:p w14:paraId="543097EE">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钻进</w:t>
                  </w:r>
                </w:p>
              </w:tc>
              <w:tc>
                <w:tcPr>
                  <w:tcW w:w="731" w:type="pct"/>
                  <w:noWrap w:val="0"/>
                  <w:vAlign w:val="center"/>
                </w:tcPr>
                <w:p w14:paraId="0900D4F4">
                  <w:pPr>
                    <w:keepNext w:val="0"/>
                    <w:keepLines w:val="0"/>
                    <w:suppressLineNumbers w:val="0"/>
                    <w:spacing w:before="0" w:beforeAutospacing="0" w:after="0" w:afterAutospacing="0"/>
                    <w:ind w:left="0" w:right="0" w:firstLine="105" w:firstLineChars="50"/>
                    <w:jc w:val="center"/>
                    <w:rPr>
                      <w:rFonts w:hint="default"/>
                      <w:color w:val="auto"/>
                      <w:szCs w:val="21"/>
                    </w:rPr>
                  </w:pPr>
                  <w:r>
                    <w:rPr>
                      <w:rFonts w:hint="default"/>
                      <w:color w:val="auto"/>
                      <w:szCs w:val="21"/>
                    </w:rPr>
                    <w:t>柴油</w:t>
                  </w:r>
                </w:p>
              </w:tc>
              <w:tc>
                <w:tcPr>
                  <w:tcW w:w="2310" w:type="pct"/>
                  <w:noWrap w:val="0"/>
                  <w:vAlign w:val="center"/>
                </w:tcPr>
                <w:p w14:paraId="53A797F8">
                  <w:pPr>
                    <w:keepNext w:val="0"/>
                    <w:keepLines w:val="0"/>
                    <w:suppressLineNumbers w:val="0"/>
                    <w:spacing w:before="0" w:beforeAutospacing="0" w:after="0" w:afterAutospacing="0"/>
                    <w:ind w:left="0" w:right="0"/>
                    <w:jc w:val="left"/>
                    <w:rPr>
                      <w:rFonts w:hint="default"/>
                      <w:color w:val="auto"/>
                      <w:szCs w:val="21"/>
                    </w:rPr>
                  </w:pPr>
                  <w:r>
                    <w:rPr>
                      <w:rFonts w:hint="eastAsia" w:ascii="宋体" w:hAnsi="宋体" w:cs="宋体"/>
                      <w:color w:val="auto"/>
                      <w:szCs w:val="21"/>
                    </w:rPr>
                    <w:t>①</w:t>
                  </w:r>
                  <w:r>
                    <w:rPr>
                      <w:rFonts w:hint="default"/>
                      <w:color w:val="auto"/>
                      <w:szCs w:val="21"/>
                    </w:rPr>
                    <w:t>释放有毒污染物，引发火灾从而污染大气环境；</w:t>
                  </w:r>
                </w:p>
                <w:p w14:paraId="6070E5DA">
                  <w:pPr>
                    <w:keepNext w:val="0"/>
                    <w:keepLines w:val="0"/>
                    <w:suppressLineNumbers w:val="0"/>
                    <w:spacing w:before="0" w:beforeAutospacing="0" w:after="0" w:afterAutospacing="0"/>
                    <w:ind w:left="0" w:right="0"/>
                    <w:jc w:val="left"/>
                    <w:rPr>
                      <w:rFonts w:hint="default"/>
                      <w:color w:val="auto"/>
                      <w:szCs w:val="21"/>
                    </w:rPr>
                  </w:pPr>
                  <w:r>
                    <w:rPr>
                      <w:rFonts w:hint="eastAsia" w:ascii="宋体" w:hAnsi="宋体" w:cs="宋体"/>
                      <w:color w:val="auto"/>
                      <w:szCs w:val="21"/>
                    </w:rPr>
                    <w:t>②</w:t>
                  </w:r>
                  <w:r>
                    <w:rPr>
                      <w:rFonts w:hint="default"/>
                      <w:color w:val="auto"/>
                      <w:szCs w:val="21"/>
                    </w:rPr>
                    <w:t>泄漏进入地表，阻塞土壤孔隙，使土壤板结，降低通透性，不利于植物生长；</w:t>
                  </w:r>
                </w:p>
                <w:p w14:paraId="77F5AE30">
                  <w:pPr>
                    <w:keepNext w:val="0"/>
                    <w:keepLines w:val="0"/>
                    <w:suppressLineNumbers w:val="0"/>
                    <w:spacing w:before="0" w:beforeAutospacing="0" w:after="0" w:afterAutospacing="0"/>
                    <w:ind w:left="0" w:right="0"/>
                    <w:jc w:val="left"/>
                    <w:rPr>
                      <w:rFonts w:hint="default"/>
                      <w:color w:val="auto"/>
                      <w:szCs w:val="21"/>
                    </w:rPr>
                  </w:pPr>
                  <w:r>
                    <w:rPr>
                      <w:rFonts w:hint="eastAsia" w:ascii="宋体" w:hAnsi="宋体" w:cs="宋体"/>
                      <w:color w:val="auto"/>
                      <w:szCs w:val="21"/>
                    </w:rPr>
                    <w:t>③</w:t>
                  </w:r>
                  <w:r>
                    <w:rPr>
                      <w:rFonts w:hint="default"/>
                      <w:color w:val="auto"/>
                      <w:szCs w:val="21"/>
                    </w:rPr>
                    <w:t>进入地下水层，污染地下水水质</w:t>
                  </w:r>
                </w:p>
              </w:tc>
              <w:tc>
                <w:tcPr>
                  <w:tcW w:w="876" w:type="pct"/>
                  <w:noWrap w:val="0"/>
                  <w:vAlign w:val="center"/>
                </w:tcPr>
                <w:p w14:paraId="208EAECD">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周围大气环境、土壤、地下水</w:t>
                  </w:r>
                </w:p>
              </w:tc>
            </w:tr>
            <w:tr w14:paraId="249B1B5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91" w:hRule="atLeast"/>
              </w:trPr>
              <w:tc>
                <w:tcPr>
                  <w:tcW w:w="515" w:type="pct"/>
                  <w:noWrap w:val="0"/>
                  <w:vAlign w:val="center"/>
                </w:tcPr>
                <w:p w14:paraId="68D3929E">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输油管线泄漏</w:t>
                  </w:r>
                </w:p>
              </w:tc>
              <w:tc>
                <w:tcPr>
                  <w:tcW w:w="565" w:type="pct"/>
                  <w:noWrap w:val="0"/>
                  <w:vAlign w:val="center"/>
                </w:tcPr>
                <w:p w14:paraId="622AC69C">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试油</w:t>
                  </w:r>
                </w:p>
              </w:tc>
              <w:tc>
                <w:tcPr>
                  <w:tcW w:w="731" w:type="pct"/>
                  <w:noWrap w:val="0"/>
                  <w:vAlign w:val="center"/>
                </w:tcPr>
                <w:p w14:paraId="570F54E0">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原油</w:t>
                  </w:r>
                </w:p>
              </w:tc>
              <w:tc>
                <w:tcPr>
                  <w:tcW w:w="2310" w:type="pct"/>
                  <w:noWrap w:val="0"/>
                  <w:vAlign w:val="center"/>
                </w:tcPr>
                <w:p w14:paraId="53F41532">
                  <w:pPr>
                    <w:keepNext w:val="0"/>
                    <w:keepLines w:val="0"/>
                    <w:suppressLineNumbers w:val="0"/>
                    <w:spacing w:before="0" w:beforeAutospacing="0" w:after="0" w:afterAutospacing="0"/>
                    <w:ind w:left="0" w:right="0"/>
                    <w:rPr>
                      <w:rFonts w:hint="default"/>
                      <w:color w:val="auto"/>
                      <w:szCs w:val="21"/>
                    </w:rPr>
                  </w:pPr>
                  <w:r>
                    <w:rPr>
                      <w:rFonts w:hint="eastAsia" w:ascii="宋体" w:hAnsi="宋体" w:cs="宋体"/>
                      <w:color w:val="auto"/>
                      <w:szCs w:val="21"/>
                    </w:rPr>
                    <w:t>①</w:t>
                  </w:r>
                  <w:r>
                    <w:rPr>
                      <w:rFonts w:hint="default"/>
                      <w:color w:val="auto"/>
                      <w:szCs w:val="21"/>
                    </w:rPr>
                    <w:t>释放有毒污染物，引发火灾从而污染大气环境；</w:t>
                  </w:r>
                </w:p>
                <w:p w14:paraId="1BCC6761">
                  <w:pPr>
                    <w:keepNext w:val="0"/>
                    <w:keepLines w:val="0"/>
                    <w:suppressLineNumbers w:val="0"/>
                    <w:spacing w:before="0" w:beforeAutospacing="0" w:after="0" w:afterAutospacing="0"/>
                    <w:ind w:left="0" w:right="0"/>
                    <w:rPr>
                      <w:rFonts w:hint="default"/>
                      <w:color w:val="auto"/>
                      <w:szCs w:val="21"/>
                    </w:rPr>
                  </w:pPr>
                  <w:r>
                    <w:rPr>
                      <w:rFonts w:hint="eastAsia" w:ascii="宋体" w:hAnsi="宋体" w:cs="宋体"/>
                      <w:color w:val="auto"/>
                      <w:szCs w:val="21"/>
                    </w:rPr>
                    <w:t>②</w:t>
                  </w:r>
                  <w:r>
                    <w:rPr>
                      <w:rFonts w:hint="default"/>
                      <w:color w:val="auto"/>
                      <w:szCs w:val="21"/>
                    </w:rPr>
                    <w:t>原油泄漏进入地表，阻塞土壤孔隙，使土壤板结，降低通透性，不利于植物生长；</w:t>
                  </w:r>
                </w:p>
                <w:p w14:paraId="5A5C4429">
                  <w:pPr>
                    <w:keepNext w:val="0"/>
                    <w:keepLines w:val="0"/>
                    <w:suppressLineNumbers w:val="0"/>
                    <w:spacing w:before="0" w:beforeAutospacing="0" w:after="0" w:afterAutospacing="0"/>
                    <w:ind w:left="0" w:right="0"/>
                    <w:rPr>
                      <w:rFonts w:hint="default"/>
                      <w:color w:val="auto"/>
                      <w:szCs w:val="21"/>
                    </w:rPr>
                  </w:pPr>
                  <w:r>
                    <w:rPr>
                      <w:rFonts w:hint="eastAsia" w:ascii="宋体" w:hAnsi="宋体" w:cs="宋体"/>
                      <w:color w:val="auto"/>
                      <w:szCs w:val="21"/>
                    </w:rPr>
                    <w:t>③</w:t>
                  </w:r>
                  <w:r>
                    <w:rPr>
                      <w:rFonts w:hint="default"/>
                      <w:color w:val="auto"/>
                      <w:szCs w:val="21"/>
                    </w:rPr>
                    <w:t>进入地下水层，污染地下水水质</w:t>
                  </w:r>
                </w:p>
              </w:tc>
              <w:tc>
                <w:tcPr>
                  <w:tcW w:w="876" w:type="pct"/>
                  <w:noWrap w:val="0"/>
                  <w:vAlign w:val="center"/>
                </w:tcPr>
                <w:p w14:paraId="664FCB5B">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周围大气环境、土壤、地下水</w:t>
                  </w:r>
                </w:p>
              </w:tc>
            </w:tr>
            <w:tr w14:paraId="60EDFB7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2" w:hRule="atLeast"/>
              </w:trPr>
              <w:tc>
                <w:tcPr>
                  <w:tcW w:w="515" w:type="pct"/>
                  <w:noWrap w:val="0"/>
                  <w:vAlign w:val="center"/>
                </w:tcPr>
                <w:p w14:paraId="31443590">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泄漏</w:t>
                  </w:r>
                </w:p>
              </w:tc>
              <w:tc>
                <w:tcPr>
                  <w:tcW w:w="565" w:type="pct"/>
                  <w:noWrap w:val="0"/>
                  <w:vAlign w:val="center"/>
                </w:tcPr>
                <w:p w14:paraId="212DE770">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试油过程井口装置泄漏</w:t>
                  </w:r>
                </w:p>
              </w:tc>
              <w:tc>
                <w:tcPr>
                  <w:tcW w:w="731" w:type="pct"/>
                  <w:noWrap w:val="0"/>
                  <w:vAlign w:val="center"/>
                </w:tcPr>
                <w:p w14:paraId="2FD3208C">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石油类、挥发烃</w:t>
                  </w:r>
                </w:p>
              </w:tc>
              <w:tc>
                <w:tcPr>
                  <w:tcW w:w="2310" w:type="pct"/>
                  <w:noWrap w:val="0"/>
                  <w:vAlign w:val="center"/>
                </w:tcPr>
                <w:p w14:paraId="6A213417">
                  <w:pPr>
                    <w:keepNext w:val="0"/>
                    <w:keepLines w:val="0"/>
                    <w:suppressLineNumbers w:val="0"/>
                    <w:spacing w:before="0" w:beforeAutospacing="0" w:after="0" w:afterAutospacing="0"/>
                    <w:ind w:left="0" w:right="0"/>
                    <w:jc w:val="left"/>
                    <w:rPr>
                      <w:rFonts w:hint="default"/>
                      <w:color w:val="auto"/>
                      <w:szCs w:val="21"/>
                    </w:rPr>
                  </w:pPr>
                  <w:r>
                    <w:rPr>
                      <w:rFonts w:hint="eastAsia" w:ascii="宋体" w:hAnsi="宋体" w:cs="宋体"/>
                      <w:color w:val="auto"/>
                      <w:szCs w:val="21"/>
                    </w:rPr>
                    <w:t>①</w:t>
                  </w:r>
                  <w:r>
                    <w:rPr>
                      <w:rFonts w:hint="default"/>
                      <w:color w:val="auto"/>
                      <w:szCs w:val="21"/>
                    </w:rPr>
                    <w:t>油品挥发，造成大气污染；</w:t>
                  </w:r>
                </w:p>
                <w:p w14:paraId="2BDA559F">
                  <w:pPr>
                    <w:keepNext w:val="0"/>
                    <w:keepLines w:val="0"/>
                    <w:suppressLineNumbers w:val="0"/>
                    <w:spacing w:before="0" w:beforeAutospacing="0" w:after="0" w:afterAutospacing="0"/>
                    <w:ind w:left="0" w:right="0"/>
                    <w:jc w:val="left"/>
                    <w:rPr>
                      <w:rFonts w:hint="default"/>
                      <w:color w:val="auto"/>
                      <w:szCs w:val="21"/>
                    </w:rPr>
                  </w:pPr>
                  <w:r>
                    <w:rPr>
                      <w:rFonts w:hint="eastAsia" w:ascii="宋体" w:hAnsi="宋体" w:cs="宋体"/>
                      <w:color w:val="auto"/>
                      <w:szCs w:val="21"/>
                    </w:rPr>
                    <w:t>②</w:t>
                  </w:r>
                  <w:r>
                    <w:rPr>
                      <w:rFonts w:hint="default"/>
                      <w:color w:val="auto"/>
                      <w:szCs w:val="21"/>
                    </w:rPr>
                    <w:t>原油流出厂界，使土壤板结，通透性变差，不利于植物生长；</w:t>
                  </w:r>
                </w:p>
                <w:p w14:paraId="308957EF">
                  <w:pPr>
                    <w:keepNext w:val="0"/>
                    <w:keepLines w:val="0"/>
                    <w:suppressLineNumbers w:val="0"/>
                    <w:spacing w:before="0" w:beforeAutospacing="0" w:after="0" w:afterAutospacing="0"/>
                    <w:ind w:left="0" w:right="0"/>
                    <w:jc w:val="left"/>
                    <w:rPr>
                      <w:rFonts w:hint="default"/>
                      <w:color w:val="auto"/>
                      <w:szCs w:val="21"/>
                    </w:rPr>
                  </w:pPr>
                  <w:r>
                    <w:rPr>
                      <w:rFonts w:hint="eastAsia" w:ascii="宋体" w:hAnsi="宋体" w:cs="宋体"/>
                      <w:color w:val="auto"/>
                      <w:szCs w:val="21"/>
                    </w:rPr>
                    <w:t>③</w:t>
                  </w:r>
                  <w:r>
                    <w:rPr>
                      <w:rFonts w:hint="default"/>
                      <w:color w:val="auto"/>
                      <w:szCs w:val="21"/>
                    </w:rPr>
                    <w:t>进入地下水层，污染地下水水质</w:t>
                  </w:r>
                </w:p>
              </w:tc>
              <w:tc>
                <w:tcPr>
                  <w:tcW w:w="876" w:type="pct"/>
                  <w:noWrap w:val="0"/>
                  <w:vAlign w:val="center"/>
                </w:tcPr>
                <w:p w14:paraId="6D9B90DA">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周围大气环境、土壤、地下水</w:t>
                  </w:r>
                </w:p>
              </w:tc>
            </w:tr>
          </w:tbl>
          <w:p w14:paraId="69512B1D">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eastAsia" w:ascii="宋体" w:hAnsi="宋体"/>
                <w:color w:val="auto"/>
                <w:sz w:val="24"/>
                <w:szCs w:val="32"/>
              </w:rPr>
              <w:t>②</w:t>
            </w:r>
            <w:r>
              <w:rPr>
                <w:rFonts w:hint="eastAsia"/>
                <w:color w:val="auto"/>
                <w:sz w:val="24"/>
                <w:szCs w:val="32"/>
              </w:rPr>
              <w:t>风险事故类比调查</w:t>
            </w:r>
          </w:p>
          <w:p w14:paraId="7AB5A707">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eastAsia"/>
                <w:color w:val="auto"/>
                <w:sz w:val="24"/>
                <w:szCs w:val="32"/>
              </w:rPr>
              <w:t>因地层的复杂多变性，钻井过程中存在井喷事故发生的可能性，但油气田已发生的井喷事故多发生在油气田勘探开发初期，随着对地层和地质状况的不断深入了解，加之防喷技术的提高，目前油气田勘探开发过程中井喷事故的发生概率在不断降低。通过对巴彦油田现有勘探井数据分析，压力分布规律及控制措施已基本掌握，</w:t>
            </w:r>
            <w:r>
              <w:rPr>
                <w:rFonts w:hint="eastAsia"/>
                <w:color w:val="auto"/>
                <w:sz w:val="24"/>
                <w:szCs w:val="32"/>
                <w:lang w:eastAsia="zh-CN"/>
              </w:rPr>
              <w:t>本工程</w:t>
            </w:r>
            <w:r>
              <w:rPr>
                <w:rFonts w:hint="eastAsia"/>
                <w:color w:val="auto"/>
                <w:sz w:val="24"/>
                <w:szCs w:val="32"/>
              </w:rPr>
              <w:t>勘探井发生井喷的概率极低，即使发生井喷事故，压井措施也比较容易成功。</w:t>
            </w:r>
          </w:p>
          <w:p w14:paraId="2076D794">
            <w:pPr>
              <w:keepNext w:val="0"/>
              <w:keepLines w:val="0"/>
              <w:suppressLineNumbers w:val="0"/>
              <w:spacing w:before="0" w:beforeAutospacing="0" w:after="0" w:afterAutospacing="0" w:line="360" w:lineRule="auto"/>
              <w:ind w:left="0" w:right="0" w:firstLine="480" w:firstLineChars="200"/>
              <w:jc w:val="left"/>
              <w:rPr>
                <w:rFonts w:hint="default"/>
                <w:b/>
                <w:color w:val="auto"/>
                <w:sz w:val="30"/>
                <w:szCs w:val="30"/>
              </w:rPr>
            </w:pPr>
            <w:r>
              <w:rPr>
                <w:rFonts w:hint="default"/>
                <w:color w:val="auto"/>
                <w:sz w:val="24"/>
                <w:szCs w:val="32"/>
              </w:rPr>
              <w:t>据不完全统计，中国在油气勘探开发的40年间，累计发生井喷失控事故230次，占完井总数的2.41‰，其中，井喷失控着火78次，占井喷失控总数的34%，因此，井喷失控的事故率约为0.603×10</w:t>
            </w:r>
            <w:r>
              <w:rPr>
                <w:rFonts w:hint="default"/>
                <w:color w:val="auto"/>
                <w:sz w:val="24"/>
                <w:szCs w:val="32"/>
                <w:highlight w:val="none"/>
                <w:vertAlign w:val="superscript"/>
              </w:rPr>
              <w:t>-</w:t>
            </w:r>
            <w:r>
              <w:rPr>
                <w:rFonts w:hint="default"/>
                <w:color w:val="auto"/>
                <w:sz w:val="24"/>
                <w:szCs w:val="32"/>
                <w:vertAlign w:val="superscript"/>
              </w:rPr>
              <w:t>4</w:t>
            </w:r>
            <w:r>
              <w:rPr>
                <w:rFonts w:hint="default"/>
                <w:color w:val="auto"/>
                <w:sz w:val="24"/>
                <w:szCs w:val="32"/>
              </w:rPr>
              <w:t>次/年，其中井喷失控着火的事故率约为0.203×10</w:t>
            </w:r>
            <w:r>
              <w:rPr>
                <w:rFonts w:hint="default"/>
                <w:color w:val="auto"/>
                <w:sz w:val="24"/>
                <w:szCs w:val="32"/>
                <w:highlight w:val="none"/>
                <w:vertAlign w:val="superscript"/>
              </w:rPr>
              <w:t>-</w:t>
            </w:r>
            <w:r>
              <w:rPr>
                <w:rFonts w:hint="default"/>
                <w:color w:val="auto"/>
                <w:sz w:val="24"/>
                <w:szCs w:val="32"/>
                <w:vertAlign w:val="superscript"/>
              </w:rPr>
              <w:t>4</w:t>
            </w:r>
            <w:r>
              <w:rPr>
                <w:rFonts w:hint="default"/>
                <w:color w:val="auto"/>
                <w:sz w:val="24"/>
                <w:szCs w:val="32"/>
              </w:rPr>
              <w:t>次/年，未着火的事故率约为0.4×10</w:t>
            </w:r>
            <w:r>
              <w:rPr>
                <w:rFonts w:hint="default"/>
                <w:color w:val="auto"/>
                <w:sz w:val="24"/>
                <w:szCs w:val="32"/>
                <w:highlight w:val="none"/>
                <w:vertAlign w:val="superscript"/>
              </w:rPr>
              <w:t>-</w:t>
            </w:r>
            <w:r>
              <w:rPr>
                <w:rFonts w:hint="default"/>
                <w:color w:val="auto"/>
                <w:sz w:val="24"/>
                <w:szCs w:val="32"/>
                <w:vertAlign w:val="superscript"/>
              </w:rPr>
              <w:t>4</w:t>
            </w:r>
            <w:r>
              <w:rPr>
                <w:rFonts w:hint="default"/>
                <w:color w:val="auto"/>
                <w:sz w:val="24"/>
                <w:szCs w:val="32"/>
              </w:rPr>
              <w:t>次/年。</w:t>
            </w:r>
          </w:p>
          <w:p w14:paraId="4E50E580">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eastAsia"/>
                <w:color w:val="auto"/>
                <w:sz w:val="24"/>
                <w:szCs w:val="32"/>
              </w:rPr>
              <w:t>根据钻井期工艺特点，可能造成潜在环境风险的主要环节包括：钻井、起下钻、下套管、固井、测井和试油作业等，在整个钻井过程中可能发生的事故以井喷后果最为严重，井喷失控易酿成火灾、爆炸事故，造成人员伤亡、设备损坏、油井报废和自然环境的污染。</w:t>
            </w:r>
          </w:p>
          <w:p w14:paraId="030450DE">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default"/>
                <w:color w:val="auto"/>
                <w:sz w:val="24"/>
                <w:szCs w:val="32"/>
              </w:rPr>
              <w:t>（3）环境影响途径及危害程度</w:t>
            </w:r>
          </w:p>
          <w:p w14:paraId="0682FD1A">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eastAsia" w:ascii="宋体" w:hAnsi="宋体" w:cs="宋体"/>
                <w:color w:val="auto"/>
                <w:sz w:val="24"/>
                <w:szCs w:val="32"/>
              </w:rPr>
              <w:t>①</w:t>
            </w:r>
            <w:r>
              <w:rPr>
                <w:rFonts w:hint="default"/>
                <w:color w:val="auto"/>
                <w:sz w:val="24"/>
                <w:szCs w:val="32"/>
              </w:rPr>
              <w:t>随空气扩散</w:t>
            </w:r>
          </w:p>
          <w:p w14:paraId="0411B503">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default"/>
                <w:color w:val="auto"/>
                <w:sz w:val="24"/>
                <w:szCs w:val="32"/>
              </w:rPr>
              <w:t>工程环境风险事故中随空气扩散的物质主要是火灾爆炸烟气中的SO</w:t>
            </w:r>
            <w:r>
              <w:rPr>
                <w:rFonts w:hint="default"/>
                <w:color w:val="auto"/>
                <w:sz w:val="24"/>
                <w:szCs w:val="32"/>
                <w:vertAlign w:val="subscript"/>
              </w:rPr>
              <w:t>2</w:t>
            </w:r>
            <w:r>
              <w:rPr>
                <w:rFonts w:hint="default"/>
                <w:color w:val="auto"/>
                <w:sz w:val="24"/>
                <w:szCs w:val="32"/>
              </w:rPr>
              <w:t>、CO、轻烃等物质以及泄漏事故中挥发大空气中的烃类物质。其中挥发的烃类物质扩散范围较近，只影响泄漏点附近范围；而火灾爆炸烟气中的 SO</w:t>
            </w:r>
            <w:r>
              <w:rPr>
                <w:rFonts w:hint="default"/>
                <w:color w:val="auto"/>
                <w:sz w:val="24"/>
                <w:szCs w:val="32"/>
                <w:vertAlign w:val="subscript"/>
              </w:rPr>
              <w:t>2</w:t>
            </w:r>
            <w:r>
              <w:rPr>
                <w:rFonts w:hint="default"/>
                <w:color w:val="auto"/>
                <w:sz w:val="24"/>
                <w:szCs w:val="32"/>
              </w:rPr>
              <w:t>、NOx、CO、</w:t>
            </w:r>
            <w:r>
              <w:rPr>
                <w:rFonts w:hint="eastAsia"/>
                <w:color w:val="auto"/>
                <w:sz w:val="24"/>
                <w:szCs w:val="32"/>
                <w:lang w:eastAsia="zh-CN"/>
              </w:rPr>
              <w:t>颗粒物</w:t>
            </w:r>
            <w:r>
              <w:rPr>
                <w:rFonts w:hint="default"/>
                <w:color w:val="auto"/>
                <w:sz w:val="24"/>
                <w:szCs w:val="32"/>
              </w:rPr>
              <w:t>等物质则受烟气排量大的影响，扩散范围较远，一般可随空气流通扩散至几公里甚至更远的范围，将会严重影响周边区域环境空气质量。</w:t>
            </w:r>
          </w:p>
          <w:p w14:paraId="434C59BB">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eastAsia" w:ascii="宋体" w:hAnsi="宋体" w:cs="宋体"/>
                <w:color w:val="auto"/>
                <w:sz w:val="24"/>
                <w:szCs w:val="32"/>
              </w:rPr>
              <w:t>②</w:t>
            </w:r>
            <w:r>
              <w:rPr>
                <w:rFonts w:hint="default"/>
                <w:color w:val="auto"/>
                <w:sz w:val="24"/>
                <w:szCs w:val="32"/>
              </w:rPr>
              <w:t>随河流水体扩散</w:t>
            </w:r>
          </w:p>
          <w:p w14:paraId="79E4BAC2">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default"/>
                <w:color w:val="auto"/>
                <w:sz w:val="24"/>
                <w:szCs w:val="32"/>
              </w:rPr>
              <w:t>一旦发生井喷、油品泄漏等事故，喷出或泄漏出的油品如果未及时清理可能进入附近地表水体，对河流水质造成污染。</w:t>
            </w:r>
            <w:r>
              <w:rPr>
                <w:rFonts w:hint="eastAsia"/>
                <w:color w:val="auto"/>
                <w:sz w:val="24"/>
                <w:szCs w:val="32"/>
                <w:lang w:eastAsia="zh-CN"/>
              </w:rPr>
              <w:t>本工程</w:t>
            </w:r>
            <w:r>
              <w:rPr>
                <w:rFonts w:hint="default"/>
                <w:color w:val="auto"/>
                <w:sz w:val="24"/>
                <w:szCs w:val="32"/>
              </w:rPr>
              <w:t>距离</w:t>
            </w:r>
            <w:r>
              <w:rPr>
                <w:rFonts w:hint="eastAsia"/>
                <w:color w:val="auto"/>
                <w:sz w:val="24"/>
                <w:szCs w:val="32"/>
              </w:rPr>
              <w:t>地表水体</w:t>
            </w:r>
            <w:r>
              <w:rPr>
                <w:rFonts w:hint="default"/>
                <w:color w:val="auto"/>
                <w:sz w:val="24"/>
                <w:szCs w:val="32"/>
              </w:rPr>
              <w:t>较远，不会对地表水环境产生影响。</w:t>
            </w:r>
          </w:p>
          <w:p w14:paraId="0D7E87D6">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eastAsia" w:ascii="宋体" w:hAnsi="宋体" w:cs="宋体"/>
                <w:color w:val="auto"/>
                <w:sz w:val="24"/>
                <w:szCs w:val="32"/>
              </w:rPr>
              <w:t>③</w:t>
            </w:r>
            <w:r>
              <w:rPr>
                <w:rFonts w:hint="default"/>
                <w:color w:val="auto"/>
                <w:sz w:val="24"/>
                <w:szCs w:val="32"/>
              </w:rPr>
              <w:t>进入地下水</w:t>
            </w:r>
          </w:p>
          <w:p w14:paraId="57C91E31">
            <w:pPr>
              <w:keepNext w:val="0"/>
              <w:keepLines w:val="0"/>
              <w:suppressLineNumbers w:val="0"/>
              <w:spacing w:before="0" w:beforeAutospacing="0" w:after="0" w:afterAutospacing="0" w:line="360" w:lineRule="auto"/>
              <w:ind w:left="0" w:right="0" w:firstLine="480" w:firstLineChars="200"/>
              <w:rPr>
                <w:rFonts w:hint="eastAsia" w:eastAsia="宋体"/>
                <w:color w:val="auto"/>
                <w:sz w:val="24"/>
                <w:szCs w:val="32"/>
                <w:lang w:eastAsia="zh-CN"/>
              </w:rPr>
            </w:pPr>
            <w:r>
              <w:rPr>
                <w:rFonts w:hint="default"/>
                <w:color w:val="auto"/>
                <w:sz w:val="24"/>
                <w:szCs w:val="32"/>
              </w:rPr>
              <w:t>进入地下水扩散传播的主要是事故状态下泄漏的油品，他们当中含有的石油类等有害物质会直接进入受污染区域的土壤，在地下水位埋深浅的区域还可能通过土壤渗透到地下水环境，进而可能造成区域的地下水环境污染。</w:t>
            </w:r>
            <w:r>
              <w:rPr>
                <w:rFonts w:hint="eastAsia"/>
                <w:color w:val="auto"/>
                <w:sz w:val="24"/>
                <w:szCs w:val="32"/>
                <w:lang w:eastAsia="zh-CN"/>
              </w:rPr>
              <w:t>通过本工程对井场采取分区防渗措施，不会对地下水造成影响。</w:t>
            </w:r>
          </w:p>
          <w:p w14:paraId="00DD7EF3">
            <w:pPr>
              <w:keepNext w:val="0"/>
              <w:keepLines w:val="0"/>
              <w:suppressLineNumbers w:val="0"/>
              <w:spacing w:before="0" w:beforeAutospacing="0" w:after="0" w:afterAutospacing="0" w:line="360" w:lineRule="auto"/>
              <w:ind w:left="0" w:right="0" w:firstLine="482" w:firstLineChars="200"/>
              <w:rPr>
                <w:rFonts w:hint="default"/>
                <w:b/>
                <w:color w:val="auto"/>
                <w:sz w:val="24"/>
                <w:szCs w:val="32"/>
              </w:rPr>
            </w:pPr>
            <w:r>
              <w:rPr>
                <w:rFonts w:hint="eastAsia"/>
                <w:b/>
                <w:color w:val="auto"/>
                <w:sz w:val="24"/>
                <w:szCs w:val="32"/>
              </w:rPr>
              <w:t>2</w:t>
            </w:r>
            <w:r>
              <w:rPr>
                <w:rFonts w:hint="default"/>
                <w:b/>
                <w:color w:val="auto"/>
                <w:sz w:val="24"/>
                <w:szCs w:val="32"/>
              </w:rPr>
              <w:t>、环境风险分析</w:t>
            </w:r>
          </w:p>
          <w:p w14:paraId="78CF57C2">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default"/>
                <w:color w:val="auto"/>
                <w:sz w:val="24"/>
                <w:szCs w:val="32"/>
              </w:rPr>
              <w:t>（1）环境空气风险分析</w:t>
            </w:r>
          </w:p>
          <w:p w14:paraId="2716FAB5">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eastAsia"/>
                <w:color w:val="auto"/>
                <w:sz w:val="24"/>
                <w:szCs w:val="32"/>
                <w:lang w:eastAsia="zh-CN"/>
              </w:rPr>
              <w:t>本工程</w:t>
            </w:r>
            <w:r>
              <w:rPr>
                <w:rFonts w:hint="eastAsia"/>
                <w:color w:val="auto"/>
                <w:sz w:val="24"/>
                <w:szCs w:val="32"/>
              </w:rPr>
              <w:t>对大气环境造成影响的风险事故主要为井喷、柴油罐、采出液储罐以及管线泄漏事故。</w:t>
            </w:r>
          </w:p>
          <w:p w14:paraId="72C3F47B">
            <w:pPr>
              <w:keepNext w:val="0"/>
              <w:keepLines w:val="0"/>
              <w:suppressLineNumbers w:val="0"/>
              <w:spacing w:before="0" w:beforeAutospacing="0" w:after="0" w:afterAutospacing="0" w:line="360" w:lineRule="auto"/>
              <w:ind w:left="0" w:right="0" w:firstLine="480" w:firstLineChars="200"/>
              <w:rPr>
                <w:rFonts w:hint="eastAsia"/>
                <w:color w:val="auto"/>
                <w:sz w:val="24"/>
                <w:szCs w:val="32"/>
              </w:rPr>
            </w:pPr>
            <w:r>
              <w:rPr>
                <w:rFonts w:hint="eastAsia" w:ascii="宋体" w:hAnsi="宋体" w:cs="宋体"/>
                <w:color w:val="auto"/>
                <w:sz w:val="24"/>
                <w:szCs w:val="32"/>
              </w:rPr>
              <w:t>①</w:t>
            </w:r>
            <w:r>
              <w:rPr>
                <w:rFonts w:hint="eastAsia"/>
                <w:color w:val="auto"/>
                <w:sz w:val="24"/>
                <w:szCs w:val="32"/>
              </w:rPr>
              <w:t>井喷事故</w:t>
            </w:r>
          </w:p>
          <w:p w14:paraId="4BD95AF4">
            <w:pPr>
              <w:keepNext w:val="0"/>
              <w:keepLines w:val="0"/>
              <w:suppressLineNumbers w:val="0"/>
              <w:spacing w:before="0" w:beforeAutospacing="0" w:after="0" w:afterAutospacing="0" w:line="360" w:lineRule="auto"/>
              <w:ind w:left="0" w:right="0" w:firstLine="480" w:firstLineChars="200"/>
              <w:rPr>
                <w:rFonts w:hint="eastAsia"/>
                <w:color w:val="auto"/>
                <w:sz w:val="24"/>
                <w:szCs w:val="32"/>
              </w:rPr>
            </w:pPr>
            <w:r>
              <w:rPr>
                <w:rFonts w:hint="eastAsia"/>
                <w:color w:val="auto"/>
                <w:sz w:val="24"/>
                <w:szCs w:val="32"/>
                <w:lang w:eastAsia="zh-CN"/>
              </w:rPr>
              <w:t>本工程试油期只有</w:t>
            </w:r>
            <w:r>
              <w:rPr>
                <w:rFonts w:hint="eastAsia"/>
                <w:color w:val="auto"/>
                <w:sz w:val="24"/>
                <w:szCs w:val="32"/>
                <w:lang w:val="en-US" w:eastAsia="zh-CN"/>
              </w:rPr>
              <w:t>7天，发生井喷的概率为0。</w:t>
            </w:r>
            <w:r>
              <w:rPr>
                <w:rFonts w:hint="eastAsia"/>
                <w:color w:val="auto"/>
                <w:sz w:val="24"/>
                <w:szCs w:val="32"/>
              </w:rPr>
              <w:t>井喷失控事故对大气环境造成的影响较大。其主要成分是</w:t>
            </w:r>
            <w:r>
              <w:rPr>
                <w:rFonts w:hint="eastAsia"/>
                <w:color w:val="auto"/>
                <w:sz w:val="24"/>
                <w:szCs w:val="32"/>
                <w:lang w:eastAsia="zh-CN"/>
              </w:rPr>
              <w:t>烃类</w:t>
            </w:r>
            <w:r>
              <w:rPr>
                <w:rFonts w:hint="eastAsia"/>
                <w:color w:val="auto"/>
                <w:sz w:val="24"/>
                <w:szCs w:val="32"/>
              </w:rPr>
              <w:t>，其中，对大气环境可造成污染的是其中较轻的</w:t>
            </w:r>
            <w:r>
              <w:rPr>
                <w:rFonts w:hint="eastAsia"/>
                <w:color w:val="auto"/>
                <w:sz w:val="24"/>
                <w:szCs w:val="32"/>
                <w:lang w:eastAsia="zh-CN"/>
              </w:rPr>
              <w:t>烷烃</w:t>
            </w:r>
            <w:r>
              <w:rPr>
                <w:rFonts w:hint="eastAsia"/>
                <w:color w:val="auto"/>
                <w:sz w:val="24"/>
                <w:szCs w:val="32"/>
              </w:rPr>
              <w:t>组分，这些成分挥发进入大气形成烃类污染。若泄漏得不到及时处理，则烃类挥发时间持续较长，形成的污染就较严重。如果一次事故泄漏量过多，覆盖面较大，在未能及时回收、气象因子适宜的条件下，便可形成较重的局部大气污染，这时，大气中总烃的浓度可比正常情况高出数倍甚至更多。泄漏后如果发生火灾，则燃烧形成的黑烟造成较重的大气污染。根据对相似油田和华北油田历史上发生的井喷事故的调查，一旦发生井喷事故，污染范围通常在100</w:t>
            </w:r>
            <w:r>
              <w:rPr>
                <w:rFonts w:hint="eastAsia"/>
                <w:color w:val="auto"/>
                <w:sz w:val="24"/>
                <w:szCs w:val="32"/>
                <w:lang w:eastAsia="zh-CN"/>
              </w:rPr>
              <w:t>～</w:t>
            </w:r>
            <w:r>
              <w:rPr>
                <w:rFonts w:hint="eastAsia"/>
                <w:color w:val="auto"/>
                <w:sz w:val="24"/>
                <w:szCs w:val="32"/>
              </w:rPr>
              <w:t>200m范围内。</w:t>
            </w:r>
          </w:p>
          <w:p w14:paraId="6DD8DE89">
            <w:pPr>
              <w:keepNext w:val="0"/>
              <w:keepLines w:val="0"/>
              <w:suppressLineNumbers w:val="0"/>
              <w:spacing w:before="0" w:beforeAutospacing="0" w:after="0" w:afterAutospacing="0" w:line="360" w:lineRule="auto"/>
              <w:ind w:left="0" w:right="0" w:firstLine="480" w:firstLineChars="200"/>
              <w:rPr>
                <w:rFonts w:hint="eastAsia"/>
                <w:color w:val="auto"/>
                <w:sz w:val="24"/>
                <w:szCs w:val="32"/>
              </w:rPr>
            </w:pPr>
            <w:r>
              <w:rPr>
                <w:rFonts w:hint="eastAsia"/>
                <w:color w:val="auto"/>
                <w:sz w:val="24"/>
                <w:szCs w:val="32"/>
              </w:rPr>
              <w:t>造成井喷必须有三个基本条件：要有连通性好的地层；要有石油、气、水的存在；要有一定的能量（地层压力）。</w:t>
            </w:r>
            <w:r>
              <w:rPr>
                <w:rFonts w:hint="eastAsia"/>
                <w:color w:val="auto"/>
                <w:sz w:val="24"/>
                <w:szCs w:val="32"/>
                <w:lang w:eastAsia="zh-CN"/>
              </w:rPr>
              <w:t>本工程</w:t>
            </w:r>
            <w:r>
              <w:rPr>
                <w:rFonts w:hint="eastAsia"/>
                <w:color w:val="auto"/>
                <w:sz w:val="24"/>
                <w:szCs w:val="32"/>
              </w:rPr>
              <w:t>钻井时根据地层压力特征采取了对应的防喷措施，在按照钻井安全环保控制措施施工条件下井喷事故的发生频率很小。</w:t>
            </w:r>
          </w:p>
          <w:p w14:paraId="3F88B34A">
            <w:pPr>
              <w:keepNext w:val="0"/>
              <w:keepLines w:val="0"/>
              <w:suppressLineNumbers w:val="0"/>
              <w:spacing w:before="0" w:beforeAutospacing="0" w:after="0" w:afterAutospacing="0" w:line="360" w:lineRule="auto"/>
              <w:ind w:left="0" w:right="0" w:firstLine="480" w:firstLineChars="200"/>
              <w:rPr>
                <w:rFonts w:hint="eastAsia"/>
                <w:color w:val="auto"/>
                <w:sz w:val="24"/>
                <w:szCs w:val="32"/>
              </w:rPr>
            </w:pPr>
            <w:r>
              <w:rPr>
                <w:rFonts w:hint="eastAsia" w:ascii="宋体" w:hAnsi="宋体"/>
                <w:color w:val="auto"/>
                <w:sz w:val="24"/>
                <w:szCs w:val="32"/>
              </w:rPr>
              <w:t>②</w:t>
            </w:r>
            <w:r>
              <w:rPr>
                <w:rFonts w:hint="eastAsia" w:ascii="宋体" w:hAnsi="宋体"/>
                <w:color w:val="auto"/>
                <w:sz w:val="24"/>
                <w:szCs w:val="32"/>
                <w:lang w:eastAsia="zh-CN"/>
              </w:rPr>
              <w:t>废机油、</w:t>
            </w:r>
            <w:r>
              <w:rPr>
                <w:rFonts w:hint="eastAsia"/>
                <w:color w:val="auto"/>
                <w:sz w:val="24"/>
                <w:szCs w:val="32"/>
              </w:rPr>
              <w:t>柴油罐、采出液储罐以及管线泄漏事故影响分析</w:t>
            </w:r>
          </w:p>
          <w:p w14:paraId="028D2D10">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eastAsia"/>
                <w:color w:val="auto"/>
                <w:sz w:val="24"/>
                <w:szCs w:val="32"/>
              </w:rPr>
              <w:t>风险影响主要是</w:t>
            </w:r>
            <w:r>
              <w:rPr>
                <w:rFonts w:hint="eastAsia"/>
                <w:color w:val="auto"/>
                <w:sz w:val="24"/>
                <w:szCs w:val="32"/>
                <w:lang w:eastAsia="zh-CN"/>
              </w:rPr>
              <w:t>危废暂存间废机油、</w:t>
            </w:r>
            <w:r>
              <w:rPr>
                <w:rFonts w:hint="eastAsia"/>
                <w:color w:val="auto"/>
                <w:sz w:val="24"/>
                <w:szCs w:val="32"/>
              </w:rPr>
              <w:t>轻柴油罐、采出液储罐和采出液输送管线泄漏以及泄漏后产生的次生灾害火灾爆炸。废机油密闭暂存于危废</w:t>
            </w:r>
            <w:r>
              <w:rPr>
                <w:rFonts w:hint="eastAsia"/>
                <w:color w:val="auto"/>
                <w:sz w:val="24"/>
              </w:rPr>
              <w:t>暂存间</w:t>
            </w:r>
            <w:r>
              <w:rPr>
                <w:rFonts w:hint="eastAsia"/>
                <w:color w:val="auto"/>
                <w:sz w:val="24"/>
                <w:szCs w:val="32"/>
              </w:rPr>
              <w:t>，储罐密闭，由于罐体和管线破裂导致轻柴油/采出液大量泄漏的概率很小，一般情况管道阀门泄漏，少量跑冒漏滴均收集围堰内，对事故现场空气环境产生影响较小，局部大气中烃类浓度可能高出正常情况。若遇明火引发的火灾事故或爆炸时产生的次生污染物CO等，不完全燃烧伴生的CO产生时间短、产生量较小，扩散进入大气后环境中的有害气体浓度较低且持续时间不长，不会产生较大的急性中毒事件，对环境影响较小。</w:t>
            </w:r>
          </w:p>
          <w:p w14:paraId="2C572AE6">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default"/>
                <w:color w:val="auto"/>
                <w:sz w:val="24"/>
                <w:szCs w:val="32"/>
              </w:rPr>
              <w:t>（2）地表水环境风险分析</w:t>
            </w:r>
          </w:p>
          <w:p w14:paraId="4FD14274">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eastAsia"/>
                <w:color w:val="auto"/>
                <w:sz w:val="24"/>
                <w:szCs w:val="32"/>
                <w:lang w:eastAsia="zh-CN"/>
              </w:rPr>
              <w:t>距离本项目井场最近为南侧的团结支渠，距离为</w:t>
            </w:r>
            <w:r>
              <w:rPr>
                <w:rFonts w:hint="eastAsia"/>
                <w:color w:val="auto"/>
                <w:sz w:val="24"/>
                <w:szCs w:val="32"/>
                <w:lang w:val="en-US" w:eastAsia="zh-CN"/>
              </w:rPr>
              <w:t>850m，</w:t>
            </w:r>
            <w:r>
              <w:rPr>
                <w:rFonts w:hint="eastAsia"/>
                <w:color w:val="auto"/>
                <w:sz w:val="24"/>
                <w:szCs w:val="32"/>
                <w:lang w:eastAsia="zh-CN"/>
              </w:rPr>
              <w:t>自东向西流</w:t>
            </w:r>
            <w:r>
              <w:rPr>
                <w:rFonts w:hint="eastAsia"/>
                <w:color w:val="auto"/>
                <w:sz w:val="24"/>
                <w:szCs w:val="32"/>
                <w:lang w:val="en-US" w:eastAsia="zh-CN"/>
              </w:rPr>
              <w:t>。</w:t>
            </w:r>
            <w:r>
              <w:rPr>
                <w:rFonts w:hint="eastAsia"/>
                <w:color w:val="auto"/>
                <w:sz w:val="24"/>
                <w:szCs w:val="32"/>
              </w:rPr>
              <w:t>泄漏事故状态对地表水的影响一般有两种途径，一种是泄漏的油品直接进入水体，另一种是原油或含油污水泄漏于地表由降雨形成的地表径流将落地油或受污染的土壤带入水体。</w:t>
            </w:r>
          </w:p>
          <w:p w14:paraId="3F92AC54">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eastAsia"/>
                <w:color w:val="auto"/>
                <w:sz w:val="24"/>
                <w:szCs w:val="32"/>
              </w:rPr>
              <w:t>一旦发生井喷事故或集油管道破裂事故，会造成大量的原油外泄，泄漏于地表的原油，若不能及时回收，可能在降雨过程中随地表径流进入地表水体造成污染。而直接发生于河流跨越段的原油泄漏则会对地表水体造成直接的污染。</w:t>
            </w:r>
          </w:p>
          <w:p w14:paraId="34CCCBC7">
            <w:pPr>
              <w:keepNext w:val="0"/>
              <w:keepLines w:val="0"/>
              <w:suppressLineNumbers w:val="0"/>
              <w:spacing w:before="0" w:beforeAutospacing="0" w:after="0" w:afterAutospacing="0" w:line="360" w:lineRule="auto"/>
              <w:ind w:left="0" w:right="0" w:firstLine="480" w:firstLineChars="200"/>
              <w:rPr>
                <w:rFonts w:hint="eastAsia"/>
                <w:color w:val="auto"/>
                <w:sz w:val="24"/>
                <w:szCs w:val="32"/>
              </w:rPr>
            </w:pPr>
            <w:r>
              <w:rPr>
                <w:rFonts w:hint="eastAsia"/>
                <w:color w:val="auto"/>
                <w:sz w:val="24"/>
                <w:szCs w:val="32"/>
              </w:rPr>
              <w:t>一旦泄漏原油进入正在流淌的水流中，就会被冲走，扩散到更加广大的区域，进而导致更加严重的后果，对其下游产生大面积的油膜污染。随着时间的推移，水体中石油类污染物浓度逐渐下降，表面油膜因挥发、岸边滞油、吸附沉降和生物降解等作用有少量减少，但大部分原油仍以油膜形式向下游迁移，对其下游产生潜在的污染影响风险。如果截流动作迟缓，控制不当，容易引发次生事故。对地表水中的水生生物而言，覆盖于水面上的油膜将对浮游生物造成致命伤害，由于油膜阻断了向水体充氧可使鱼类死亡，油膜若</w:t>
            </w:r>
            <w:r>
              <w:rPr>
                <w:rFonts w:hint="eastAsia"/>
                <w:color w:val="auto"/>
                <w:sz w:val="24"/>
                <w:szCs w:val="32"/>
                <w:lang w:eastAsia="zh-CN"/>
              </w:rPr>
              <w:t>黏结鱼鳃</w:t>
            </w:r>
            <w:r>
              <w:rPr>
                <w:rFonts w:hint="eastAsia"/>
                <w:color w:val="auto"/>
                <w:sz w:val="24"/>
                <w:szCs w:val="32"/>
              </w:rPr>
              <w:t>将使鱼窒息而死。此外，在缺氧条件下大量厌氧微生物迅速繁殖，将严重影响地表水的功能。</w:t>
            </w:r>
          </w:p>
          <w:p w14:paraId="289736BA">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default"/>
                <w:color w:val="auto"/>
                <w:sz w:val="24"/>
                <w:szCs w:val="32"/>
              </w:rPr>
              <w:t>（3）地下水环境风险分析</w:t>
            </w:r>
          </w:p>
          <w:p w14:paraId="4A86AE2B">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default"/>
                <w:color w:val="auto"/>
                <w:sz w:val="24"/>
                <w:szCs w:val="32"/>
              </w:rPr>
              <w:t>井漏事故对地下水的污染是指在钻井过程中，钻井废水、泥浆漏失于地下水含水层中，造成地下含水层水质污染。就钻井源漏失而言，发生在局部且持续时间较短。</w:t>
            </w:r>
          </w:p>
          <w:p w14:paraId="59D46DFB">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eastAsia"/>
                <w:color w:val="auto"/>
                <w:sz w:val="24"/>
                <w:szCs w:val="32"/>
                <w:lang w:eastAsia="zh-CN"/>
              </w:rPr>
              <w:t>本工程</w:t>
            </w:r>
            <w:r>
              <w:rPr>
                <w:rFonts w:hint="default"/>
                <w:color w:val="auto"/>
                <w:sz w:val="24"/>
                <w:szCs w:val="32"/>
              </w:rPr>
              <w:t>一开钻井泥浆主要成分为膨润土和碳酸钠等，不含有毒有害物质，一开井深为</w:t>
            </w:r>
            <w:r>
              <w:rPr>
                <w:rFonts w:hint="eastAsia"/>
                <w:color w:val="auto"/>
                <w:sz w:val="24"/>
                <w:szCs w:val="32"/>
              </w:rPr>
              <w:t>1</w:t>
            </w:r>
            <w:r>
              <w:rPr>
                <w:rFonts w:hint="default"/>
                <w:color w:val="auto"/>
                <w:sz w:val="24"/>
                <w:szCs w:val="32"/>
              </w:rPr>
              <w:t>6</w:t>
            </w:r>
            <w:r>
              <w:rPr>
                <w:rFonts w:hint="eastAsia"/>
                <w:color w:val="auto"/>
                <w:sz w:val="24"/>
                <w:szCs w:val="32"/>
              </w:rPr>
              <w:t>0</w:t>
            </w:r>
            <w:r>
              <w:rPr>
                <w:rFonts w:hint="default"/>
                <w:color w:val="auto"/>
                <w:sz w:val="24"/>
                <w:szCs w:val="32"/>
              </w:rPr>
              <w:t>0m，基本涵盖了可能具有使用功能的地下水，因此</w:t>
            </w:r>
            <w:r>
              <w:rPr>
                <w:rFonts w:hint="eastAsia"/>
                <w:color w:val="auto"/>
                <w:sz w:val="24"/>
                <w:szCs w:val="32"/>
                <w:lang w:eastAsia="zh-CN"/>
              </w:rPr>
              <w:t>本工程</w:t>
            </w:r>
            <w:r>
              <w:rPr>
                <w:rFonts w:hint="default"/>
                <w:color w:val="auto"/>
                <w:sz w:val="24"/>
                <w:szCs w:val="32"/>
              </w:rPr>
              <w:t>一开钻井过程不会对可能具备使用功能的地下水造成影响。二开施工时，表层套管已完成固井，因此钻井泥浆不会在表层套管范围内漏失，漏失发生在表层套管以下的二开范围内，二开范围内的地层地下水埋深较深，不具备使用功能。</w:t>
            </w:r>
          </w:p>
          <w:p w14:paraId="11EFADE6">
            <w:pPr>
              <w:keepNext w:val="0"/>
              <w:keepLines w:val="0"/>
              <w:suppressLineNumbers w:val="0"/>
              <w:spacing w:before="0" w:beforeAutospacing="0" w:after="0" w:afterAutospacing="0" w:line="360" w:lineRule="auto"/>
              <w:ind w:left="0" w:right="0" w:firstLine="480" w:firstLineChars="200"/>
              <w:rPr>
                <w:rFonts w:hint="eastAsia"/>
                <w:color w:val="auto"/>
                <w:sz w:val="24"/>
                <w:szCs w:val="32"/>
              </w:rPr>
            </w:pPr>
            <w:r>
              <w:rPr>
                <w:rFonts w:hint="default"/>
                <w:color w:val="auto"/>
                <w:sz w:val="24"/>
                <w:szCs w:val="32"/>
              </w:rPr>
              <w:t>井漏主要发生于具有特殊地质结构的油藏区，如具有溶洞、裂隙等不稳定的地层构造区域。在油气资源勘探过程中未发现不稳定地质因素。另外，施工单位针对井漏制定有完善的应对措施，钻井过程中一旦发现异常，施工单位将立即停钻采取添加桥堵剂、打水泥塞等措施，防止井漏事故的发生，可有效减轻井漏对地下水的影响。</w:t>
            </w:r>
          </w:p>
          <w:p w14:paraId="6B5E2BB7">
            <w:pPr>
              <w:keepNext w:val="0"/>
              <w:keepLines w:val="0"/>
              <w:suppressLineNumbers w:val="0"/>
              <w:spacing w:before="0" w:beforeAutospacing="0" w:after="0" w:afterAutospacing="0" w:line="360" w:lineRule="auto"/>
              <w:ind w:left="0" w:right="0" w:firstLine="480" w:firstLineChars="200"/>
              <w:rPr>
                <w:rFonts w:hint="eastAsia"/>
                <w:color w:val="auto"/>
                <w:sz w:val="24"/>
                <w:szCs w:val="32"/>
              </w:rPr>
            </w:pPr>
            <w:r>
              <w:rPr>
                <w:rFonts w:hint="eastAsia"/>
                <w:color w:val="auto"/>
                <w:sz w:val="24"/>
                <w:szCs w:val="32"/>
              </w:rPr>
              <w:t>（4）对生态环境的影响分析</w:t>
            </w:r>
          </w:p>
          <w:p w14:paraId="3FADD81B">
            <w:pPr>
              <w:keepNext w:val="0"/>
              <w:keepLines w:val="0"/>
              <w:suppressLineNumbers w:val="0"/>
              <w:spacing w:before="0" w:beforeAutospacing="0" w:after="0" w:afterAutospacing="0" w:line="360" w:lineRule="auto"/>
              <w:ind w:left="0" w:right="0" w:firstLine="480" w:firstLineChars="200"/>
              <w:rPr>
                <w:rFonts w:hint="eastAsia"/>
                <w:color w:val="auto"/>
                <w:sz w:val="24"/>
                <w:szCs w:val="32"/>
              </w:rPr>
            </w:pPr>
            <w:r>
              <w:rPr>
                <w:rFonts w:hint="eastAsia"/>
                <w:color w:val="auto"/>
                <w:sz w:val="24"/>
                <w:szCs w:val="32"/>
              </w:rPr>
              <w:t>原油和含油污水的事故性泄漏对土壤环境污染显著。</w:t>
            </w:r>
            <w:r>
              <w:rPr>
                <w:rFonts w:hint="eastAsia"/>
                <w:color w:val="auto"/>
                <w:sz w:val="24"/>
                <w:szCs w:val="32"/>
                <w:highlight w:val="none"/>
              </w:rPr>
              <w:t>原油</w:t>
            </w:r>
            <w:r>
              <w:rPr>
                <w:rFonts w:hint="eastAsia"/>
                <w:color w:val="auto"/>
                <w:sz w:val="24"/>
                <w:szCs w:val="32"/>
              </w:rPr>
              <w:t>使生长于地表面的植物破坏和死亡，短期内不能恢复，导致土壤抗蚀能力下降，土地风沙化严重。泄漏原油流入土壤孔隙，降低土壤的通透性和土壤中酶活性，使土壤生物减少。原油集中于土壤表层0~20cm范围内，这便使得根系分布于此深度的植物不能生长。含油污水中的油类也由于土壤吸附作用集中于表层，形成污染。油类对土壤的污染，可造成土壤肥力下降，改变土壤的理化性质，影响土壤正常的结构和能力。</w:t>
            </w:r>
          </w:p>
          <w:p w14:paraId="539B032C">
            <w:pPr>
              <w:keepNext w:val="0"/>
              <w:keepLines w:val="0"/>
              <w:suppressLineNumbers w:val="0"/>
              <w:spacing w:before="0" w:beforeAutospacing="0" w:after="0" w:afterAutospacing="0" w:line="360" w:lineRule="auto"/>
              <w:ind w:left="0" w:right="0" w:firstLine="480" w:firstLineChars="200"/>
              <w:rPr>
                <w:rFonts w:hint="eastAsia"/>
                <w:color w:val="auto"/>
                <w:sz w:val="24"/>
                <w:szCs w:val="32"/>
              </w:rPr>
            </w:pPr>
            <w:r>
              <w:rPr>
                <w:rFonts w:hint="eastAsia"/>
                <w:color w:val="auto"/>
                <w:sz w:val="24"/>
                <w:szCs w:val="32"/>
              </w:rPr>
              <w:t>原油泄漏对生态环境（主要指植物）的影响也较显著。泄漏原油</w:t>
            </w:r>
            <w:r>
              <w:rPr>
                <w:rFonts w:hint="eastAsia"/>
                <w:color w:val="auto"/>
                <w:sz w:val="24"/>
                <w:szCs w:val="32"/>
                <w:highlight w:val="none"/>
              </w:rPr>
              <w:t>粘附</w:t>
            </w:r>
            <w:r>
              <w:rPr>
                <w:rFonts w:hint="eastAsia"/>
                <w:color w:val="auto"/>
                <w:sz w:val="24"/>
                <w:szCs w:val="32"/>
              </w:rPr>
              <w:t>于植物叶片表面将阻断植物的光合作用，使植物枯萎、死亡；土壤污染造成的土壤理化性状变化往往也会影响植物生长，严重时可导致植物死亡；含油污水中油浓度不高时（几十毫克/升），对植物的影响不显著，但浓度较高时（几百毫克/升以上）可影响植物生长。因此，就土壤</w:t>
            </w:r>
            <w:r>
              <w:rPr>
                <w:rFonts w:hint="eastAsia"/>
                <w:color w:val="auto"/>
                <w:sz w:val="24"/>
                <w:szCs w:val="32"/>
                <w:highlight w:val="none"/>
              </w:rPr>
              <w:t>-</w:t>
            </w:r>
            <w:r>
              <w:rPr>
                <w:rFonts w:hint="eastAsia"/>
                <w:color w:val="auto"/>
                <w:sz w:val="24"/>
                <w:szCs w:val="32"/>
              </w:rPr>
              <w:t>植物生态系统而言，原油泄漏事故造成的影响一般比较显著，但由于植物生长范围较固定，因此影响仅限于直接有落地原油覆盖地区。</w:t>
            </w:r>
          </w:p>
          <w:p w14:paraId="2EBFEA23">
            <w:pPr>
              <w:keepNext w:val="0"/>
              <w:keepLines w:val="0"/>
              <w:suppressLineNumbers w:val="0"/>
              <w:spacing w:before="0" w:beforeAutospacing="0" w:after="0" w:afterAutospacing="0" w:line="360" w:lineRule="auto"/>
              <w:ind w:left="0" w:right="0" w:firstLine="480" w:firstLineChars="200"/>
              <w:rPr>
                <w:rFonts w:hint="eastAsia"/>
                <w:color w:val="auto"/>
                <w:sz w:val="24"/>
                <w:szCs w:val="32"/>
              </w:rPr>
            </w:pPr>
            <w:r>
              <w:rPr>
                <w:rFonts w:hint="eastAsia"/>
                <w:color w:val="auto"/>
                <w:sz w:val="24"/>
                <w:szCs w:val="32"/>
                <w:lang w:eastAsia="zh-CN"/>
              </w:rPr>
              <w:t>本工程</w:t>
            </w:r>
            <w:r>
              <w:rPr>
                <w:rFonts w:hint="eastAsia"/>
                <w:color w:val="auto"/>
                <w:sz w:val="24"/>
                <w:szCs w:val="32"/>
              </w:rPr>
              <w:t>施工过程中在井场范围内分区铺设防渗膜，事故状态下可以收集被污染的土壤，不会对深层土壤产生不利影响。</w:t>
            </w:r>
          </w:p>
        </w:tc>
      </w:tr>
      <w:tr w14:paraId="4AE0EC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6" w:type="dxa"/>
            <w:noWrap w:val="0"/>
            <w:tcMar>
              <w:left w:w="28" w:type="dxa"/>
              <w:right w:w="28" w:type="dxa"/>
            </w:tcMar>
            <w:vAlign w:val="center"/>
          </w:tcPr>
          <w:p w14:paraId="6C4677F9">
            <w:pPr>
              <w:pStyle w:val="25"/>
              <w:keepNext w:val="0"/>
              <w:keepLines w:val="0"/>
              <w:suppressLineNumbers w:val="0"/>
              <w:adjustRightInd w:val="0"/>
              <w:snapToGrid w:val="0"/>
              <w:spacing w:before="0" w:beforeAutospacing="0" w:after="0" w:afterAutospacing="0"/>
              <w:ind w:left="0" w:right="0"/>
              <w:jc w:val="center"/>
              <w:rPr>
                <w:rFonts w:hint="default" w:ascii="Times New Roman" w:hAnsi="Times New Roman"/>
                <w:b/>
                <w:bCs/>
                <w:color w:val="auto"/>
                <w:spacing w:val="10"/>
                <w:kern w:val="2"/>
              </w:rPr>
            </w:pPr>
            <w:r>
              <w:rPr>
                <w:rFonts w:hint="default" w:ascii="Times New Roman" w:hAnsi="Times New Roman"/>
                <w:b/>
                <w:bCs/>
                <w:color w:val="auto"/>
                <w:spacing w:val="10"/>
                <w:kern w:val="2"/>
              </w:rPr>
              <w:t>运营期生态环境影响分析</w:t>
            </w:r>
          </w:p>
        </w:tc>
        <w:tc>
          <w:tcPr>
            <w:tcW w:w="8411" w:type="dxa"/>
            <w:noWrap w:val="0"/>
            <w:vAlign w:val="center"/>
          </w:tcPr>
          <w:p w14:paraId="2915639C">
            <w:pPr>
              <w:keepNext w:val="0"/>
              <w:keepLines w:val="0"/>
              <w:suppressLineNumbers w:val="0"/>
              <w:spacing w:before="0" w:beforeAutospacing="0" w:after="0" w:afterAutospacing="0" w:line="360" w:lineRule="auto"/>
              <w:ind w:left="0" w:right="0"/>
              <w:jc w:val="left"/>
              <w:rPr>
                <w:rFonts w:hint="default"/>
                <w:color w:val="auto"/>
                <w:sz w:val="24"/>
              </w:rPr>
            </w:pPr>
          </w:p>
          <w:p w14:paraId="0418FAAC">
            <w:pPr>
              <w:keepNext w:val="0"/>
              <w:keepLines w:val="0"/>
              <w:suppressLineNumbers w:val="0"/>
              <w:spacing w:before="0" w:beforeAutospacing="0" w:after="0" w:afterAutospacing="0" w:line="360" w:lineRule="auto"/>
              <w:ind w:left="0" w:right="0" w:firstLine="480" w:firstLineChars="200"/>
              <w:jc w:val="left"/>
              <w:rPr>
                <w:rFonts w:hint="eastAsia"/>
                <w:color w:val="auto"/>
                <w:sz w:val="24"/>
              </w:rPr>
            </w:pPr>
          </w:p>
          <w:p w14:paraId="5CAC8896">
            <w:pPr>
              <w:keepNext w:val="0"/>
              <w:keepLines w:val="0"/>
              <w:suppressLineNumbers w:val="0"/>
              <w:spacing w:before="0" w:beforeAutospacing="0" w:after="0" w:afterAutospacing="0" w:line="360" w:lineRule="auto"/>
              <w:ind w:left="0" w:right="0" w:firstLine="480" w:firstLineChars="200"/>
              <w:jc w:val="left"/>
              <w:rPr>
                <w:rFonts w:hint="eastAsia"/>
                <w:color w:val="auto"/>
                <w:sz w:val="24"/>
              </w:rPr>
            </w:pPr>
          </w:p>
          <w:p w14:paraId="6D6680D9">
            <w:pPr>
              <w:keepNext w:val="0"/>
              <w:keepLines w:val="0"/>
              <w:suppressLineNumbers w:val="0"/>
              <w:spacing w:before="0" w:beforeAutospacing="0" w:after="0" w:afterAutospacing="0" w:line="360" w:lineRule="auto"/>
              <w:ind w:left="0" w:right="0" w:firstLine="480" w:firstLineChars="200"/>
              <w:jc w:val="left"/>
              <w:rPr>
                <w:rFonts w:hint="eastAsia"/>
                <w:color w:val="auto"/>
                <w:sz w:val="24"/>
              </w:rPr>
            </w:pPr>
          </w:p>
          <w:p w14:paraId="1CD370E8">
            <w:pPr>
              <w:keepNext w:val="0"/>
              <w:keepLines w:val="0"/>
              <w:suppressLineNumbers w:val="0"/>
              <w:spacing w:before="0" w:beforeAutospacing="0" w:after="0" w:afterAutospacing="0" w:line="360" w:lineRule="auto"/>
              <w:ind w:left="0" w:right="0" w:firstLine="480" w:firstLineChars="200"/>
              <w:jc w:val="left"/>
              <w:rPr>
                <w:rFonts w:hint="eastAsia"/>
                <w:color w:val="auto"/>
                <w:sz w:val="24"/>
              </w:rPr>
            </w:pPr>
          </w:p>
          <w:p w14:paraId="29EE5666">
            <w:pPr>
              <w:keepNext w:val="0"/>
              <w:keepLines w:val="0"/>
              <w:suppressLineNumbers w:val="0"/>
              <w:spacing w:before="0" w:beforeAutospacing="0" w:after="0" w:afterAutospacing="0" w:line="360" w:lineRule="auto"/>
              <w:ind w:left="0" w:right="0" w:firstLine="480" w:firstLineChars="200"/>
              <w:jc w:val="left"/>
              <w:rPr>
                <w:rFonts w:hint="eastAsia"/>
                <w:color w:val="auto"/>
                <w:sz w:val="24"/>
              </w:rPr>
            </w:pPr>
            <w:r>
              <w:rPr>
                <w:rFonts w:hint="eastAsia"/>
                <w:color w:val="auto"/>
                <w:sz w:val="24"/>
                <w:lang w:eastAsia="zh-CN"/>
              </w:rPr>
              <w:t>本工程</w:t>
            </w:r>
            <w:r>
              <w:rPr>
                <w:rFonts w:hint="eastAsia"/>
                <w:color w:val="auto"/>
                <w:sz w:val="24"/>
              </w:rPr>
              <w:t>为油井勘探项目，不包括运营期，因此无运营期污染。</w:t>
            </w:r>
          </w:p>
          <w:p w14:paraId="0BDD033F">
            <w:pPr>
              <w:keepNext w:val="0"/>
              <w:keepLines w:val="0"/>
              <w:suppressLineNumbers w:val="0"/>
              <w:spacing w:before="0" w:beforeAutospacing="0" w:after="0" w:afterAutospacing="0" w:line="360" w:lineRule="auto"/>
              <w:ind w:left="0" w:right="0" w:firstLine="480" w:firstLineChars="200"/>
              <w:jc w:val="left"/>
              <w:rPr>
                <w:rFonts w:hint="eastAsia"/>
                <w:color w:val="auto"/>
                <w:sz w:val="24"/>
              </w:rPr>
            </w:pPr>
          </w:p>
          <w:p w14:paraId="6CCC2255">
            <w:pPr>
              <w:keepNext w:val="0"/>
              <w:keepLines w:val="0"/>
              <w:suppressLineNumbers w:val="0"/>
              <w:spacing w:before="0" w:beforeAutospacing="0" w:after="0" w:afterAutospacing="0" w:line="360" w:lineRule="auto"/>
              <w:ind w:left="0" w:right="0"/>
              <w:jc w:val="left"/>
              <w:rPr>
                <w:rFonts w:hint="eastAsia"/>
                <w:color w:val="auto"/>
                <w:sz w:val="24"/>
              </w:rPr>
            </w:pPr>
          </w:p>
          <w:p w14:paraId="3D616FA5">
            <w:pPr>
              <w:keepNext w:val="0"/>
              <w:keepLines w:val="0"/>
              <w:suppressLineNumbers w:val="0"/>
              <w:spacing w:before="0" w:beforeAutospacing="0" w:after="0" w:afterAutospacing="0" w:line="360" w:lineRule="auto"/>
              <w:ind w:left="0" w:right="0"/>
              <w:jc w:val="left"/>
              <w:rPr>
                <w:rFonts w:hint="eastAsia"/>
                <w:color w:val="auto"/>
                <w:sz w:val="24"/>
              </w:rPr>
            </w:pPr>
          </w:p>
          <w:p w14:paraId="4020ADF3">
            <w:pPr>
              <w:keepNext w:val="0"/>
              <w:keepLines w:val="0"/>
              <w:suppressLineNumbers w:val="0"/>
              <w:spacing w:before="0" w:beforeAutospacing="0" w:after="0" w:afterAutospacing="0" w:line="360" w:lineRule="auto"/>
              <w:ind w:left="0" w:right="0"/>
              <w:jc w:val="left"/>
              <w:rPr>
                <w:rFonts w:hint="eastAsia"/>
                <w:color w:val="auto"/>
                <w:sz w:val="24"/>
              </w:rPr>
            </w:pPr>
          </w:p>
          <w:p w14:paraId="337C66CB">
            <w:pPr>
              <w:keepNext w:val="0"/>
              <w:keepLines w:val="0"/>
              <w:suppressLineNumbers w:val="0"/>
              <w:spacing w:before="0" w:beforeAutospacing="0" w:after="0" w:afterAutospacing="0" w:line="360" w:lineRule="auto"/>
              <w:ind w:left="0" w:right="0"/>
              <w:jc w:val="left"/>
              <w:rPr>
                <w:rFonts w:hint="eastAsia"/>
                <w:color w:val="auto"/>
                <w:sz w:val="24"/>
              </w:rPr>
            </w:pPr>
          </w:p>
        </w:tc>
      </w:tr>
      <w:tr w14:paraId="0630E2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14" w:hRule="atLeast"/>
          <w:jc w:val="center"/>
        </w:trPr>
        <w:tc>
          <w:tcPr>
            <w:tcW w:w="486" w:type="dxa"/>
            <w:noWrap w:val="0"/>
            <w:tcMar>
              <w:left w:w="28" w:type="dxa"/>
              <w:right w:w="28" w:type="dxa"/>
            </w:tcMar>
            <w:vAlign w:val="center"/>
          </w:tcPr>
          <w:p w14:paraId="5F2E7A04">
            <w:pPr>
              <w:pStyle w:val="25"/>
              <w:keepNext w:val="0"/>
              <w:keepLines w:val="0"/>
              <w:suppressLineNumbers w:val="0"/>
              <w:adjustRightInd w:val="0"/>
              <w:snapToGrid w:val="0"/>
              <w:spacing w:before="0" w:beforeAutospacing="0" w:after="0" w:afterAutospacing="0"/>
              <w:ind w:left="0" w:right="0"/>
              <w:jc w:val="center"/>
              <w:rPr>
                <w:rFonts w:hint="default" w:ascii="Times New Roman" w:hAnsi="Times New Roman"/>
                <w:b/>
                <w:bCs/>
                <w:color w:val="auto"/>
                <w:spacing w:val="10"/>
                <w:kern w:val="2"/>
              </w:rPr>
            </w:pPr>
            <w:r>
              <w:rPr>
                <w:rFonts w:hint="default" w:ascii="Times New Roman" w:hAnsi="Times New Roman"/>
                <w:b/>
                <w:bCs/>
                <w:color w:val="auto"/>
                <w:spacing w:val="10"/>
                <w:kern w:val="2"/>
              </w:rPr>
              <w:t>选址选线环境合理性分析</w:t>
            </w:r>
          </w:p>
        </w:tc>
        <w:tc>
          <w:tcPr>
            <w:tcW w:w="8411" w:type="dxa"/>
            <w:noWrap w:val="0"/>
            <w:vAlign w:val="top"/>
          </w:tcPr>
          <w:p w14:paraId="54D173DD">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highlight w:val="none"/>
              </w:rPr>
            </w:pPr>
            <w:r>
              <w:rPr>
                <w:rFonts w:hint="eastAsia"/>
                <w:color w:val="auto"/>
                <w:sz w:val="24"/>
                <w:highlight w:val="none"/>
                <w:lang w:eastAsia="zh-CN"/>
              </w:rPr>
              <w:t>根据勘探结果，扎格</w:t>
            </w:r>
            <w:r>
              <w:rPr>
                <w:rFonts w:hint="eastAsia"/>
                <w:color w:val="auto"/>
                <w:sz w:val="24"/>
                <w:highlight w:val="none"/>
                <w:lang w:val="en-US" w:eastAsia="zh-CN"/>
              </w:rPr>
              <w:t>6</w:t>
            </w:r>
            <w:r>
              <w:rPr>
                <w:rFonts w:hint="eastAsia"/>
                <w:color w:val="auto"/>
                <w:sz w:val="24"/>
                <w:highlight w:val="none"/>
              </w:rPr>
              <w:t>井位于内蒙古自治区巴彦淖尔市</w:t>
            </w:r>
            <w:r>
              <w:rPr>
                <w:rFonts w:hint="eastAsia"/>
                <w:color w:val="auto"/>
                <w:sz w:val="24"/>
                <w:highlight w:val="none"/>
                <w:lang w:eastAsia="zh-CN"/>
              </w:rPr>
              <w:t>磴口县哈腾套海农场</w:t>
            </w:r>
            <w:r>
              <w:rPr>
                <w:rFonts w:hint="eastAsia"/>
                <w:color w:val="auto"/>
                <w:sz w:val="24"/>
                <w:highlight w:val="none"/>
              </w:rPr>
              <w:t>，井场中心地理坐标：</w:t>
            </w:r>
            <w:r>
              <w:rPr>
                <w:rFonts w:hint="default" w:ascii="Times New Roman" w:hAnsi="Times New Roman" w:cs="Times New Roman"/>
                <w:color w:val="auto"/>
                <w:sz w:val="24"/>
                <w:highlight w:val="none"/>
              </w:rPr>
              <w:t>106°51′</w:t>
            </w:r>
            <w:r>
              <w:rPr>
                <w:rFonts w:hint="eastAsia" w:ascii="Times New Roman" w:hAnsi="Times New Roman" w:cs="Times New Roman"/>
                <w:color w:val="auto"/>
                <w:sz w:val="24"/>
                <w:highlight w:val="none"/>
                <w:lang w:val="en-US" w:eastAsia="zh-CN"/>
              </w:rPr>
              <w:t>10.518</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40°3</w:t>
            </w:r>
            <w:r>
              <w:rPr>
                <w:rFonts w:hint="eastAsia" w:ascii="Times New Roman" w:hAnsi="Times New Roman" w:cs="Times New Roman"/>
                <w:color w:val="auto"/>
                <w:sz w:val="24"/>
                <w:highlight w:val="none"/>
                <w:lang w:val="en-US" w:eastAsia="zh-CN"/>
              </w:rPr>
              <w:t>7</w:t>
            </w:r>
            <w:r>
              <w:rPr>
                <w:rFonts w:hint="default" w:ascii="Times New Roman" w:hAnsi="Times New Roman" w:cs="Times New Roman"/>
                <w:color w:val="auto"/>
                <w:sz w:val="24"/>
                <w:highlight w:val="none"/>
              </w:rPr>
              <w:t>′5</w:t>
            </w:r>
            <w:r>
              <w:rPr>
                <w:rFonts w:hint="eastAsia" w:ascii="Times New Roman" w:hAnsi="Times New Roman" w:cs="Times New Roman"/>
                <w:color w:val="auto"/>
                <w:sz w:val="24"/>
                <w:highlight w:val="none"/>
                <w:lang w:val="en-US" w:eastAsia="zh-CN"/>
              </w:rPr>
              <w:t>1.596</w:t>
            </w:r>
            <w:r>
              <w:rPr>
                <w:rFonts w:hint="default" w:ascii="Times New Roman" w:hAnsi="Times New Roman" w:cs="Times New Roman"/>
                <w:color w:val="auto"/>
                <w:sz w:val="24"/>
                <w:highlight w:val="none"/>
              </w:rPr>
              <w:t>″</w:t>
            </w:r>
            <w:r>
              <w:rPr>
                <w:rFonts w:hint="eastAsia"/>
                <w:color w:val="auto"/>
                <w:sz w:val="24"/>
                <w:highlight w:val="none"/>
              </w:rPr>
              <w:t>。占地类型为</w:t>
            </w:r>
            <w:r>
              <w:rPr>
                <w:rFonts w:hint="eastAsia"/>
                <w:color w:val="auto"/>
                <w:sz w:val="24"/>
                <w:highlight w:val="none"/>
                <w:lang w:eastAsia="zh-CN"/>
              </w:rPr>
              <w:t>农用地</w:t>
            </w:r>
            <w:r>
              <w:rPr>
                <w:rFonts w:hint="eastAsia"/>
                <w:color w:val="auto"/>
                <w:sz w:val="24"/>
                <w:highlight w:val="none"/>
              </w:rPr>
              <w:t>，土地利用现状为</w:t>
            </w:r>
            <w:r>
              <w:rPr>
                <w:rFonts w:hint="eastAsia"/>
                <w:color w:val="auto"/>
                <w:sz w:val="24"/>
                <w:highlight w:val="none"/>
                <w:lang w:eastAsia="zh-CN"/>
              </w:rPr>
              <w:t>耕地</w:t>
            </w:r>
            <w:r>
              <w:rPr>
                <w:rFonts w:hint="eastAsia"/>
                <w:color w:val="auto"/>
                <w:sz w:val="24"/>
                <w:highlight w:val="none"/>
              </w:rPr>
              <w:t>，四至均为</w:t>
            </w:r>
            <w:r>
              <w:rPr>
                <w:rFonts w:hint="eastAsia"/>
                <w:color w:val="auto"/>
                <w:sz w:val="24"/>
                <w:highlight w:val="none"/>
                <w:lang w:eastAsia="zh-CN"/>
              </w:rPr>
              <w:t>农用地</w:t>
            </w:r>
            <w:r>
              <w:rPr>
                <w:rFonts w:hint="eastAsia"/>
                <w:color w:val="auto"/>
                <w:sz w:val="24"/>
                <w:highlight w:val="none"/>
              </w:rPr>
              <w:t>；</w:t>
            </w:r>
          </w:p>
          <w:p w14:paraId="75A3DBCE">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项目所在地无自然保护区、风景名胜区、集中式饮用水水源保护区</w:t>
            </w:r>
            <w:r>
              <w:rPr>
                <w:rFonts w:hint="eastAsia"/>
                <w:color w:val="auto"/>
                <w:sz w:val="24"/>
                <w:lang w:eastAsia="zh-CN"/>
              </w:rPr>
              <w:t>及其他</w:t>
            </w:r>
            <w:r>
              <w:rPr>
                <w:rFonts w:hint="default"/>
                <w:color w:val="auto"/>
                <w:sz w:val="24"/>
              </w:rPr>
              <w:t>需要特别保护的区域内，</w:t>
            </w:r>
            <w:r>
              <w:rPr>
                <w:rFonts w:hint="eastAsia"/>
                <w:color w:val="auto"/>
                <w:sz w:val="24"/>
              </w:rPr>
              <w:t>无重大的环境制约因素</w:t>
            </w:r>
            <w:r>
              <w:rPr>
                <w:rFonts w:hint="default"/>
                <w:color w:val="auto"/>
                <w:sz w:val="24"/>
              </w:rPr>
              <w:t>。</w:t>
            </w:r>
          </w:p>
          <w:p w14:paraId="188D111D">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default"/>
                <w:color w:val="auto"/>
                <w:sz w:val="24"/>
              </w:rPr>
              <w:t>根据现场勘查</w:t>
            </w:r>
            <w:r>
              <w:rPr>
                <w:rFonts w:hint="eastAsia" w:ascii="Times New Roman" w:hAnsi="Times New Roman" w:eastAsia="宋体" w:cs="Times New Roman"/>
                <w:color w:val="auto"/>
                <w:sz w:val="24"/>
              </w:rPr>
              <w:t>，井口</w:t>
            </w:r>
            <w:r>
              <w:rPr>
                <w:rFonts w:hint="eastAsia" w:ascii="Times New Roman" w:hAnsi="Times New Roman" w:eastAsia="宋体" w:cs="Times New Roman"/>
                <w:color w:val="auto"/>
                <w:sz w:val="24"/>
                <w:lang w:val="en-US" w:eastAsia="zh-CN"/>
              </w:rPr>
              <w:t>5</w:t>
            </w:r>
            <w:r>
              <w:rPr>
                <w:rFonts w:hint="eastAsia" w:ascii="Times New Roman" w:hAnsi="Times New Roman" w:eastAsia="宋体" w:cs="Times New Roman"/>
                <w:color w:val="auto"/>
                <w:sz w:val="24"/>
              </w:rPr>
              <w:t>00m范围内无</w:t>
            </w:r>
            <w:r>
              <w:rPr>
                <w:rFonts w:hint="eastAsia" w:ascii="Times New Roman" w:hAnsi="Times New Roman" w:eastAsia="宋体" w:cs="Times New Roman"/>
                <w:color w:val="auto"/>
                <w:sz w:val="24"/>
                <w:lang w:eastAsia="zh-CN"/>
              </w:rPr>
              <w:t>敏感目标</w:t>
            </w:r>
            <w:r>
              <w:rPr>
                <w:rFonts w:hint="eastAsia" w:ascii="Times New Roman" w:hAnsi="Times New Roman" w:eastAsia="宋体" w:cs="Times New Roman"/>
                <w:color w:val="auto"/>
                <w:sz w:val="24"/>
              </w:rPr>
              <w:t>，</w:t>
            </w:r>
            <w:r>
              <w:rPr>
                <w:rFonts w:hint="default"/>
                <w:color w:val="auto"/>
                <w:sz w:val="24"/>
              </w:rPr>
              <w:t>选址满足《石油天然气钻井井控技术规范》（GB/T31033-2014）以及《钻前工程及井场布置技术要求》（SY/T5466-2013）</w:t>
            </w:r>
            <w:r>
              <w:rPr>
                <w:rFonts w:hint="eastAsia"/>
                <w:color w:val="auto"/>
                <w:sz w:val="24"/>
              </w:rPr>
              <w:t>中相关安全距离的要求</w:t>
            </w:r>
            <w:r>
              <w:rPr>
                <w:rFonts w:hint="default"/>
                <w:color w:val="auto"/>
                <w:sz w:val="24"/>
              </w:rPr>
              <w:t>。</w:t>
            </w:r>
          </w:p>
          <w:p w14:paraId="1928A579">
            <w:pPr>
              <w:keepNext w:val="0"/>
              <w:keepLines w:val="0"/>
              <w:suppressLineNumbers w:val="0"/>
              <w:autoSpaceDE w:val="0"/>
              <w:autoSpaceDN w:val="0"/>
              <w:adjustRightInd w:val="0"/>
              <w:spacing w:before="0" w:beforeAutospacing="0" w:after="0" w:afterAutospacing="0"/>
              <w:ind w:left="0" w:right="0"/>
              <w:jc w:val="center"/>
              <w:rPr>
                <w:rFonts w:hint="eastAsia"/>
                <w:b/>
                <w:color w:val="auto"/>
                <w:kern w:val="0"/>
                <w:sz w:val="24"/>
              </w:rPr>
            </w:pPr>
            <w:r>
              <w:rPr>
                <w:rFonts w:hint="default"/>
                <w:b/>
                <w:color w:val="auto"/>
                <w:kern w:val="0"/>
                <w:sz w:val="24"/>
              </w:rPr>
              <w:t>表4-1</w:t>
            </w:r>
            <w:r>
              <w:rPr>
                <w:rFonts w:hint="eastAsia"/>
                <w:b/>
                <w:color w:val="auto"/>
                <w:kern w:val="0"/>
                <w:sz w:val="24"/>
              </w:rPr>
              <w:t>1</w:t>
            </w:r>
            <w:r>
              <w:rPr>
                <w:rFonts w:hint="default"/>
                <w:b/>
                <w:color w:val="auto"/>
                <w:kern w:val="0"/>
                <w:sz w:val="24"/>
              </w:rPr>
              <w:t xml:space="preserve"> </w:t>
            </w:r>
            <w:r>
              <w:rPr>
                <w:rFonts w:hint="eastAsia"/>
                <w:b/>
                <w:color w:val="auto"/>
                <w:kern w:val="0"/>
                <w:sz w:val="24"/>
              </w:rPr>
              <w:t>项目</w:t>
            </w:r>
            <w:r>
              <w:rPr>
                <w:rFonts w:hint="default"/>
                <w:b/>
                <w:color w:val="auto"/>
                <w:kern w:val="0"/>
                <w:sz w:val="24"/>
              </w:rPr>
              <w:t>井场</w:t>
            </w:r>
            <w:r>
              <w:rPr>
                <w:rFonts w:hint="eastAsia"/>
                <w:b/>
                <w:color w:val="auto"/>
                <w:kern w:val="0"/>
                <w:sz w:val="24"/>
              </w:rPr>
              <w:t>选址</w:t>
            </w:r>
            <w:r>
              <w:rPr>
                <w:rFonts w:hint="default"/>
                <w:b/>
                <w:color w:val="auto"/>
                <w:kern w:val="0"/>
                <w:sz w:val="24"/>
              </w:rPr>
              <w:t>分析表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3652"/>
              <w:gridCol w:w="3583"/>
              <w:gridCol w:w="960"/>
            </w:tblGrid>
            <w:tr w14:paraId="176070D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2228" w:type="pct"/>
                  <w:tcBorders>
                    <w:tl2br w:val="single" w:color="auto" w:sz="4" w:space="0"/>
                  </w:tcBorders>
                  <w:noWrap w:val="0"/>
                  <w:tcMar>
                    <w:left w:w="0" w:type="dxa"/>
                    <w:right w:w="0" w:type="dxa"/>
                  </w:tcMar>
                  <w:vAlign w:val="center"/>
                </w:tcPr>
                <w:p w14:paraId="19E47642">
                  <w:pPr>
                    <w:pStyle w:val="7"/>
                    <w:keepNext w:val="0"/>
                    <w:keepLines w:val="0"/>
                    <w:suppressLineNumbers w:val="0"/>
                    <w:spacing w:before="0" w:beforeAutospacing="0" w:after="0" w:afterAutospacing="0" w:line="0" w:lineRule="atLeast"/>
                    <w:ind w:left="0" w:right="0" w:firstLine="0" w:firstLineChars="0"/>
                    <w:jc w:val="right"/>
                    <w:rPr>
                      <w:rFonts w:hint="default"/>
                      <w:color w:val="auto"/>
                      <w:szCs w:val="21"/>
                    </w:rPr>
                  </w:pPr>
                  <w:r>
                    <w:rPr>
                      <w:rFonts w:hint="default"/>
                      <w:color w:val="auto"/>
                      <w:szCs w:val="21"/>
                    </w:rPr>
                    <w:t>名称</w:t>
                  </w:r>
                </w:p>
                <w:p w14:paraId="5C8B9568">
                  <w:pPr>
                    <w:pStyle w:val="7"/>
                    <w:keepNext w:val="0"/>
                    <w:keepLines w:val="0"/>
                    <w:suppressLineNumbers w:val="0"/>
                    <w:spacing w:before="0" w:beforeAutospacing="0" w:after="0" w:afterAutospacing="0" w:line="0" w:lineRule="atLeast"/>
                    <w:ind w:left="0" w:right="0" w:firstLine="0" w:firstLineChars="0"/>
                    <w:jc w:val="left"/>
                    <w:rPr>
                      <w:rFonts w:hint="default"/>
                      <w:color w:val="auto"/>
                      <w:szCs w:val="21"/>
                    </w:rPr>
                  </w:pPr>
                  <w:r>
                    <w:rPr>
                      <w:rFonts w:hint="default"/>
                      <w:color w:val="auto"/>
                      <w:szCs w:val="21"/>
                    </w:rPr>
                    <w:t>安全距离要求</w:t>
                  </w:r>
                </w:p>
              </w:tc>
              <w:tc>
                <w:tcPr>
                  <w:tcW w:w="2772" w:type="pct"/>
                  <w:gridSpan w:val="2"/>
                  <w:noWrap w:val="0"/>
                  <w:tcMar>
                    <w:left w:w="0" w:type="dxa"/>
                    <w:right w:w="0" w:type="dxa"/>
                  </w:tcMar>
                  <w:vAlign w:val="center"/>
                </w:tcPr>
                <w:p w14:paraId="7FB34098">
                  <w:pPr>
                    <w:pStyle w:val="7"/>
                    <w:keepNext w:val="0"/>
                    <w:keepLines w:val="0"/>
                    <w:suppressLineNumbers w:val="0"/>
                    <w:spacing w:before="0" w:beforeAutospacing="0" w:after="0" w:afterAutospacing="0" w:line="0" w:lineRule="atLeast"/>
                    <w:ind w:left="0" w:right="0" w:firstLine="0" w:firstLineChars="0"/>
                    <w:jc w:val="center"/>
                    <w:rPr>
                      <w:rFonts w:hint="default" w:eastAsia="宋体"/>
                      <w:color w:val="auto"/>
                      <w:szCs w:val="21"/>
                      <w:lang w:val="en-US" w:eastAsia="zh-CN"/>
                    </w:rPr>
                  </w:pPr>
                  <w:r>
                    <w:rPr>
                      <w:rFonts w:hint="eastAsia"/>
                      <w:color w:val="auto"/>
                      <w:szCs w:val="21"/>
                      <w:lang w:eastAsia="zh-CN"/>
                    </w:rPr>
                    <w:t>扎格</w:t>
                  </w:r>
                  <w:r>
                    <w:rPr>
                      <w:rFonts w:hint="eastAsia"/>
                      <w:color w:val="auto"/>
                      <w:szCs w:val="21"/>
                      <w:lang w:val="en-US" w:eastAsia="zh-CN"/>
                    </w:rPr>
                    <w:t>6井</w:t>
                  </w:r>
                </w:p>
              </w:tc>
            </w:tr>
            <w:tr w14:paraId="773552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06" w:hRule="atLeast"/>
              </w:trPr>
              <w:tc>
                <w:tcPr>
                  <w:tcW w:w="2228" w:type="pct"/>
                  <w:noWrap w:val="0"/>
                  <w:tcMar>
                    <w:left w:w="0" w:type="dxa"/>
                    <w:right w:w="0" w:type="dxa"/>
                  </w:tcMar>
                  <w:vAlign w:val="center"/>
                </w:tcPr>
                <w:p w14:paraId="6CACD625">
                  <w:pPr>
                    <w:pStyle w:val="171"/>
                    <w:keepNext w:val="0"/>
                    <w:keepLines w:val="0"/>
                    <w:suppressLineNumbers w:val="0"/>
                    <w:spacing w:before="0" w:beforeAutospacing="0" w:after="0" w:afterAutospacing="0"/>
                    <w:ind w:left="0" w:right="0"/>
                    <w:jc w:val="center"/>
                    <w:rPr>
                      <w:rFonts w:hint="default" w:ascii="Times New Roman" w:hAnsi="Times New Roman"/>
                      <w:color w:val="auto"/>
                      <w:sz w:val="21"/>
                      <w:szCs w:val="21"/>
                      <w:lang w:eastAsia="zh-CN"/>
                    </w:rPr>
                  </w:pPr>
                  <w:r>
                    <w:rPr>
                      <w:rFonts w:hint="default" w:ascii="Times New Roman" w:hAnsi="Times New Roman"/>
                      <w:color w:val="auto"/>
                      <w:sz w:val="21"/>
                      <w:szCs w:val="21"/>
                      <w:lang w:eastAsia="zh-CN"/>
                    </w:rPr>
                    <w:t>井口距高压线及其他永久性设施不小于75m</w:t>
                  </w:r>
                </w:p>
              </w:tc>
              <w:tc>
                <w:tcPr>
                  <w:tcW w:w="2186" w:type="pct"/>
                  <w:tcBorders>
                    <w:right w:val="single" w:color="auto" w:sz="4" w:space="0"/>
                  </w:tcBorders>
                  <w:noWrap w:val="0"/>
                  <w:tcMar>
                    <w:left w:w="0" w:type="dxa"/>
                    <w:right w:w="0" w:type="dxa"/>
                  </w:tcMar>
                  <w:vAlign w:val="center"/>
                </w:tcPr>
                <w:p w14:paraId="3587DE5A">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井口75m范围内无高压线及其他永久性设施</w:t>
                  </w:r>
                </w:p>
              </w:tc>
              <w:tc>
                <w:tcPr>
                  <w:tcW w:w="586" w:type="pct"/>
                  <w:tcBorders>
                    <w:left w:val="single" w:color="auto" w:sz="4" w:space="0"/>
                  </w:tcBorders>
                  <w:noWrap w:val="0"/>
                  <w:vAlign w:val="center"/>
                </w:tcPr>
                <w:p w14:paraId="7E6EC36D">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符合要求</w:t>
                  </w:r>
                </w:p>
              </w:tc>
            </w:tr>
            <w:tr w14:paraId="213A0A9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2228" w:type="pct"/>
                  <w:noWrap w:val="0"/>
                  <w:tcMar>
                    <w:left w:w="0" w:type="dxa"/>
                    <w:right w:w="0" w:type="dxa"/>
                  </w:tcMar>
                  <w:vAlign w:val="center"/>
                </w:tcPr>
                <w:p w14:paraId="6E638FA5">
                  <w:pPr>
                    <w:pStyle w:val="171"/>
                    <w:keepNext w:val="0"/>
                    <w:keepLines w:val="0"/>
                    <w:suppressLineNumbers w:val="0"/>
                    <w:spacing w:before="0" w:beforeAutospacing="0" w:after="0" w:afterAutospacing="0"/>
                    <w:ind w:left="0" w:right="0"/>
                    <w:jc w:val="center"/>
                    <w:rPr>
                      <w:rFonts w:hint="default" w:ascii="Times New Roman" w:hAnsi="Times New Roman"/>
                      <w:color w:val="auto"/>
                      <w:sz w:val="21"/>
                      <w:szCs w:val="21"/>
                      <w:lang w:eastAsia="zh-CN"/>
                    </w:rPr>
                  </w:pPr>
                  <w:r>
                    <w:rPr>
                      <w:rFonts w:hint="default" w:ascii="Times New Roman" w:hAnsi="Times New Roman"/>
                      <w:color w:val="auto"/>
                      <w:sz w:val="21"/>
                      <w:szCs w:val="21"/>
                    </w:rPr>
                    <w:t>井口距民宅不小于100m</w:t>
                  </w:r>
                </w:p>
              </w:tc>
              <w:tc>
                <w:tcPr>
                  <w:tcW w:w="2186" w:type="pct"/>
                  <w:tcBorders>
                    <w:right w:val="single" w:color="auto" w:sz="4" w:space="0"/>
                  </w:tcBorders>
                  <w:noWrap w:val="0"/>
                  <w:tcMar>
                    <w:left w:w="0" w:type="dxa"/>
                    <w:right w:w="0" w:type="dxa"/>
                  </w:tcMar>
                  <w:vAlign w:val="center"/>
                </w:tcPr>
                <w:p w14:paraId="3F0CBAED">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井口</w:t>
                  </w:r>
                  <w:r>
                    <w:rPr>
                      <w:rFonts w:hint="eastAsia"/>
                      <w:color w:val="auto"/>
                      <w:szCs w:val="21"/>
                      <w:lang w:val="en-US" w:eastAsia="zh-CN"/>
                    </w:rPr>
                    <w:t>5</w:t>
                  </w:r>
                  <w:r>
                    <w:rPr>
                      <w:rFonts w:hint="default"/>
                      <w:color w:val="auto"/>
                      <w:szCs w:val="21"/>
                    </w:rPr>
                    <w:t>00m范围内无民宅</w:t>
                  </w:r>
                </w:p>
              </w:tc>
              <w:tc>
                <w:tcPr>
                  <w:tcW w:w="586" w:type="pct"/>
                  <w:tcBorders>
                    <w:left w:val="single" w:color="auto" w:sz="4" w:space="0"/>
                  </w:tcBorders>
                  <w:noWrap w:val="0"/>
                  <w:vAlign w:val="center"/>
                </w:tcPr>
                <w:p w14:paraId="3B133582">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符合要求</w:t>
                  </w:r>
                </w:p>
              </w:tc>
            </w:tr>
            <w:tr w14:paraId="4AE2A5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705" w:hRule="atLeast"/>
              </w:trPr>
              <w:tc>
                <w:tcPr>
                  <w:tcW w:w="2228" w:type="pct"/>
                  <w:noWrap w:val="0"/>
                  <w:tcMar>
                    <w:left w:w="0" w:type="dxa"/>
                    <w:right w:w="0" w:type="dxa"/>
                  </w:tcMar>
                  <w:vAlign w:val="center"/>
                </w:tcPr>
                <w:p w14:paraId="5BA94E3C">
                  <w:pPr>
                    <w:pStyle w:val="171"/>
                    <w:keepNext w:val="0"/>
                    <w:keepLines w:val="0"/>
                    <w:suppressLineNumbers w:val="0"/>
                    <w:spacing w:before="0" w:beforeAutospacing="0" w:after="0" w:afterAutospacing="0"/>
                    <w:ind w:left="0" w:right="0"/>
                    <w:jc w:val="center"/>
                    <w:rPr>
                      <w:rFonts w:hint="default" w:ascii="Times New Roman" w:hAnsi="Times New Roman"/>
                      <w:color w:val="auto"/>
                      <w:sz w:val="21"/>
                      <w:szCs w:val="21"/>
                      <w:lang w:eastAsia="zh-CN"/>
                    </w:rPr>
                  </w:pPr>
                  <w:r>
                    <w:rPr>
                      <w:rFonts w:hint="default" w:ascii="Times New Roman" w:hAnsi="Times New Roman"/>
                      <w:color w:val="auto"/>
                      <w:sz w:val="21"/>
                      <w:szCs w:val="21"/>
                      <w:lang w:eastAsia="zh-CN"/>
                    </w:rPr>
                    <w:t>井口距铁路、高速公路不小于200m</w:t>
                  </w:r>
                </w:p>
              </w:tc>
              <w:tc>
                <w:tcPr>
                  <w:tcW w:w="2186" w:type="pct"/>
                  <w:tcBorders>
                    <w:right w:val="single" w:color="auto" w:sz="4" w:space="0"/>
                  </w:tcBorders>
                  <w:noWrap w:val="0"/>
                  <w:tcMar>
                    <w:left w:w="0" w:type="dxa"/>
                    <w:right w:w="0" w:type="dxa"/>
                  </w:tcMar>
                  <w:vAlign w:val="center"/>
                </w:tcPr>
                <w:p w14:paraId="3CF59606">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井口200m范围内无铁路、高速公路</w:t>
                  </w:r>
                </w:p>
              </w:tc>
              <w:tc>
                <w:tcPr>
                  <w:tcW w:w="586" w:type="pct"/>
                  <w:tcBorders>
                    <w:left w:val="single" w:color="auto" w:sz="4" w:space="0"/>
                  </w:tcBorders>
                  <w:noWrap w:val="0"/>
                  <w:vAlign w:val="center"/>
                </w:tcPr>
                <w:p w14:paraId="1CF18499">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符合要求</w:t>
                  </w:r>
                </w:p>
              </w:tc>
            </w:tr>
            <w:tr w14:paraId="6EF0B4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687" w:hRule="atLeast"/>
              </w:trPr>
              <w:tc>
                <w:tcPr>
                  <w:tcW w:w="2228" w:type="pct"/>
                  <w:noWrap w:val="0"/>
                  <w:tcMar>
                    <w:left w:w="0" w:type="dxa"/>
                    <w:right w:w="0" w:type="dxa"/>
                  </w:tcMar>
                  <w:vAlign w:val="center"/>
                </w:tcPr>
                <w:p w14:paraId="00099C20">
                  <w:pPr>
                    <w:pStyle w:val="171"/>
                    <w:keepNext w:val="0"/>
                    <w:keepLines w:val="0"/>
                    <w:suppressLineNumbers w:val="0"/>
                    <w:spacing w:before="0" w:beforeAutospacing="0" w:after="0" w:afterAutospacing="0"/>
                    <w:ind w:left="0" w:right="0"/>
                    <w:jc w:val="center"/>
                    <w:rPr>
                      <w:rFonts w:hint="default" w:ascii="Times New Roman" w:hAnsi="Times New Roman"/>
                      <w:color w:val="auto"/>
                      <w:sz w:val="21"/>
                      <w:szCs w:val="21"/>
                      <w:lang w:eastAsia="zh-CN"/>
                    </w:rPr>
                  </w:pPr>
                  <w:r>
                    <w:rPr>
                      <w:rFonts w:hint="default" w:ascii="Times New Roman" w:hAnsi="Times New Roman"/>
                      <w:color w:val="auto"/>
                      <w:sz w:val="21"/>
                      <w:szCs w:val="21"/>
                      <w:lang w:eastAsia="zh-CN"/>
                    </w:rPr>
                    <w:t>井口距学校、医院和大型油库等人口密集性、高</w:t>
                  </w:r>
                  <w:r>
                    <w:rPr>
                      <w:rFonts w:hint="default" w:ascii="Times New Roman" w:hAnsi="Times New Roman"/>
                      <w:color w:val="auto"/>
                      <w:sz w:val="21"/>
                      <w:szCs w:val="21"/>
                      <w:highlight w:val="none"/>
                      <w:lang w:eastAsia="zh-CN"/>
                    </w:rPr>
                    <w:t>危性</w:t>
                  </w:r>
                  <w:r>
                    <w:rPr>
                      <w:rFonts w:hint="default" w:ascii="Times New Roman" w:hAnsi="Times New Roman"/>
                      <w:color w:val="auto"/>
                      <w:sz w:val="21"/>
                      <w:szCs w:val="21"/>
                      <w:lang w:eastAsia="zh-CN"/>
                    </w:rPr>
                    <w:t>场所应不小于500m</w:t>
                  </w:r>
                </w:p>
              </w:tc>
              <w:tc>
                <w:tcPr>
                  <w:tcW w:w="2186" w:type="pct"/>
                  <w:tcBorders>
                    <w:right w:val="single" w:color="auto" w:sz="4" w:space="0"/>
                  </w:tcBorders>
                  <w:noWrap w:val="0"/>
                  <w:tcMar>
                    <w:left w:w="0" w:type="dxa"/>
                    <w:right w:w="0" w:type="dxa"/>
                  </w:tcMar>
                  <w:vAlign w:val="center"/>
                </w:tcPr>
                <w:p w14:paraId="4CE729ED">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井口500m范围内无学校、医院和大型油库等人口密集</w:t>
                  </w:r>
                  <w:r>
                    <w:rPr>
                      <w:rFonts w:hint="default"/>
                      <w:color w:val="auto"/>
                      <w:szCs w:val="21"/>
                      <w:highlight w:val="none"/>
                    </w:rPr>
                    <w:t>性</w:t>
                  </w:r>
                  <w:r>
                    <w:rPr>
                      <w:rFonts w:hint="default"/>
                      <w:color w:val="auto"/>
                      <w:szCs w:val="21"/>
                    </w:rPr>
                    <w:t>、高</w:t>
                  </w:r>
                  <w:r>
                    <w:rPr>
                      <w:rFonts w:hint="default"/>
                      <w:color w:val="auto"/>
                      <w:szCs w:val="21"/>
                      <w:highlight w:val="none"/>
                    </w:rPr>
                    <w:t>危性</w:t>
                  </w:r>
                  <w:r>
                    <w:rPr>
                      <w:rFonts w:hint="default"/>
                      <w:color w:val="auto"/>
                      <w:szCs w:val="21"/>
                    </w:rPr>
                    <w:t>场所</w:t>
                  </w:r>
                </w:p>
              </w:tc>
              <w:tc>
                <w:tcPr>
                  <w:tcW w:w="586" w:type="pct"/>
                  <w:tcBorders>
                    <w:left w:val="single" w:color="auto" w:sz="4" w:space="0"/>
                  </w:tcBorders>
                  <w:noWrap w:val="0"/>
                  <w:vAlign w:val="center"/>
                </w:tcPr>
                <w:p w14:paraId="4FE182A9">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szCs w:val="21"/>
                    </w:rPr>
                    <w:t>符合要求</w:t>
                  </w:r>
                </w:p>
              </w:tc>
            </w:tr>
          </w:tbl>
          <w:p w14:paraId="23013B9D">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lang w:eastAsia="zh-CN"/>
              </w:rPr>
              <w:t>本工程</w:t>
            </w:r>
            <w:r>
              <w:rPr>
                <w:rFonts w:hint="default"/>
                <w:color w:val="auto"/>
                <w:sz w:val="24"/>
              </w:rPr>
              <w:t>为临时占地，建设单位</w:t>
            </w:r>
            <w:r>
              <w:rPr>
                <w:rFonts w:hint="eastAsia"/>
                <w:color w:val="auto"/>
                <w:sz w:val="24"/>
              </w:rPr>
              <w:t>已</w:t>
            </w:r>
            <w:r>
              <w:rPr>
                <w:rFonts w:hint="default"/>
                <w:color w:val="auto"/>
                <w:sz w:val="24"/>
              </w:rPr>
              <w:t>与土地所有人及相关部门签订临时用地协议</w:t>
            </w:r>
            <w:r>
              <w:rPr>
                <w:rFonts w:hint="eastAsia"/>
                <w:color w:val="auto"/>
                <w:sz w:val="24"/>
              </w:rPr>
              <w:t>，</w:t>
            </w:r>
            <w:r>
              <w:rPr>
                <w:rFonts w:hint="default"/>
                <w:color w:val="auto"/>
                <w:sz w:val="24"/>
              </w:rPr>
              <w:t>按照</w:t>
            </w:r>
            <w:r>
              <w:rPr>
                <w:rFonts w:hint="eastAsia"/>
                <w:color w:val="auto"/>
                <w:sz w:val="24"/>
              </w:rPr>
              <w:t>相关</w:t>
            </w:r>
            <w:r>
              <w:rPr>
                <w:rFonts w:hint="default"/>
                <w:color w:val="auto"/>
                <w:sz w:val="24"/>
              </w:rPr>
              <w:t>补偿标准的要求缴纳补偿费</w:t>
            </w:r>
            <w:r>
              <w:rPr>
                <w:rFonts w:hint="eastAsia"/>
                <w:color w:val="auto"/>
                <w:sz w:val="24"/>
              </w:rPr>
              <w:t>等</w:t>
            </w:r>
            <w:r>
              <w:rPr>
                <w:rFonts w:hint="default"/>
                <w:color w:val="auto"/>
                <w:sz w:val="24"/>
              </w:rPr>
              <w:t>。施工结束后，建设单位应对临时占地及时恢复。</w:t>
            </w:r>
          </w:p>
          <w:p w14:paraId="571820FB">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rPr>
              <w:t>勘探钻井井场占地需满足“地上服从地下”的原则，只有地下有油，地上才占地钻探，河套盆地通过前期预探明确了是石油地质条件最好的凹陷。</w:t>
            </w:r>
          </w:p>
          <w:p w14:paraId="3918ECFC">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lang w:eastAsia="zh-CN"/>
              </w:rPr>
              <w:t>磴口县</w:t>
            </w:r>
            <w:r>
              <w:rPr>
                <w:rFonts w:hint="eastAsia"/>
                <w:color w:val="auto"/>
                <w:sz w:val="24"/>
              </w:rPr>
              <w:t>地处河套盆地中西部，土地利用现状主要以耕地和建设用地为主，基本农田保护率较高，村庄外围基本全部为农田。</w:t>
            </w:r>
          </w:p>
          <w:p w14:paraId="6984DC72">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rPr>
              <w:t>石油勘探工作为24小时作业，为了降低对周边居民生产、生活的影响，选址尽量远离村庄居住区。根据实地踏勘，遵循“地上服从地下”的原则，该项目储油凹陷区上方均为基本农田。</w:t>
            </w:r>
          </w:p>
          <w:p w14:paraId="65805B60">
            <w:pPr>
              <w:keepNext w:val="0"/>
              <w:keepLines w:val="0"/>
              <w:suppressLineNumbers w:val="0"/>
              <w:spacing w:before="0" w:beforeAutospacing="0" w:after="0" w:afterAutospacing="0" w:line="360" w:lineRule="auto"/>
              <w:ind w:left="0" w:right="0" w:firstLine="480" w:firstLineChars="200"/>
              <w:rPr>
                <w:rFonts w:hint="eastAsia"/>
                <w:color w:val="auto"/>
                <w:sz w:val="24"/>
                <w:lang w:val="en-US" w:eastAsia="zh-CN"/>
              </w:rPr>
            </w:pPr>
            <w:r>
              <w:rPr>
                <w:rFonts w:hint="eastAsia"/>
                <w:color w:val="auto"/>
                <w:sz w:val="24"/>
              </w:rPr>
              <w:t>该项目对环境的影响主要在施工期，施工期剥离表层土单独堆放并在施工结束后回填，以利于植被的恢复，</w:t>
            </w:r>
            <w:r>
              <w:rPr>
                <w:rFonts w:hint="eastAsia"/>
                <w:color w:val="auto"/>
                <w:sz w:val="24"/>
                <w:lang w:val="en-US" w:eastAsia="zh-CN"/>
              </w:rPr>
              <w:t>在设计上已充分考虑了</w:t>
            </w:r>
            <w:r>
              <w:rPr>
                <w:rFonts w:hint="eastAsia"/>
                <w:color w:val="auto"/>
                <w:sz w:val="24"/>
              </w:rPr>
              <w:t>尽量减少临时占地，</w:t>
            </w:r>
            <w:r>
              <w:rPr>
                <w:rFonts w:hint="eastAsia"/>
                <w:color w:val="auto"/>
                <w:sz w:val="24"/>
                <w:lang w:val="en-US" w:eastAsia="zh-CN"/>
              </w:rPr>
              <w:t>以</w:t>
            </w:r>
            <w:r>
              <w:rPr>
                <w:rFonts w:hint="eastAsia"/>
                <w:color w:val="auto"/>
                <w:sz w:val="24"/>
              </w:rPr>
              <w:t>减少对</w:t>
            </w:r>
            <w:r>
              <w:rPr>
                <w:rFonts w:hint="eastAsia"/>
                <w:color w:val="auto"/>
                <w:sz w:val="24"/>
                <w:lang w:val="en-US" w:eastAsia="zh-CN"/>
              </w:rPr>
              <w:t>占地</w:t>
            </w:r>
            <w:r>
              <w:rPr>
                <w:rFonts w:hint="eastAsia"/>
                <w:color w:val="auto"/>
                <w:sz w:val="24"/>
              </w:rPr>
              <w:t>的破坏。</w:t>
            </w:r>
          </w:p>
          <w:p w14:paraId="6E31E9BA">
            <w:pPr>
              <w:keepNext w:val="0"/>
              <w:keepLines w:val="0"/>
              <w:suppressLineNumbers w:val="0"/>
              <w:spacing w:before="0" w:beforeAutospacing="0" w:after="0" w:afterAutospacing="0" w:line="360" w:lineRule="auto"/>
              <w:ind w:left="0" w:right="0" w:firstLine="480" w:firstLineChars="200"/>
              <w:jc w:val="left"/>
              <w:rPr>
                <w:rFonts w:hint="eastAsia"/>
                <w:color w:val="auto"/>
                <w:sz w:val="24"/>
              </w:rPr>
            </w:pPr>
            <w:r>
              <w:rPr>
                <w:rFonts w:hint="eastAsia"/>
                <w:color w:val="auto"/>
                <w:sz w:val="24"/>
                <w:lang w:eastAsia="zh-CN"/>
              </w:rPr>
              <w:t>综合以上分析</w:t>
            </w:r>
            <w:r>
              <w:rPr>
                <w:rFonts w:hint="default"/>
                <w:color w:val="auto"/>
                <w:sz w:val="24"/>
              </w:rPr>
              <w:t>，项目选址合理</w:t>
            </w:r>
            <w:r>
              <w:rPr>
                <w:rFonts w:hint="eastAsia"/>
                <w:color w:val="auto"/>
                <w:sz w:val="24"/>
              </w:rPr>
              <w:t>。</w:t>
            </w:r>
          </w:p>
        </w:tc>
      </w:tr>
    </w:tbl>
    <w:p w14:paraId="462B63CF">
      <w:pPr>
        <w:pStyle w:val="25"/>
        <w:spacing w:before="0" w:beforeAutospacing="0" w:after="0" w:afterAutospacing="0"/>
        <w:jc w:val="center"/>
        <w:outlineLvl w:val="0"/>
        <w:rPr>
          <w:b/>
          <w:snapToGrid w:val="0"/>
          <w:color w:val="auto"/>
          <w:kern w:val="2"/>
          <w:sz w:val="30"/>
          <w:szCs w:val="30"/>
        </w:rPr>
      </w:pPr>
      <w:r>
        <w:rPr>
          <w:b/>
          <w:snapToGrid w:val="0"/>
          <w:color w:val="auto"/>
          <w:kern w:val="2"/>
          <w:sz w:val="30"/>
          <w:szCs w:val="30"/>
        </w:rPr>
        <w:br w:type="page"/>
      </w:r>
      <w:bookmarkStart w:id="17" w:name="_Toc103325987"/>
      <w:r>
        <w:rPr>
          <w:b/>
          <w:snapToGrid w:val="0"/>
          <w:color w:val="auto"/>
          <w:kern w:val="2"/>
          <w:sz w:val="30"/>
          <w:szCs w:val="30"/>
        </w:rPr>
        <w:t>五</w:t>
      </w:r>
      <w:r>
        <w:rPr>
          <w:rFonts w:hint="eastAsia"/>
          <w:b/>
          <w:snapToGrid w:val="0"/>
          <w:color w:val="auto"/>
          <w:kern w:val="2"/>
          <w:sz w:val="30"/>
          <w:szCs w:val="30"/>
        </w:rPr>
        <w:t>、</w:t>
      </w:r>
      <w:r>
        <w:rPr>
          <w:b/>
          <w:snapToGrid w:val="0"/>
          <w:color w:val="auto"/>
          <w:kern w:val="2"/>
          <w:sz w:val="30"/>
          <w:szCs w:val="30"/>
        </w:rPr>
        <w:t>主要生态环境保护措施</w:t>
      </w:r>
      <w:bookmarkEnd w:id="17"/>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77"/>
        <w:gridCol w:w="8420"/>
      </w:tblGrid>
      <w:tr w14:paraId="3AD1FB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477" w:type="dxa"/>
            <w:noWrap w:val="0"/>
            <w:tcMar>
              <w:left w:w="28" w:type="dxa"/>
              <w:right w:w="28" w:type="dxa"/>
            </w:tcMar>
            <w:vAlign w:val="center"/>
          </w:tcPr>
          <w:p w14:paraId="05B7992A">
            <w:pPr>
              <w:keepNext w:val="0"/>
              <w:keepLines w:val="0"/>
              <w:suppressLineNumbers w:val="0"/>
              <w:adjustRightInd w:val="0"/>
              <w:snapToGrid w:val="0"/>
              <w:spacing w:before="0" w:beforeAutospacing="0" w:after="0" w:afterAutospacing="0"/>
              <w:ind w:left="0" w:right="0"/>
              <w:jc w:val="center"/>
              <w:rPr>
                <w:rFonts w:hint="default"/>
                <w:b/>
                <w:bCs/>
                <w:color w:val="auto"/>
                <w:sz w:val="24"/>
              </w:rPr>
            </w:pPr>
            <w:r>
              <w:rPr>
                <w:rFonts w:hint="default"/>
                <w:b/>
                <w:bCs/>
                <w:color w:val="auto"/>
                <w:spacing w:val="10"/>
                <w:sz w:val="24"/>
              </w:rPr>
              <w:t>施工期生态环境保护措施</w:t>
            </w:r>
          </w:p>
        </w:tc>
        <w:tc>
          <w:tcPr>
            <w:tcW w:w="8420" w:type="dxa"/>
            <w:noWrap w:val="0"/>
            <w:vAlign w:val="top"/>
          </w:tcPr>
          <w:p w14:paraId="2FCE93F2">
            <w:pPr>
              <w:keepNext w:val="0"/>
              <w:keepLines w:val="0"/>
              <w:suppressLineNumbers w:val="0"/>
              <w:spacing w:before="120" w:beforeLines="50" w:beforeAutospacing="0" w:after="0" w:afterAutospacing="0" w:line="360" w:lineRule="auto"/>
              <w:ind w:left="0" w:right="0"/>
              <w:jc w:val="left"/>
              <w:rPr>
                <w:rFonts w:hint="default"/>
                <w:b/>
                <w:bCs/>
                <w:color w:val="auto"/>
                <w:sz w:val="24"/>
              </w:rPr>
            </w:pPr>
            <w:r>
              <w:rPr>
                <w:rFonts w:hint="eastAsia"/>
                <w:b/>
                <w:bCs/>
                <w:color w:val="auto"/>
                <w:sz w:val="24"/>
              </w:rPr>
              <w:t>勘探期</w:t>
            </w:r>
            <w:r>
              <w:rPr>
                <w:rFonts w:hint="default"/>
                <w:b/>
                <w:bCs/>
                <w:color w:val="auto"/>
                <w:sz w:val="24"/>
              </w:rPr>
              <w:t>环境影响分析：</w:t>
            </w:r>
          </w:p>
          <w:p w14:paraId="69C08C23">
            <w:pPr>
              <w:pStyle w:val="145"/>
              <w:keepNext w:val="0"/>
              <w:keepLines w:val="0"/>
              <w:suppressLineNumbers w:val="0"/>
              <w:spacing w:before="0" w:beforeAutospacing="0" w:after="0" w:afterAutospacing="0" w:line="360" w:lineRule="auto"/>
              <w:ind w:left="0" w:right="0" w:firstLine="482"/>
              <w:rPr>
                <w:rFonts w:hint="default"/>
                <w:b/>
                <w:color w:val="auto"/>
              </w:rPr>
            </w:pPr>
            <w:r>
              <w:rPr>
                <w:rFonts w:hint="default"/>
                <w:b/>
                <w:color w:val="auto"/>
              </w:rPr>
              <w:t>一、大气环境</w:t>
            </w:r>
            <w:r>
              <w:rPr>
                <w:rFonts w:hint="eastAsia"/>
                <w:b/>
                <w:color w:val="auto"/>
              </w:rPr>
              <w:t>保护措施</w:t>
            </w:r>
          </w:p>
          <w:p w14:paraId="6ED8E65A">
            <w:pPr>
              <w:pStyle w:val="145"/>
              <w:keepNext w:val="0"/>
              <w:keepLines w:val="0"/>
              <w:suppressLineNumbers w:val="0"/>
              <w:spacing w:before="0" w:beforeAutospacing="0" w:after="0" w:afterAutospacing="0" w:line="360" w:lineRule="auto"/>
              <w:ind w:left="0" w:right="0" w:firstLine="480"/>
              <w:rPr>
                <w:rFonts w:hint="default"/>
                <w:color w:val="auto"/>
              </w:rPr>
            </w:pPr>
            <w:r>
              <w:rPr>
                <w:rFonts w:hint="default" w:ascii="Times New Roman" w:hAnsi="Times New Roman"/>
                <w:color w:val="auto"/>
              </w:rPr>
              <w:t>1、</w:t>
            </w:r>
            <w:r>
              <w:rPr>
                <w:rFonts w:hint="default"/>
                <w:color w:val="auto"/>
              </w:rPr>
              <w:t>施工扬尘</w:t>
            </w:r>
          </w:p>
          <w:p w14:paraId="30E2855C">
            <w:pPr>
              <w:pStyle w:val="145"/>
              <w:keepNext w:val="0"/>
              <w:keepLines w:val="0"/>
              <w:suppressLineNumbers w:val="0"/>
              <w:spacing w:before="0" w:beforeAutospacing="0" w:after="0" w:afterAutospacing="0" w:line="360" w:lineRule="auto"/>
              <w:ind w:left="0" w:right="0" w:firstLine="480"/>
              <w:rPr>
                <w:rFonts w:hint="default" w:ascii="Times New Roman" w:hAnsi="Times New Roman"/>
                <w:color w:val="auto"/>
              </w:rPr>
            </w:pPr>
            <w:r>
              <w:rPr>
                <w:rFonts w:hint="default" w:ascii="Times New Roman" w:hAnsi="Times New Roman"/>
                <w:color w:val="auto"/>
              </w:rPr>
              <w:t>施工筑路材料主要靠汽车运输，运输过程产生的扬尘及汽车尾气会污染大气环境，施工工地的扬尘50%以上是汽车运输材料引起的道路扬尘；另外，还有挖方、填方、材料装卸等工序产生的扬尘。这些扬尘粒径在3</w:t>
            </w:r>
            <w:r>
              <w:rPr>
                <w:rFonts w:hint="eastAsia" w:ascii="Times New Roman" w:hAnsi="Times New Roman"/>
                <w:color w:val="auto"/>
                <w:lang w:eastAsia="zh-CN"/>
              </w:rPr>
              <w:t>～</w:t>
            </w:r>
            <w:r>
              <w:rPr>
                <w:rFonts w:hint="default" w:ascii="Times New Roman" w:hAnsi="Times New Roman"/>
                <w:color w:val="auto"/>
              </w:rPr>
              <w:t>80µm之间，比重在1.2~1.3。从粒径分析，施工扬尘易于沉降。项目工程施工作业时，必须加强洒水等防尘工作，降低扬尘的产生量，从源头上降低施工扬尘对环境空气质量和敏感点的影响。在加强洒水防尘作业后，项目勘探期对环境的影响是局部的，并随着施工的结束而结束。</w:t>
            </w:r>
          </w:p>
          <w:p w14:paraId="4304B6DB">
            <w:pPr>
              <w:pStyle w:val="145"/>
              <w:keepNext w:val="0"/>
              <w:keepLines w:val="0"/>
              <w:suppressLineNumbers w:val="0"/>
              <w:spacing w:before="0" w:beforeAutospacing="0" w:after="0" w:afterAutospacing="0" w:line="360" w:lineRule="auto"/>
              <w:ind w:left="0" w:right="0" w:firstLine="480"/>
              <w:rPr>
                <w:rFonts w:hint="eastAsia" w:ascii="Times New Roman" w:hAnsi="Times New Roman"/>
                <w:color w:val="auto"/>
              </w:rPr>
            </w:pPr>
            <w:r>
              <w:rPr>
                <w:rFonts w:hint="default" w:ascii="Times New Roman" w:hAnsi="Times New Roman"/>
                <w:color w:val="auto"/>
              </w:rPr>
              <w:t>为有效控制勘探期间的扬尘影响，建设单位</w:t>
            </w:r>
            <w:r>
              <w:rPr>
                <w:rFonts w:hint="eastAsia" w:ascii="Times New Roman" w:hAnsi="Times New Roman"/>
                <w:color w:val="auto"/>
              </w:rPr>
              <w:t>应</w:t>
            </w:r>
            <w:r>
              <w:rPr>
                <w:rFonts w:hint="default" w:ascii="Times New Roman" w:hAnsi="Times New Roman"/>
                <w:color w:val="auto"/>
              </w:rPr>
              <w:t>采取以下抑尘措施，可较大限度</w:t>
            </w:r>
            <w:r>
              <w:rPr>
                <w:rFonts w:hint="eastAsia" w:ascii="Times New Roman" w:hAnsi="Times New Roman"/>
                <w:color w:val="auto"/>
                <w:lang w:eastAsia="zh-CN"/>
              </w:rPr>
              <w:t>地</w:t>
            </w:r>
            <w:r>
              <w:rPr>
                <w:rFonts w:hint="default" w:ascii="Times New Roman" w:hAnsi="Times New Roman"/>
                <w:color w:val="auto"/>
              </w:rPr>
              <w:t>降低施工扬尘对周围环境的影响。</w:t>
            </w:r>
          </w:p>
          <w:p w14:paraId="36CFAE66">
            <w:pPr>
              <w:pStyle w:val="145"/>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b/>
                <w:color w:val="auto"/>
              </w:rPr>
            </w:pPr>
            <w:r>
              <w:rPr>
                <w:rFonts w:hint="default" w:ascii="Times New Roman" w:hAnsi="Times New Roman"/>
                <w:b/>
                <w:color w:val="auto"/>
              </w:rPr>
              <w:t>表</w:t>
            </w:r>
            <w:r>
              <w:rPr>
                <w:rFonts w:hint="eastAsia" w:ascii="Times New Roman" w:hAnsi="Times New Roman"/>
                <w:b/>
                <w:color w:val="auto"/>
              </w:rPr>
              <w:t>5</w:t>
            </w:r>
            <w:r>
              <w:rPr>
                <w:rFonts w:hint="default" w:ascii="Times New Roman" w:hAnsi="Times New Roman"/>
                <w:b/>
                <w:color w:val="auto"/>
              </w:rPr>
              <w:t>-1</w:t>
            </w:r>
            <w:r>
              <w:rPr>
                <w:rFonts w:hint="eastAsia" w:ascii="Times New Roman" w:hAnsi="Times New Roman"/>
                <w:b/>
                <w:color w:val="auto"/>
              </w:rPr>
              <w:t xml:space="preserve"> </w:t>
            </w:r>
            <w:r>
              <w:rPr>
                <w:rFonts w:hint="default" w:ascii="Times New Roman" w:hAnsi="Times New Roman"/>
                <w:b/>
                <w:color w:val="auto"/>
              </w:rPr>
              <w:t>施工扬尘防治措施一览表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468"/>
              <w:gridCol w:w="911"/>
              <w:gridCol w:w="4418"/>
              <w:gridCol w:w="2407"/>
            </w:tblGrid>
            <w:tr w14:paraId="423AC0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85" w:type="pct"/>
                  <w:noWrap w:val="0"/>
                  <w:vAlign w:val="center"/>
                </w:tcPr>
                <w:p w14:paraId="5F2462E7">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序号</w:t>
                  </w:r>
                </w:p>
              </w:tc>
              <w:tc>
                <w:tcPr>
                  <w:tcW w:w="555" w:type="pct"/>
                  <w:noWrap w:val="0"/>
                  <w:vAlign w:val="center"/>
                </w:tcPr>
                <w:p w14:paraId="24D8CE2B">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防治措施</w:t>
                  </w:r>
                </w:p>
              </w:tc>
              <w:tc>
                <w:tcPr>
                  <w:tcW w:w="2691" w:type="pct"/>
                  <w:noWrap w:val="0"/>
                  <w:vAlign w:val="center"/>
                </w:tcPr>
                <w:p w14:paraId="5FAC2449">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具体要求</w:t>
                  </w:r>
                </w:p>
              </w:tc>
              <w:tc>
                <w:tcPr>
                  <w:tcW w:w="1466" w:type="pct"/>
                  <w:noWrap w:val="0"/>
                  <w:vAlign w:val="center"/>
                </w:tcPr>
                <w:p w14:paraId="3F443A38">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拟采取措施</w:t>
                  </w:r>
                </w:p>
              </w:tc>
            </w:tr>
            <w:tr w14:paraId="7142DA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85" w:type="pct"/>
                  <w:noWrap w:val="0"/>
                  <w:vAlign w:val="center"/>
                </w:tcPr>
                <w:p w14:paraId="31991E57">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1</w:t>
                  </w:r>
                </w:p>
              </w:tc>
              <w:tc>
                <w:tcPr>
                  <w:tcW w:w="555" w:type="pct"/>
                  <w:noWrap w:val="0"/>
                  <w:vAlign w:val="center"/>
                </w:tcPr>
                <w:p w14:paraId="275F1775">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设置扬尘防治公示牌</w:t>
                  </w:r>
                </w:p>
              </w:tc>
              <w:tc>
                <w:tcPr>
                  <w:tcW w:w="2691" w:type="pct"/>
                  <w:noWrap w:val="0"/>
                  <w:vAlign w:val="center"/>
                </w:tcPr>
                <w:p w14:paraId="2FC2957E">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必须在施工现场出入口明显位置设置扬尘防治公示牌，内容包括建设、施工、监理及监管等单位名称、扬尘防治负责人的名称、联系电话、举报电话等</w:t>
                  </w:r>
                </w:p>
              </w:tc>
              <w:tc>
                <w:tcPr>
                  <w:tcW w:w="1466" w:type="pct"/>
                  <w:vMerge w:val="restart"/>
                  <w:noWrap w:val="0"/>
                  <w:vAlign w:val="center"/>
                </w:tcPr>
                <w:p w14:paraId="7E7A70E5">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lang w:eastAsia="zh-CN"/>
                    </w:rPr>
                    <w:t>本工程</w:t>
                  </w:r>
                  <w:r>
                    <w:rPr>
                      <w:rFonts w:hint="eastAsia"/>
                      <w:color w:val="auto"/>
                      <w:szCs w:val="21"/>
                    </w:rPr>
                    <w:t>在施工现场边界区域设置</w:t>
                  </w:r>
                  <w:r>
                    <w:rPr>
                      <w:rFonts w:hint="eastAsia"/>
                      <w:color w:val="auto"/>
                      <w:szCs w:val="21"/>
                      <w:lang w:val="en-US" w:eastAsia="zh-CN"/>
                    </w:rPr>
                    <w:t>1.8m</w:t>
                  </w:r>
                  <w:r>
                    <w:rPr>
                      <w:rFonts w:hint="eastAsia"/>
                      <w:color w:val="auto"/>
                      <w:szCs w:val="21"/>
                    </w:rPr>
                    <w:t>围挡，设置警示牌等措施。</w:t>
                  </w:r>
                </w:p>
              </w:tc>
            </w:tr>
            <w:tr w14:paraId="67D0B7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85" w:type="pct"/>
                  <w:noWrap w:val="0"/>
                  <w:vAlign w:val="center"/>
                </w:tcPr>
                <w:p w14:paraId="6CEBCEB5">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2</w:t>
                  </w:r>
                </w:p>
              </w:tc>
              <w:tc>
                <w:tcPr>
                  <w:tcW w:w="555" w:type="pct"/>
                  <w:noWrap w:val="0"/>
                  <w:vAlign w:val="center"/>
                </w:tcPr>
                <w:p w14:paraId="3378F1E7">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设置围挡</w:t>
                  </w:r>
                </w:p>
              </w:tc>
              <w:tc>
                <w:tcPr>
                  <w:tcW w:w="2691" w:type="pct"/>
                  <w:noWrap w:val="0"/>
                  <w:vAlign w:val="center"/>
                </w:tcPr>
                <w:p w14:paraId="75C33C76">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施工现场设置硬质围挡，围挡应坚固、美观，严禁围挡不严或敞开式施工</w:t>
                  </w:r>
                  <w:r>
                    <w:rPr>
                      <w:rFonts w:hint="eastAsia"/>
                      <w:color w:val="auto"/>
                      <w:szCs w:val="21"/>
                    </w:rPr>
                    <w:t>，</w:t>
                  </w:r>
                  <w:r>
                    <w:rPr>
                      <w:rFonts w:hint="default"/>
                      <w:color w:val="auto"/>
                      <w:szCs w:val="21"/>
                    </w:rPr>
                    <w:t>高度不低于1.8米</w:t>
                  </w:r>
                  <w:r>
                    <w:rPr>
                      <w:rFonts w:hint="eastAsia"/>
                      <w:color w:val="auto"/>
                      <w:szCs w:val="21"/>
                    </w:rPr>
                    <w:t>。</w:t>
                  </w:r>
                </w:p>
              </w:tc>
              <w:tc>
                <w:tcPr>
                  <w:tcW w:w="1466" w:type="pct"/>
                  <w:vMerge w:val="continue"/>
                  <w:noWrap w:val="0"/>
                  <w:vAlign w:val="center"/>
                </w:tcPr>
                <w:p w14:paraId="798185AB">
                  <w:pPr>
                    <w:keepNext w:val="0"/>
                    <w:keepLines w:val="0"/>
                    <w:suppressLineNumbers w:val="0"/>
                    <w:spacing w:before="0" w:beforeAutospacing="0" w:after="0" w:afterAutospacing="0"/>
                    <w:ind w:left="0" w:right="0"/>
                    <w:jc w:val="center"/>
                    <w:rPr>
                      <w:rFonts w:hint="default"/>
                      <w:color w:val="auto"/>
                      <w:szCs w:val="21"/>
                    </w:rPr>
                  </w:pPr>
                </w:p>
              </w:tc>
            </w:tr>
            <w:tr w14:paraId="28C6F7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85" w:type="pct"/>
                  <w:noWrap w:val="0"/>
                  <w:vAlign w:val="center"/>
                </w:tcPr>
                <w:p w14:paraId="335717E6">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3</w:t>
                  </w:r>
                </w:p>
              </w:tc>
              <w:tc>
                <w:tcPr>
                  <w:tcW w:w="555" w:type="pct"/>
                  <w:noWrap w:val="0"/>
                  <w:vAlign w:val="center"/>
                </w:tcPr>
                <w:p w14:paraId="769CF90D">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密闭苫盖措施</w:t>
                  </w:r>
                </w:p>
              </w:tc>
              <w:tc>
                <w:tcPr>
                  <w:tcW w:w="2691" w:type="pct"/>
                  <w:noWrap w:val="0"/>
                  <w:vAlign w:val="center"/>
                </w:tcPr>
                <w:p w14:paraId="4816608E">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1、建筑材料采用密闭存储、设置围挡或堆砌围墙、采用防尘布苫盖等措施；</w:t>
                  </w:r>
                </w:p>
                <w:p w14:paraId="6531EAA4">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2、建筑垃圾采用覆盖防尘布、</w:t>
                  </w:r>
                  <w:r>
                    <w:rPr>
                      <w:rFonts w:hint="eastAsia"/>
                      <w:color w:val="auto"/>
                      <w:szCs w:val="21"/>
                      <w:lang w:eastAsia="zh-CN"/>
                    </w:rPr>
                    <w:t>盖土网</w:t>
                  </w:r>
                  <w:r>
                    <w:rPr>
                      <w:rFonts w:hint="default"/>
                      <w:color w:val="auto"/>
                      <w:szCs w:val="21"/>
                    </w:rPr>
                    <w:t>、定期喷洒抑尘剂、定期喷水压尘等措施，生活垃圾应用封闭式容器存放，日产日清，严禁随意丢弃；</w:t>
                  </w:r>
                </w:p>
                <w:p w14:paraId="7A55F470">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3、施工现场集中堆放的土方和裸露场地必须采取覆盖、固化或绿化等降尘措施，严禁裸露；</w:t>
                  </w:r>
                </w:p>
                <w:p w14:paraId="5D71A310">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4、施工现场易飞扬的细颗粒建筑材料必须密闭存放或严密覆盖，严禁露天放置；搬运时应有降尘措施，余料及时回收；</w:t>
                  </w:r>
                </w:p>
              </w:tc>
              <w:tc>
                <w:tcPr>
                  <w:tcW w:w="1466" w:type="pct"/>
                  <w:noWrap w:val="0"/>
                  <w:vAlign w:val="center"/>
                </w:tcPr>
                <w:p w14:paraId="4521C891">
                  <w:pPr>
                    <w:keepNext w:val="0"/>
                    <w:keepLines w:val="0"/>
                    <w:suppressLineNumbers w:val="0"/>
                    <w:spacing w:before="0" w:beforeAutospacing="0" w:after="0" w:afterAutospacing="0"/>
                    <w:ind w:left="0" w:right="0"/>
                    <w:jc w:val="center"/>
                    <w:rPr>
                      <w:rFonts w:hint="eastAsia" w:eastAsia="宋体"/>
                      <w:color w:val="auto"/>
                      <w:szCs w:val="21"/>
                      <w:lang w:eastAsia="zh-CN"/>
                    </w:rPr>
                  </w:pPr>
                  <w:r>
                    <w:rPr>
                      <w:rFonts w:hint="eastAsia"/>
                      <w:color w:val="auto"/>
                      <w:szCs w:val="21"/>
                    </w:rPr>
                    <w:t>施工期要求建筑材料堆放采取防风</w:t>
                  </w:r>
                  <w:r>
                    <w:rPr>
                      <w:rFonts w:hint="eastAsia"/>
                      <w:color w:val="auto"/>
                      <w:szCs w:val="21"/>
                      <w:lang w:eastAsia="zh-CN"/>
                    </w:rPr>
                    <w:t>盖土网</w:t>
                  </w:r>
                  <w:r>
                    <w:rPr>
                      <w:rFonts w:hint="eastAsia"/>
                      <w:color w:val="auto"/>
                      <w:szCs w:val="21"/>
                    </w:rPr>
                    <w:t>遮盖</w:t>
                  </w:r>
                  <w:r>
                    <w:rPr>
                      <w:rFonts w:hint="eastAsia"/>
                      <w:color w:val="auto"/>
                      <w:szCs w:val="21"/>
                      <w:lang w:eastAsia="zh-CN"/>
                    </w:rPr>
                    <w:t>、定期喷水压尘等措施</w:t>
                  </w:r>
                  <w:r>
                    <w:rPr>
                      <w:rFonts w:hint="eastAsia"/>
                      <w:color w:val="auto"/>
                      <w:szCs w:val="21"/>
                    </w:rPr>
                    <w:t>。生活垃圾</w:t>
                  </w:r>
                  <w:r>
                    <w:rPr>
                      <w:rFonts w:hint="eastAsia"/>
                      <w:color w:val="auto"/>
                      <w:szCs w:val="21"/>
                      <w:lang w:eastAsia="zh-CN"/>
                    </w:rPr>
                    <w:t>采取封闭式容器存放，并</w:t>
                  </w:r>
                  <w:r>
                    <w:rPr>
                      <w:rFonts w:hint="eastAsia"/>
                      <w:color w:val="auto"/>
                      <w:szCs w:val="21"/>
                    </w:rPr>
                    <w:t>日产日清</w:t>
                  </w:r>
                  <w:r>
                    <w:rPr>
                      <w:rFonts w:hint="eastAsia"/>
                      <w:color w:val="auto"/>
                      <w:szCs w:val="21"/>
                      <w:lang w:eastAsia="zh-CN"/>
                    </w:rPr>
                    <w:t>。</w:t>
                  </w:r>
                </w:p>
              </w:tc>
            </w:tr>
            <w:tr w14:paraId="25BBDD7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85" w:type="pct"/>
                  <w:noWrap w:val="0"/>
                  <w:vAlign w:val="center"/>
                </w:tcPr>
                <w:p w14:paraId="53743D04">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4</w:t>
                  </w:r>
                </w:p>
              </w:tc>
              <w:tc>
                <w:tcPr>
                  <w:tcW w:w="555" w:type="pct"/>
                  <w:noWrap w:val="0"/>
                  <w:vAlign w:val="center"/>
                </w:tcPr>
                <w:p w14:paraId="030BFE40">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物料运输车辆密闭措施</w:t>
                  </w:r>
                </w:p>
              </w:tc>
              <w:tc>
                <w:tcPr>
                  <w:tcW w:w="2691" w:type="pct"/>
                  <w:noWrap w:val="0"/>
                  <w:vAlign w:val="center"/>
                </w:tcPr>
                <w:p w14:paraId="32E56102">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1、进出工地的物料、渣土、垃圾运输车辆，应尽可能采用密闭车斗，并保证物料不遗撒外漏。若无密闭车斗，物料、垃圾、渣土的装载高度不得超过车辆槽帮上沿，车斗应用苫布遮盖严实；</w:t>
                  </w:r>
                </w:p>
                <w:p w14:paraId="79A94CCD">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2、装卸和运输渣土、砂石、建筑垃圾等易产生扬尘污染物料的，应当采取完全密闭措施。</w:t>
                  </w:r>
                </w:p>
              </w:tc>
              <w:tc>
                <w:tcPr>
                  <w:tcW w:w="1466" w:type="pct"/>
                  <w:noWrap w:val="0"/>
                  <w:vAlign w:val="center"/>
                </w:tcPr>
                <w:p w14:paraId="391334E1">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施工运输车辆应用</w:t>
                  </w:r>
                  <w:r>
                    <w:rPr>
                      <w:rFonts w:hint="eastAsia"/>
                      <w:color w:val="auto"/>
                      <w:szCs w:val="21"/>
                      <w:lang w:eastAsia="zh-CN"/>
                    </w:rPr>
                    <w:t>篷布</w:t>
                  </w:r>
                  <w:r>
                    <w:rPr>
                      <w:rFonts w:hint="eastAsia"/>
                      <w:color w:val="auto"/>
                      <w:szCs w:val="21"/>
                    </w:rPr>
                    <w:t>遮盖，严禁超载，严禁沿路遗撒，并对运输场地周</w:t>
                  </w:r>
                </w:p>
                <w:p w14:paraId="3194863E">
                  <w:pPr>
                    <w:keepNext w:val="0"/>
                    <w:keepLines w:val="0"/>
                    <w:suppressLineNumbers w:val="0"/>
                    <w:spacing w:before="0" w:beforeAutospacing="0" w:after="0" w:afterAutospacing="0"/>
                    <w:ind w:left="0" w:right="0"/>
                    <w:jc w:val="center"/>
                    <w:rPr>
                      <w:rFonts w:hint="eastAsia" w:eastAsia="宋体"/>
                      <w:color w:val="auto"/>
                      <w:szCs w:val="21"/>
                      <w:lang w:eastAsia="zh-CN"/>
                    </w:rPr>
                  </w:pPr>
                  <w:r>
                    <w:rPr>
                      <w:rFonts w:hint="eastAsia"/>
                      <w:color w:val="auto"/>
                      <w:szCs w:val="21"/>
                      <w:highlight w:val="none"/>
                    </w:rPr>
                    <w:t>围</w:t>
                  </w:r>
                  <w:r>
                    <w:rPr>
                      <w:rFonts w:hint="eastAsia"/>
                      <w:color w:val="auto"/>
                      <w:szCs w:val="21"/>
                    </w:rPr>
                    <w:t>定期洒水抑尘</w:t>
                  </w:r>
                  <w:r>
                    <w:rPr>
                      <w:rFonts w:hint="eastAsia"/>
                      <w:color w:val="auto"/>
                      <w:szCs w:val="21"/>
                      <w:lang w:eastAsia="zh-CN"/>
                    </w:rPr>
                    <w:t>；装卸和运输易产生扬尘污染物料时，采取完全密闭措施。</w:t>
                  </w:r>
                </w:p>
              </w:tc>
            </w:tr>
            <w:tr w14:paraId="11163FA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85" w:type="pct"/>
                  <w:vMerge w:val="restart"/>
                  <w:noWrap w:val="0"/>
                  <w:vAlign w:val="center"/>
                </w:tcPr>
                <w:p w14:paraId="20D1147F">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5</w:t>
                  </w:r>
                </w:p>
              </w:tc>
              <w:tc>
                <w:tcPr>
                  <w:tcW w:w="555" w:type="pct"/>
                  <w:vMerge w:val="restart"/>
                  <w:noWrap w:val="0"/>
                  <w:vAlign w:val="center"/>
                </w:tcPr>
                <w:p w14:paraId="5285E370">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洒水抑尘措施</w:t>
                  </w:r>
                </w:p>
              </w:tc>
              <w:tc>
                <w:tcPr>
                  <w:tcW w:w="2691" w:type="pct"/>
                  <w:noWrap w:val="0"/>
                  <w:vAlign w:val="center"/>
                </w:tcPr>
                <w:p w14:paraId="41864BAA">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遇到干燥、易起尘的土方工程作业时，应辅以洒水压尘，尽量缩短起尘操作时间，遇到四级及四级以上大风天气，应停止土方作业，同时作业处覆以</w:t>
                  </w:r>
                  <w:r>
                    <w:rPr>
                      <w:rFonts w:hint="eastAsia"/>
                      <w:color w:val="auto"/>
                      <w:szCs w:val="21"/>
                      <w:lang w:eastAsia="zh-CN"/>
                    </w:rPr>
                    <w:t>盖土网</w:t>
                  </w:r>
                  <w:r>
                    <w:rPr>
                      <w:rFonts w:hint="eastAsia"/>
                      <w:color w:val="auto"/>
                      <w:szCs w:val="21"/>
                    </w:rPr>
                    <w:t>；</w:t>
                  </w:r>
                </w:p>
              </w:tc>
              <w:tc>
                <w:tcPr>
                  <w:tcW w:w="1466" w:type="pct"/>
                  <w:vMerge w:val="restart"/>
                  <w:noWrap w:val="0"/>
                  <w:vAlign w:val="center"/>
                </w:tcPr>
                <w:p w14:paraId="7D272055">
                  <w:pPr>
                    <w:keepNext w:val="0"/>
                    <w:keepLines w:val="0"/>
                    <w:suppressLineNumbers w:val="0"/>
                    <w:spacing w:before="0" w:beforeAutospacing="0" w:after="0" w:afterAutospacing="0"/>
                    <w:ind w:left="0" w:right="0"/>
                    <w:jc w:val="center"/>
                    <w:rPr>
                      <w:rFonts w:hint="eastAsia" w:eastAsia="宋体"/>
                      <w:color w:val="auto"/>
                      <w:szCs w:val="21"/>
                      <w:lang w:eastAsia="zh-CN"/>
                    </w:rPr>
                  </w:pPr>
                  <w:r>
                    <w:rPr>
                      <w:rFonts w:hint="eastAsia"/>
                      <w:color w:val="auto"/>
                      <w:szCs w:val="21"/>
                      <w:lang w:eastAsia="zh-CN"/>
                    </w:rPr>
                    <w:t>在进行易起尘工程时、施工机械作业时，</w:t>
                  </w:r>
                  <w:r>
                    <w:rPr>
                      <w:rFonts w:hint="eastAsia"/>
                      <w:color w:val="auto"/>
                      <w:szCs w:val="21"/>
                    </w:rPr>
                    <w:t>地面定期洒水降尘，大风天气停止表土施工作业</w:t>
                  </w:r>
                  <w:r>
                    <w:rPr>
                      <w:rFonts w:hint="eastAsia"/>
                      <w:color w:val="auto"/>
                      <w:szCs w:val="21"/>
                      <w:lang w:eastAsia="zh-CN"/>
                    </w:rPr>
                    <w:t>。</w:t>
                  </w:r>
                </w:p>
              </w:tc>
            </w:tr>
            <w:tr w14:paraId="05A758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85" w:type="pct"/>
                  <w:vMerge w:val="continue"/>
                  <w:noWrap w:val="0"/>
                  <w:vAlign w:val="center"/>
                </w:tcPr>
                <w:p w14:paraId="786704FC">
                  <w:pPr>
                    <w:keepNext w:val="0"/>
                    <w:keepLines w:val="0"/>
                    <w:widowControl/>
                    <w:suppressLineNumbers w:val="0"/>
                    <w:spacing w:before="0" w:beforeAutospacing="0" w:after="0" w:afterAutospacing="0"/>
                    <w:ind w:left="0" w:right="0"/>
                    <w:jc w:val="left"/>
                    <w:rPr>
                      <w:rFonts w:hint="default"/>
                      <w:color w:val="auto"/>
                      <w:szCs w:val="21"/>
                    </w:rPr>
                  </w:pPr>
                </w:p>
              </w:tc>
              <w:tc>
                <w:tcPr>
                  <w:tcW w:w="555" w:type="pct"/>
                  <w:vMerge w:val="continue"/>
                  <w:noWrap w:val="0"/>
                  <w:vAlign w:val="center"/>
                </w:tcPr>
                <w:p w14:paraId="69EE2D16">
                  <w:pPr>
                    <w:keepNext w:val="0"/>
                    <w:keepLines w:val="0"/>
                    <w:widowControl/>
                    <w:suppressLineNumbers w:val="0"/>
                    <w:spacing w:before="0" w:beforeAutospacing="0" w:after="0" w:afterAutospacing="0"/>
                    <w:ind w:left="0" w:right="0"/>
                    <w:jc w:val="left"/>
                    <w:rPr>
                      <w:rFonts w:hint="default"/>
                      <w:color w:val="auto"/>
                      <w:szCs w:val="21"/>
                    </w:rPr>
                  </w:pPr>
                </w:p>
              </w:tc>
              <w:tc>
                <w:tcPr>
                  <w:tcW w:w="2691" w:type="pct"/>
                  <w:noWrap w:val="0"/>
                  <w:vAlign w:val="center"/>
                </w:tcPr>
                <w:p w14:paraId="47400C43">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1、施工机械在挖土、装土、堆土、路面切割、破碎等作业时，应当采取洒水等措施；</w:t>
                  </w:r>
                </w:p>
                <w:p w14:paraId="01C6DBF0">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2、对已回填后的沟槽，应当采取夯实、洒水、覆盖等措施；</w:t>
                  </w:r>
                </w:p>
                <w:p w14:paraId="2945E2EA">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3、使用风钻挖掘地面或者清扫施工现场时，应当向地面洒水。</w:t>
                  </w:r>
                </w:p>
              </w:tc>
              <w:tc>
                <w:tcPr>
                  <w:tcW w:w="1466" w:type="pct"/>
                  <w:vMerge w:val="continue"/>
                  <w:tcBorders>
                    <w:bottom w:val="single" w:color="auto" w:sz="4" w:space="0"/>
                  </w:tcBorders>
                  <w:noWrap w:val="0"/>
                  <w:vAlign w:val="center"/>
                </w:tcPr>
                <w:p w14:paraId="7B5AAD95">
                  <w:pPr>
                    <w:keepNext w:val="0"/>
                    <w:keepLines w:val="0"/>
                    <w:suppressLineNumbers w:val="0"/>
                    <w:spacing w:before="0" w:beforeAutospacing="0" w:after="0" w:afterAutospacing="0"/>
                    <w:ind w:left="0" w:right="0"/>
                    <w:jc w:val="center"/>
                    <w:rPr>
                      <w:rFonts w:hint="default"/>
                      <w:color w:val="auto"/>
                      <w:szCs w:val="21"/>
                    </w:rPr>
                  </w:pPr>
                </w:p>
              </w:tc>
            </w:tr>
            <w:tr w14:paraId="529AF5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80" w:hRule="atLeast"/>
                <w:jc w:val="center"/>
              </w:trPr>
              <w:tc>
                <w:tcPr>
                  <w:tcW w:w="285" w:type="pct"/>
                  <w:noWrap w:val="0"/>
                  <w:vAlign w:val="center"/>
                </w:tcPr>
                <w:p w14:paraId="614D9EB5">
                  <w:pPr>
                    <w:keepNext w:val="0"/>
                    <w:keepLines w:val="0"/>
                    <w:suppressLineNumbers w:val="0"/>
                    <w:spacing w:before="0" w:beforeAutospacing="0" w:after="0" w:afterAutospacing="0"/>
                    <w:ind w:left="0" w:right="0"/>
                    <w:jc w:val="center"/>
                    <w:rPr>
                      <w:rFonts w:hint="eastAsia" w:eastAsia="宋体"/>
                      <w:color w:val="auto"/>
                      <w:szCs w:val="21"/>
                      <w:lang w:eastAsia="zh-CN"/>
                    </w:rPr>
                  </w:pPr>
                  <w:r>
                    <w:rPr>
                      <w:rFonts w:hint="eastAsia"/>
                      <w:color w:val="auto"/>
                      <w:szCs w:val="21"/>
                      <w:lang w:val="en-US" w:eastAsia="zh-CN"/>
                    </w:rPr>
                    <w:t>6</w:t>
                  </w:r>
                </w:p>
              </w:tc>
              <w:tc>
                <w:tcPr>
                  <w:tcW w:w="555" w:type="pct"/>
                  <w:noWrap w:val="0"/>
                  <w:vAlign w:val="center"/>
                </w:tcPr>
                <w:p w14:paraId="54C760CF">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重污染天气应急预案</w:t>
                  </w:r>
                </w:p>
              </w:tc>
              <w:tc>
                <w:tcPr>
                  <w:tcW w:w="2691" w:type="pct"/>
                  <w:noWrap w:val="0"/>
                  <w:vAlign w:val="top"/>
                </w:tcPr>
                <w:p w14:paraId="46556164">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fldChar w:fldCharType="begin"/>
                  </w:r>
                  <w:r>
                    <w:rPr>
                      <w:rFonts w:hint="default"/>
                      <w:color w:val="auto"/>
                      <w:szCs w:val="21"/>
                    </w:rPr>
                    <w:instrText xml:space="preserve"> = 3 \* ROMAN </w:instrText>
                  </w:r>
                  <w:r>
                    <w:rPr>
                      <w:rFonts w:hint="default"/>
                      <w:color w:val="auto"/>
                      <w:szCs w:val="21"/>
                    </w:rPr>
                    <w:fldChar w:fldCharType="separate"/>
                  </w:r>
                  <w:r>
                    <w:rPr>
                      <w:rFonts w:hint="default"/>
                      <w:color w:val="auto"/>
                      <w:szCs w:val="21"/>
                    </w:rPr>
                    <w:t>III</w:t>
                  </w:r>
                  <w:r>
                    <w:rPr>
                      <w:rFonts w:hint="default"/>
                      <w:color w:val="auto"/>
                      <w:szCs w:val="21"/>
                    </w:rPr>
                    <w:fldChar w:fldCharType="end"/>
                  </w:r>
                  <w:r>
                    <w:rPr>
                      <w:rFonts w:hint="default"/>
                      <w:color w:val="auto"/>
                      <w:szCs w:val="21"/>
                    </w:rPr>
                    <w:t>级响应：城建部门督导建筑施工单位严格落实工地采取围挡措施，各类施工现场堆放的易产生扬尘物料应100%覆盖，裸露场地要增加洒水降尘频次（至少2次/日）。 市政管理部门负责在日常道路保洁频次的基础上，增加清扫、洒水、喷雾作业频次（至少2次/日）。</w:t>
                  </w:r>
                </w:p>
                <w:p w14:paraId="3FCE1486">
                  <w:pPr>
                    <w:keepNext w:val="0"/>
                    <w:keepLines w:val="0"/>
                    <w:suppressLineNumbers w:val="0"/>
                    <w:spacing w:before="0" w:beforeAutospacing="0" w:after="0" w:afterAutospacing="0"/>
                    <w:ind w:left="0" w:right="0"/>
                    <w:rPr>
                      <w:rFonts w:hint="default"/>
                      <w:color w:val="auto"/>
                      <w:szCs w:val="21"/>
                    </w:rPr>
                  </w:pPr>
                  <w:r>
                    <w:rPr>
                      <w:rFonts w:hint="eastAsia" w:ascii="宋体" w:hAnsi="宋体" w:eastAsia="宋体" w:cs="宋体"/>
                      <w:color w:val="auto"/>
                      <w:szCs w:val="21"/>
                    </w:rPr>
                    <w:t>Ⅱ</w:t>
                  </w:r>
                  <w:r>
                    <w:rPr>
                      <w:rFonts w:hint="default"/>
                      <w:color w:val="auto"/>
                      <w:szCs w:val="21"/>
                    </w:rPr>
                    <w:t>级响应：城建部门督导施工单位立即停止建筑工地室外作业，工地采取围挡措施，各类施工现场堆放的易产生扬尘物料应100%覆盖，裸露场地要增加洒水降尘频次（至少3次/日）。 市政管理部门负责在日常道路保洁频次的基础上，增加清扫、洒水、喷雾作业频次（至少3次/日）。</w:t>
                  </w:r>
                </w:p>
              </w:tc>
              <w:tc>
                <w:tcPr>
                  <w:tcW w:w="1466" w:type="pct"/>
                  <w:noWrap w:val="0"/>
                  <w:vAlign w:val="center"/>
                </w:tcPr>
                <w:p w14:paraId="6D06FC54">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根据大气污染预警等级和应急预案合理施工，采取停止施工等扬尘污染防治应急措施。</w:t>
                  </w:r>
                </w:p>
                <w:p w14:paraId="5F4CD7FB">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出现重污染天气或者四级以上大风天气状况时，不得进行拆除、土石方作业等可能产生扬尘污染的行为。</w:t>
                  </w:r>
                </w:p>
              </w:tc>
            </w:tr>
          </w:tbl>
          <w:p w14:paraId="2242D485">
            <w:pPr>
              <w:pStyle w:val="145"/>
              <w:keepNext w:val="0"/>
              <w:keepLines w:val="0"/>
              <w:suppressLineNumbers w:val="0"/>
              <w:spacing w:before="0" w:beforeAutospacing="0" w:after="0" w:afterAutospacing="0" w:line="360" w:lineRule="auto"/>
              <w:ind w:left="0" w:right="0" w:firstLine="480"/>
              <w:rPr>
                <w:rFonts w:hint="default" w:ascii="Times New Roman" w:hAnsi="Times New Roman"/>
                <w:color w:val="auto"/>
              </w:rPr>
            </w:pPr>
            <w:r>
              <w:rPr>
                <w:rFonts w:hint="eastAsia" w:ascii="Times New Roman" w:hAnsi="Times New Roman"/>
                <w:color w:val="auto"/>
              </w:rPr>
              <w:t>根据现场调查，井场周围100m范围内无居民点，且施工扬尘粒径较大，</w:t>
            </w:r>
            <w:r>
              <w:rPr>
                <w:rFonts w:hint="eastAsia" w:ascii="Times New Roman" w:hAnsi="Times New Roman"/>
                <w:color w:val="auto"/>
                <w:highlight w:val="none"/>
              </w:rPr>
              <w:t>漂移</w:t>
            </w:r>
            <w:r>
              <w:rPr>
                <w:rFonts w:hint="eastAsia" w:ascii="Times New Roman" w:hAnsi="Times New Roman"/>
                <w:color w:val="auto"/>
              </w:rPr>
              <w:t>距离短，因此，施工期间只要采取合理化管理、控制作业面积、土堆适当洒水抑尘、土建材料遮盖、大风天停止作业等措施，施工扬尘影响范围有限，</w:t>
            </w:r>
            <w:r>
              <w:rPr>
                <w:rFonts w:hint="default" w:ascii="Times New Roman" w:hAnsi="Times New Roman"/>
                <w:color w:val="auto"/>
              </w:rPr>
              <w:t>可满足《大气污染物综合排放标准》（GB16297-1996）表2</w:t>
            </w:r>
            <w:r>
              <w:rPr>
                <w:rFonts w:hint="eastAsia" w:ascii="Times New Roman" w:hAnsi="Times New Roman"/>
                <w:color w:val="auto"/>
              </w:rPr>
              <w:t>新污染源大气污染物排放限值中</w:t>
            </w:r>
            <w:r>
              <w:rPr>
                <w:rFonts w:hint="eastAsia" w:ascii="Times New Roman" w:hAnsi="Times New Roman"/>
                <w:color w:val="auto"/>
                <w:highlight w:val="none"/>
              </w:rPr>
              <w:t>的颗粒物</w:t>
            </w:r>
            <w:r>
              <w:rPr>
                <w:rFonts w:hint="eastAsia" w:ascii="Times New Roman" w:hAnsi="Times New Roman"/>
                <w:color w:val="auto"/>
              </w:rPr>
              <w:t>无组织排放监控浓度限值</w:t>
            </w:r>
            <w:r>
              <w:rPr>
                <w:rFonts w:hint="default" w:ascii="Times New Roman" w:hAnsi="Times New Roman"/>
                <w:color w:val="auto"/>
              </w:rPr>
              <w:t>1.0mg/m</w:t>
            </w:r>
            <w:r>
              <w:rPr>
                <w:rFonts w:hint="default" w:ascii="Times New Roman" w:hAnsi="Times New Roman"/>
                <w:color w:val="auto"/>
                <w:vertAlign w:val="superscript"/>
              </w:rPr>
              <w:t>3</w:t>
            </w:r>
            <w:r>
              <w:rPr>
                <w:rFonts w:hint="eastAsia" w:ascii="Times New Roman" w:hAnsi="Times New Roman"/>
                <w:color w:val="auto"/>
              </w:rPr>
              <w:t>，</w:t>
            </w:r>
            <w:r>
              <w:rPr>
                <w:rFonts w:hint="default" w:ascii="Times New Roman" w:hAnsi="Times New Roman"/>
                <w:color w:val="auto"/>
              </w:rPr>
              <w:t>最大限度</w:t>
            </w:r>
            <w:r>
              <w:rPr>
                <w:rFonts w:hint="eastAsia" w:ascii="Times New Roman" w:hAnsi="Times New Roman"/>
                <w:color w:val="auto"/>
                <w:lang w:eastAsia="zh-CN"/>
              </w:rPr>
              <w:t>地</w:t>
            </w:r>
            <w:r>
              <w:rPr>
                <w:rFonts w:hint="default" w:ascii="Times New Roman" w:hAnsi="Times New Roman"/>
                <w:color w:val="auto"/>
              </w:rPr>
              <w:t>降低施工扬尘对周围环境的影响，随着勘探期的结束，施工扬尘影响也将结束</w:t>
            </w:r>
            <w:r>
              <w:rPr>
                <w:rFonts w:hint="eastAsia" w:ascii="Times New Roman" w:hAnsi="Times New Roman"/>
                <w:color w:val="auto"/>
              </w:rPr>
              <w:t>，不会对附近居民点产生明显影响。</w:t>
            </w:r>
          </w:p>
          <w:p w14:paraId="00BE0FCD">
            <w:pPr>
              <w:pStyle w:val="145"/>
              <w:keepNext w:val="0"/>
              <w:keepLines w:val="0"/>
              <w:suppressLineNumbers w:val="0"/>
              <w:spacing w:before="0" w:beforeAutospacing="0" w:after="0" w:afterAutospacing="0" w:line="360" w:lineRule="auto"/>
              <w:ind w:left="0" w:right="0" w:firstLine="480"/>
              <w:rPr>
                <w:rFonts w:hint="default" w:ascii="Times New Roman" w:hAnsi="Times New Roman"/>
                <w:color w:val="auto"/>
              </w:rPr>
            </w:pPr>
            <w:r>
              <w:rPr>
                <w:rFonts w:hint="default" w:ascii="Times New Roman" w:hAnsi="Times New Roman"/>
                <w:color w:val="auto"/>
              </w:rPr>
              <w:t>2、发电机组燃油废气</w:t>
            </w:r>
          </w:p>
          <w:p w14:paraId="283A6357">
            <w:pPr>
              <w:keepNext w:val="0"/>
              <w:keepLines w:val="0"/>
              <w:suppressLineNumbers w:val="0"/>
              <w:spacing w:before="0" w:beforeAutospacing="0" w:after="0" w:afterAutospacing="0" w:line="360" w:lineRule="auto"/>
              <w:ind w:left="0" w:right="0" w:firstLine="480"/>
              <w:rPr>
                <w:rFonts w:hint="eastAsia"/>
                <w:color w:val="auto"/>
                <w:sz w:val="24"/>
              </w:rPr>
            </w:pPr>
            <w:r>
              <w:rPr>
                <w:rFonts w:hint="eastAsia"/>
                <w:color w:val="auto"/>
                <w:sz w:val="24"/>
              </w:rPr>
              <w:t>柴油发电机使用符合国标的0#或-35#轻质柴油，使用过程产生燃烧废气，废气</w:t>
            </w:r>
            <w:r>
              <w:rPr>
                <w:rFonts w:hint="default"/>
                <w:color w:val="auto"/>
                <w:sz w:val="24"/>
              </w:rPr>
              <w:t>排放满足《大气污染物综合排放标准》（GB16297-1996）中表2最高允许排放浓度指标要求</w:t>
            </w:r>
            <w:r>
              <w:rPr>
                <w:rFonts w:hint="eastAsia"/>
                <w:color w:val="auto"/>
                <w:sz w:val="24"/>
              </w:rPr>
              <w:t>。</w:t>
            </w:r>
          </w:p>
          <w:p w14:paraId="4F1AA55D">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rPr>
              <w:t>施工期加强对设备检修和维护保养，使其保持良好的工作状态，严禁使用超期服役和尾气超标的设备；选用优质燃油，减少有害废气排放，避免排放黑烟。同时项目勘探期很短，影响范围很小，周边较为空旷，扩散条件好，当地大气环境质量的影响将是局部的、暂时的，不会造成大的影响，措施可行</w:t>
            </w:r>
            <w:r>
              <w:rPr>
                <w:rFonts w:hint="default"/>
                <w:color w:val="auto"/>
                <w:sz w:val="24"/>
              </w:rPr>
              <w:t>。</w:t>
            </w:r>
          </w:p>
          <w:p w14:paraId="7EF82F4B">
            <w:pPr>
              <w:pStyle w:val="145"/>
              <w:keepNext w:val="0"/>
              <w:keepLines w:val="0"/>
              <w:suppressLineNumbers w:val="0"/>
              <w:spacing w:before="0" w:beforeAutospacing="0" w:after="0" w:afterAutospacing="0" w:line="360" w:lineRule="auto"/>
              <w:ind w:left="0" w:right="0" w:firstLine="480"/>
              <w:rPr>
                <w:rFonts w:hint="eastAsia" w:ascii="Times New Roman" w:hAnsi="Times New Roman"/>
                <w:color w:val="auto"/>
                <w:szCs w:val="24"/>
              </w:rPr>
            </w:pPr>
            <w:r>
              <w:rPr>
                <w:rFonts w:hint="eastAsia" w:ascii="Times New Roman" w:hAnsi="Times New Roman"/>
                <w:color w:val="auto"/>
                <w:szCs w:val="24"/>
              </w:rPr>
              <w:t>3、柴油罐挥发非甲烷总烃废气</w:t>
            </w:r>
          </w:p>
          <w:p w14:paraId="56F3A893">
            <w:pPr>
              <w:pStyle w:val="145"/>
              <w:keepNext w:val="0"/>
              <w:keepLines w:val="0"/>
              <w:suppressLineNumbers w:val="0"/>
              <w:spacing w:before="0" w:beforeAutospacing="0" w:after="0" w:afterAutospacing="0" w:line="360" w:lineRule="auto"/>
              <w:ind w:left="0" w:right="0" w:firstLine="480"/>
              <w:rPr>
                <w:rFonts w:hint="eastAsia" w:ascii="Times New Roman" w:hAnsi="Times New Roman"/>
                <w:color w:val="auto"/>
                <w:szCs w:val="24"/>
                <w:highlight w:val="none"/>
              </w:rPr>
            </w:pPr>
            <w:r>
              <w:rPr>
                <w:rFonts w:hint="eastAsia" w:ascii="Times New Roman" w:hAnsi="Times New Roman"/>
                <w:color w:val="auto"/>
                <w:szCs w:val="24"/>
                <w:highlight w:val="none"/>
              </w:rPr>
              <w:t>为防止烃类气体的无组织挥发，</w:t>
            </w:r>
            <w:r>
              <w:rPr>
                <w:rFonts w:hint="eastAsia" w:ascii="Times New Roman" w:hAnsi="Times New Roman"/>
                <w:color w:val="auto"/>
                <w:szCs w:val="24"/>
                <w:highlight w:val="none"/>
                <w:lang w:eastAsia="zh-CN"/>
              </w:rPr>
              <w:t>本工程</w:t>
            </w:r>
            <w:r>
              <w:rPr>
                <w:rFonts w:hint="eastAsia" w:ascii="Times New Roman" w:hAnsi="Times New Roman"/>
                <w:color w:val="auto"/>
                <w:szCs w:val="24"/>
                <w:highlight w:val="none"/>
              </w:rPr>
              <w:t>拟采取以下措施：</w:t>
            </w:r>
          </w:p>
          <w:p w14:paraId="756F1EFD">
            <w:pPr>
              <w:pStyle w:val="145"/>
              <w:keepNext w:val="0"/>
              <w:keepLines w:val="0"/>
              <w:suppressLineNumbers w:val="0"/>
              <w:spacing w:before="0" w:beforeAutospacing="0" w:after="0" w:afterAutospacing="0" w:line="360" w:lineRule="auto"/>
              <w:ind w:left="0" w:right="0" w:firstLine="480"/>
              <w:rPr>
                <w:rFonts w:hint="eastAsia" w:ascii="Times New Roman" w:hAnsi="Times New Roman"/>
                <w:color w:val="auto"/>
                <w:szCs w:val="24"/>
                <w:highlight w:val="none"/>
              </w:rPr>
            </w:pPr>
            <w:r>
              <w:rPr>
                <w:rFonts w:hint="eastAsia" w:ascii="Times New Roman" w:hAnsi="Times New Roman"/>
                <w:color w:val="auto"/>
                <w:szCs w:val="24"/>
                <w:highlight w:val="none"/>
              </w:rPr>
              <w:t>（1）储油罐采用防腐贮罐，采用环密技术防止烃类泄漏。</w:t>
            </w:r>
          </w:p>
          <w:p w14:paraId="3A4296F5">
            <w:pPr>
              <w:pStyle w:val="145"/>
              <w:keepNext w:val="0"/>
              <w:keepLines w:val="0"/>
              <w:suppressLineNumbers w:val="0"/>
              <w:spacing w:before="0" w:beforeAutospacing="0" w:after="0" w:afterAutospacing="0" w:line="360" w:lineRule="auto"/>
              <w:ind w:left="0" w:right="0" w:firstLine="480"/>
              <w:rPr>
                <w:rFonts w:hint="eastAsia" w:ascii="Times New Roman" w:hAnsi="Times New Roman"/>
                <w:color w:val="auto"/>
                <w:szCs w:val="24"/>
                <w:highlight w:val="none"/>
              </w:rPr>
            </w:pPr>
            <w:r>
              <w:rPr>
                <w:rFonts w:hint="eastAsia" w:ascii="Times New Roman" w:hAnsi="Times New Roman"/>
                <w:color w:val="auto"/>
                <w:szCs w:val="24"/>
                <w:highlight w:val="none"/>
              </w:rPr>
              <w:t>（2）罐体应保持完好，不应有孔洞和裂隙。设置切断系统，一旦发生事故，紧急切断油源，从而最大限度地减少烃类及油的排放量。</w:t>
            </w:r>
          </w:p>
          <w:p w14:paraId="4BD719EE">
            <w:pPr>
              <w:pStyle w:val="145"/>
              <w:keepNext w:val="0"/>
              <w:keepLines w:val="0"/>
              <w:suppressLineNumbers w:val="0"/>
              <w:spacing w:before="0" w:beforeAutospacing="0" w:after="0" w:afterAutospacing="0" w:line="360" w:lineRule="auto"/>
              <w:ind w:left="0" w:right="0" w:firstLine="480"/>
              <w:rPr>
                <w:rFonts w:hint="eastAsia" w:ascii="Times New Roman" w:hAnsi="Times New Roman"/>
                <w:color w:val="auto"/>
                <w:szCs w:val="24"/>
                <w:highlight w:val="none"/>
              </w:rPr>
            </w:pPr>
            <w:r>
              <w:rPr>
                <w:rFonts w:hint="eastAsia" w:ascii="Times New Roman" w:hAnsi="Times New Roman"/>
                <w:color w:val="auto"/>
                <w:szCs w:val="24"/>
                <w:highlight w:val="none"/>
              </w:rPr>
              <w:t>（3）对管线、阀门等进行定期地检查、检修，以防止跑、冒、滴、漏的发生。</w:t>
            </w:r>
          </w:p>
          <w:p w14:paraId="6213F8E3">
            <w:pPr>
              <w:pStyle w:val="145"/>
              <w:keepNext w:val="0"/>
              <w:keepLines w:val="0"/>
              <w:suppressLineNumbers w:val="0"/>
              <w:spacing w:before="0" w:beforeAutospacing="0" w:after="0" w:afterAutospacing="0" w:line="360" w:lineRule="auto"/>
              <w:ind w:left="0" w:right="0" w:firstLine="480"/>
              <w:rPr>
                <w:rFonts w:hint="eastAsia" w:ascii="Times New Roman" w:hAnsi="Times New Roman"/>
                <w:color w:val="auto"/>
                <w:szCs w:val="24"/>
                <w:highlight w:val="none"/>
              </w:rPr>
            </w:pPr>
            <w:r>
              <w:rPr>
                <w:rFonts w:hint="default" w:ascii="Times New Roman" w:hAnsi="Times New Roman"/>
                <w:color w:val="auto"/>
                <w:szCs w:val="24"/>
                <w:highlight w:val="none"/>
              </w:rPr>
              <w:t>采取上述措施后经预测，柴油罐区无组织排放非甲烷总烃最大1h地面空气质量浓度为</w:t>
            </w:r>
            <w:r>
              <w:rPr>
                <w:rFonts w:hint="eastAsia" w:ascii="Times New Roman" w:hAnsi="Times New Roman"/>
                <w:color w:val="auto"/>
                <w:szCs w:val="24"/>
                <w:highlight w:val="none"/>
                <w:lang w:val="en-US" w:eastAsia="zh-CN"/>
              </w:rPr>
              <w:t>1.162</w:t>
            </w:r>
            <w:r>
              <w:rPr>
                <w:rFonts w:hint="default" w:ascii="Times New Roman" w:hAnsi="Times New Roman"/>
                <w:color w:val="auto"/>
                <w:szCs w:val="24"/>
                <w:highlight w:val="none"/>
              </w:rPr>
              <w:t>μg/m</w:t>
            </w:r>
            <w:r>
              <w:rPr>
                <w:rFonts w:hint="default" w:ascii="Times New Roman" w:hAnsi="Times New Roman"/>
                <w:color w:val="auto"/>
                <w:szCs w:val="24"/>
                <w:highlight w:val="none"/>
                <w:vertAlign w:val="superscript"/>
              </w:rPr>
              <w:t>3</w:t>
            </w:r>
            <w:r>
              <w:rPr>
                <w:rFonts w:hint="default" w:ascii="Times New Roman" w:hAnsi="Times New Roman"/>
                <w:color w:val="auto"/>
                <w:szCs w:val="24"/>
                <w:highlight w:val="none"/>
              </w:rPr>
              <w:t>，因此项目无组织排放废气对周围大气环境影响很小</w:t>
            </w:r>
            <w:r>
              <w:rPr>
                <w:rFonts w:hint="eastAsia" w:ascii="Times New Roman" w:hAnsi="Times New Roman"/>
                <w:color w:val="auto"/>
                <w:szCs w:val="24"/>
                <w:highlight w:val="none"/>
              </w:rPr>
              <w:t>。</w:t>
            </w:r>
          </w:p>
          <w:p w14:paraId="5C44FA2F">
            <w:pPr>
              <w:pStyle w:val="145"/>
              <w:keepNext w:val="0"/>
              <w:keepLines w:val="0"/>
              <w:suppressLineNumbers w:val="0"/>
              <w:spacing w:before="0" w:beforeAutospacing="0" w:after="0" w:afterAutospacing="0" w:line="360" w:lineRule="auto"/>
              <w:ind w:left="0" w:right="0" w:firstLine="480"/>
              <w:rPr>
                <w:rFonts w:hint="default" w:ascii="Times New Roman" w:hAnsi="Times New Roman"/>
                <w:color w:val="auto"/>
                <w:szCs w:val="24"/>
              </w:rPr>
            </w:pPr>
            <w:r>
              <w:rPr>
                <w:rFonts w:hint="eastAsia" w:ascii="Times New Roman" w:hAnsi="Times New Roman"/>
                <w:color w:val="auto"/>
                <w:szCs w:val="24"/>
              </w:rPr>
              <w:t>4</w:t>
            </w:r>
            <w:r>
              <w:rPr>
                <w:rFonts w:hint="default" w:ascii="Times New Roman" w:hAnsi="Times New Roman"/>
                <w:color w:val="auto"/>
                <w:szCs w:val="24"/>
              </w:rPr>
              <w:t>、油气集输过程挥发产生的烃类气体</w:t>
            </w:r>
          </w:p>
          <w:p w14:paraId="7E066B05">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本工程试油期</w:t>
            </w:r>
            <w:r>
              <w:rPr>
                <w:rFonts w:hint="eastAsia"/>
                <w:color w:val="auto"/>
                <w:sz w:val="24"/>
              </w:rPr>
              <w:t>储液罐</w:t>
            </w:r>
            <w:r>
              <w:rPr>
                <w:rFonts w:hint="default"/>
                <w:color w:val="auto"/>
                <w:sz w:val="24"/>
              </w:rPr>
              <w:t>内挥发产生的废气主要为非甲烷总烃</w:t>
            </w:r>
            <w:r>
              <w:rPr>
                <w:rFonts w:hint="eastAsia"/>
                <w:color w:val="auto"/>
                <w:sz w:val="24"/>
              </w:rPr>
              <w:t>，</w:t>
            </w:r>
            <w:r>
              <w:rPr>
                <w:rFonts w:hint="default"/>
                <w:color w:val="auto"/>
                <w:sz w:val="24"/>
              </w:rPr>
              <w:t>非甲烷总烃产生量较少，浓度较低，且污染形式呈分散的面源，地区环境有利于污染物扩散</w:t>
            </w:r>
            <w:r>
              <w:rPr>
                <w:rFonts w:hint="default"/>
                <w:color w:val="auto"/>
                <w:szCs w:val="22"/>
              </w:rPr>
              <w:t>，</w:t>
            </w:r>
            <w:r>
              <w:rPr>
                <w:rFonts w:hint="default"/>
                <w:color w:val="auto"/>
                <w:sz w:val="24"/>
                <w:szCs w:val="22"/>
              </w:rPr>
              <w:t>对环境产生的影响不大。</w:t>
            </w:r>
          </w:p>
          <w:p w14:paraId="414C7EF2">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为</w:t>
            </w:r>
            <w:r>
              <w:rPr>
                <w:rFonts w:hint="eastAsia"/>
                <w:color w:val="auto"/>
                <w:sz w:val="24"/>
              </w:rPr>
              <w:t>减少</w:t>
            </w:r>
            <w:r>
              <w:rPr>
                <w:rFonts w:hint="default"/>
                <w:color w:val="auto"/>
                <w:sz w:val="24"/>
              </w:rPr>
              <w:t>烃类气体的无组织挥发，</w:t>
            </w:r>
            <w:r>
              <w:rPr>
                <w:rFonts w:hint="eastAsia"/>
                <w:color w:val="auto"/>
                <w:sz w:val="24"/>
                <w:lang w:eastAsia="zh-CN"/>
              </w:rPr>
              <w:t>本工程</w:t>
            </w:r>
            <w:r>
              <w:rPr>
                <w:rFonts w:hint="default"/>
                <w:color w:val="auto"/>
                <w:sz w:val="24"/>
              </w:rPr>
              <w:t>拟采取以下措施：</w:t>
            </w:r>
          </w:p>
          <w:p w14:paraId="194DEB4D">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rPr>
              <w:t>（1）</w:t>
            </w:r>
            <w:r>
              <w:rPr>
                <w:rFonts w:hint="default"/>
                <w:color w:val="auto"/>
                <w:sz w:val="24"/>
              </w:rPr>
              <w:t>储液罐采用卧式高架固定顶储液罐，采用环密技术</w:t>
            </w:r>
            <w:r>
              <w:rPr>
                <w:rFonts w:hint="eastAsia"/>
                <w:color w:val="auto"/>
                <w:sz w:val="24"/>
              </w:rPr>
              <w:t>，减少</w:t>
            </w:r>
            <w:r>
              <w:rPr>
                <w:rFonts w:hint="default"/>
                <w:color w:val="auto"/>
                <w:sz w:val="24"/>
              </w:rPr>
              <w:t>烃类废气无组织挥发。</w:t>
            </w:r>
          </w:p>
          <w:p w14:paraId="7D4C518F">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rPr>
              <w:t>（2）</w:t>
            </w:r>
            <w:r>
              <w:rPr>
                <w:rFonts w:hint="default"/>
                <w:color w:val="auto"/>
                <w:sz w:val="24"/>
              </w:rPr>
              <w:t>为减轻集输过程中烃类的损失，采用密闭集输流程，井口</w:t>
            </w:r>
            <w:r>
              <w:rPr>
                <w:rFonts w:hint="eastAsia"/>
                <w:color w:val="auto"/>
                <w:sz w:val="24"/>
              </w:rPr>
              <w:t>、</w:t>
            </w:r>
            <w:r>
              <w:rPr>
                <w:rFonts w:hint="default"/>
                <w:color w:val="auto"/>
                <w:sz w:val="24"/>
              </w:rPr>
              <w:t>储液罐设置切断阀</w:t>
            </w:r>
            <w:r>
              <w:rPr>
                <w:rFonts w:hint="eastAsia"/>
                <w:color w:val="auto"/>
                <w:sz w:val="24"/>
              </w:rPr>
              <w:t>，</w:t>
            </w:r>
            <w:r>
              <w:rPr>
                <w:rFonts w:hint="default"/>
                <w:color w:val="auto"/>
                <w:sz w:val="24"/>
              </w:rPr>
              <w:t>一旦发生事故，紧急切断油源，从而最大限度地减少油气集输过程中烃类及油的排放量。</w:t>
            </w:r>
          </w:p>
          <w:p w14:paraId="0D35CECF">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rPr>
              <w:t>（3）</w:t>
            </w:r>
            <w:r>
              <w:rPr>
                <w:rFonts w:hint="default"/>
                <w:color w:val="auto"/>
                <w:sz w:val="24"/>
              </w:rPr>
              <w:t>加强井下作业和油井生产管理，减少烃类散失，试采作业前，做好油井的压力监测，并准备应急措施。</w:t>
            </w:r>
          </w:p>
          <w:p w14:paraId="0CE812B8">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rPr>
              <w:t>（4）</w:t>
            </w:r>
            <w:r>
              <w:rPr>
                <w:rFonts w:hint="default"/>
                <w:color w:val="auto"/>
                <w:sz w:val="24"/>
              </w:rPr>
              <w:t>对井场的设备、管线、阀门等进行定期的检查、检修，以防止跑、冒、滴、漏的发生。还要定期对采出液管线进行巡检，以便及时发现问题，消除事故隐患。</w:t>
            </w:r>
          </w:p>
          <w:p w14:paraId="6D5206DF">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由上分析，其产生的废气对当地大气环境影响甚微。</w:t>
            </w:r>
          </w:p>
          <w:p w14:paraId="5B53C67D">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lang w:val="en-US" w:eastAsia="zh-CN"/>
              </w:rPr>
              <w:t>5</w:t>
            </w:r>
            <w:r>
              <w:rPr>
                <w:rFonts w:hint="default"/>
                <w:color w:val="auto"/>
                <w:sz w:val="24"/>
              </w:rPr>
              <w:t>、伴生气</w:t>
            </w:r>
          </w:p>
          <w:p w14:paraId="56AAA5DF">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default"/>
                <w:color w:val="auto"/>
                <w:sz w:val="24"/>
              </w:rPr>
              <w:t>试油阶段勘探井伴生气体主要为天然气及少量非甲烷总烃，采用火炬就地燃烧，燃烧产物主要为二氧化碳和水蒸气，非甲烷总烃排放量较少。</w:t>
            </w:r>
          </w:p>
          <w:p w14:paraId="5AC93B2E">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试油期产生的伴生气量取决于所钻井的产量和测试时间，</w:t>
            </w:r>
            <w:r>
              <w:rPr>
                <w:rFonts w:hint="eastAsia"/>
                <w:color w:val="auto"/>
                <w:sz w:val="24"/>
                <w:lang w:eastAsia="zh-CN"/>
              </w:rPr>
              <w:t>本工程</w:t>
            </w:r>
            <w:r>
              <w:rPr>
                <w:rFonts w:hint="default"/>
                <w:color w:val="auto"/>
                <w:sz w:val="24"/>
              </w:rPr>
              <w:t>试油期较短，一般不超过7天。放喷天然气时间更短，一般最多持续几小时</w:t>
            </w:r>
            <w:r>
              <w:rPr>
                <w:rFonts w:hint="eastAsia"/>
                <w:color w:val="auto"/>
                <w:sz w:val="24"/>
                <w:lang w:eastAsia="zh-CN"/>
              </w:rPr>
              <w:t>，同时本区块的油井伴生气极少</w:t>
            </w:r>
            <w:r>
              <w:rPr>
                <w:rFonts w:hint="default"/>
                <w:color w:val="auto"/>
                <w:sz w:val="24"/>
              </w:rPr>
              <w:t>。测试放喷的天然气经点火燃烧，其主要污染物为NO</w:t>
            </w:r>
            <w:r>
              <w:rPr>
                <w:rFonts w:hint="default"/>
                <w:color w:val="auto"/>
                <w:sz w:val="24"/>
                <w:vertAlign w:val="subscript"/>
              </w:rPr>
              <w:t>x</w:t>
            </w:r>
            <w:r>
              <w:rPr>
                <w:rFonts w:hint="default"/>
                <w:color w:val="auto"/>
                <w:sz w:val="24"/>
              </w:rPr>
              <w:t>、CO</w:t>
            </w:r>
            <w:r>
              <w:rPr>
                <w:rFonts w:hint="default"/>
                <w:color w:val="auto"/>
                <w:sz w:val="24"/>
                <w:vertAlign w:val="subscript"/>
              </w:rPr>
              <w:t>2</w:t>
            </w:r>
            <w:r>
              <w:rPr>
                <w:rFonts w:hint="default"/>
                <w:color w:val="auto"/>
                <w:sz w:val="24"/>
              </w:rPr>
              <w:t>。井眼加装井下压力感应装置，遇到</w:t>
            </w:r>
            <w:r>
              <w:rPr>
                <w:rFonts w:hint="default"/>
                <w:color w:val="auto"/>
                <w:sz w:val="24"/>
                <w:highlight w:val="none"/>
              </w:rPr>
              <w:t>气体逸散</w:t>
            </w:r>
            <w:r>
              <w:rPr>
                <w:rFonts w:hint="default"/>
                <w:color w:val="auto"/>
                <w:sz w:val="24"/>
              </w:rPr>
              <w:t>将自动报警并转入压井状态，试井阶段伴生气</w:t>
            </w:r>
            <w:r>
              <w:rPr>
                <w:rFonts w:hint="eastAsia"/>
                <w:color w:val="auto"/>
                <w:sz w:val="24"/>
              </w:rPr>
              <w:t>放</w:t>
            </w:r>
            <w:r>
              <w:rPr>
                <w:rFonts w:hint="default"/>
                <w:color w:val="auto"/>
                <w:sz w:val="24"/>
              </w:rPr>
              <w:t>喷试验时间短暂，燃烧排放量较小，对周边影响较小。</w:t>
            </w:r>
          </w:p>
          <w:p w14:paraId="1DF784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olor w:val="auto"/>
                <w:sz w:val="32"/>
              </w:rPr>
            </w:pPr>
            <w:r>
              <w:rPr>
                <w:rFonts w:hint="default"/>
                <w:color w:val="auto"/>
                <w:sz w:val="24"/>
              </w:rPr>
              <w:t>由上分析，其产生的废气对当地大气环境影响甚微。</w:t>
            </w:r>
          </w:p>
          <w:p w14:paraId="72F9D7A1">
            <w:pPr>
              <w:pStyle w:val="145"/>
              <w:keepNext w:val="0"/>
              <w:keepLines w:val="0"/>
              <w:suppressLineNumbers w:val="0"/>
              <w:spacing w:before="0" w:beforeAutospacing="0" w:after="0" w:afterAutospacing="0" w:line="360" w:lineRule="auto"/>
              <w:ind w:left="0" w:right="0" w:firstLine="482"/>
              <w:rPr>
                <w:rFonts w:hint="default" w:ascii="Times New Roman" w:hAnsi="Times New Roman"/>
                <w:b/>
                <w:color w:val="auto"/>
                <w:szCs w:val="24"/>
              </w:rPr>
            </w:pPr>
            <w:r>
              <w:rPr>
                <w:rFonts w:hint="default" w:ascii="Times New Roman" w:hAnsi="Times New Roman"/>
                <w:b/>
                <w:color w:val="auto"/>
                <w:szCs w:val="24"/>
              </w:rPr>
              <w:t>二、水环境</w:t>
            </w:r>
            <w:r>
              <w:rPr>
                <w:rFonts w:hint="eastAsia" w:ascii="Times New Roman" w:hAnsi="Times New Roman"/>
                <w:b/>
                <w:color w:val="auto"/>
                <w:szCs w:val="24"/>
              </w:rPr>
              <w:t>保护措施</w:t>
            </w:r>
          </w:p>
          <w:p w14:paraId="24B69787">
            <w:pPr>
              <w:pStyle w:val="145"/>
              <w:keepNext w:val="0"/>
              <w:keepLines w:val="0"/>
              <w:suppressLineNumbers w:val="0"/>
              <w:spacing w:before="0" w:beforeAutospacing="0" w:after="0" w:afterAutospacing="0" w:line="360" w:lineRule="auto"/>
              <w:ind w:left="0" w:right="0" w:firstLine="482"/>
              <w:rPr>
                <w:rFonts w:hint="eastAsia" w:ascii="Times New Roman" w:hAnsi="Times New Roman"/>
                <w:b/>
                <w:color w:val="auto"/>
                <w:szCs w:val="24"/>
              </w:rPr>
            </w:pPr>
            <w:r>
              <w:rPr>
                <w:rFonts w:hint="eastAsia" w:ascii="Times New Roman" w:hAnsi="Times New Roman"/>
                <w:b/>
                <w:color w:val="auto"/>
                <w:szCs w:val="24"/>
              </w:rPr>
              <w:t>1、地表水</w:t>
            </w:r>
          </w:p>
          <w:p w14:paraId="5A209FD2">
            <w:pPr>
              <w:pStyle w:val="145"/>
              <w:keepNext w:val="0"/>
              <w:keepLines w:val="0"/>
              <w:suppressLineNumbers w:val="0"/>
              <w:spacing w:before="0" w:beforeAutospacing="0" w:after="0" w:afterAutospacing="0" w:line="360" w:lineRule="auto"/>
              <w:ind w:left="0" w:right="0" w:firstLine="480"/>
              <w:rPr>
                <w:rFonts w:hint="default" w:ascii="Times New Roman" w:hAnsi="Times New Roman"/>
                <w:color w:val="auto"/>
                <w:szCs w:val="24"/>
              </w:rPr>
            </w:pPr>
            <w:r>
              <w:rPr>
                <w:rFonts w:hint="default" w:ascii="Times New Roman" w:hAnsi="Times New Roman"/>
                <w:color w:val="auto"/>
                <w:szCs w:val="24"/>
              </w:rPr>
              <w:t>废水污染源主要是钻井废水、生活污水。</w:t>
            </w:r>
          </w:p>
          <w:p w14:paraId="7325EF33">
            <w:pPr>
              <w:pStyle w:val="145"/>
              <w:keepNext w:val="0"/>
              <w:keepLines w:val="0"/>
              <w:suppressLineNumbers w:val="0"/>
              <w:spacing w:before="0" w:beforeAutospacing="0" w:after="0" w:afterAutospacing="0" w:line="360" w:lineRule="auto"/>
              <w:ind w:left="0" w:right="0" w:firstLine="480"/>
              <w:rPr>
                <w:rFonts w:hint="default" w:ascii="Times New Roman" w:hAnsi="Times New Roman"/>
                <w:color w:val="auto"/>
                <w:szCs w:val="24"/>
              </w:rPr>
            </w:pPr>
            <w:r>
              <w:rPr>
                <w:rFonts w:hint="eastAsia" w:ascii="Times New Roman" w:hAnsi="Times New Roman"/>
                <w:color w:val="auto"/>
                <w:szCs w:val="24"/>
              </w:rPr>
              <w:t>（1）</w:t>
            </w:r>
            <w:r>
              <w:rPr>
                <w:rFonts w:hint="default" w:ascii="Times New Roman" w:hAnsi="Times New Roman"/>
                <w:color w:val="auto"/>
                <w:szCs w:val="24"/>
              </w:rPr>
              <w:t>钻井废水</w:t>
            </w:r>
          </w:p>
          <w:p w14:paraId="02DFC21F">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lang w:eastAsia="zh-CN"/>
              </w:rPr>
              <w:t>本工程</w:t>
            </w:r>
            <w:r>
              <w:rPr>
                <w:rFonts w:hint="eastAsia"/>
                <w:color w:val="auto"/>
                <w:sz w:val="24"/>
              </w:rPr>
              <w:t>生产过程用水主要为钻井液用水，用水量为0.1m</w:t>
            </w:r>
            <w:r>
              <w:rPr>
                <w:rFonts w:hint="eastAsia"/>
                <w:color w:val="auto"/>
                <w:sz w:val="24"/>
                <w:vertAlign w:val="superscript"/>
              </w:rPr>
              <w:t>3</w:t>
            </w:r>
            <w:r>
              <w:rPr>
                <w:rFonts w:hint="eastAsia"/>
                <w:color w:val="auto"/>
                <w:sz w:val="24"/>
              </w:rPr>
              <w:t>/m。这部分水通过钻井液配置过程进入钻井液循环系统，钻井液采用泥浆不落地工艺系统处理，经过系统处理后（破胶、脱稳、固液分离）分离的废水，由罐车</w:t>
            </w:r>
            <w:r>
              <w:rPr>
                <w:rFonts w:hint="eastAsia"/>
                <w:color w:val="auto"/>
                <w:sz w:val="24"/>
                <w:lang w:eastAsia="zh-CN"/>
              </w:rPr>
              <w:t>拉运至</w:t>
            </w:r>
            <w:r>
              <w:rPr>
                <w:rFonts w:hint="eastAsia"/>
                <w:color w:val="auto"/>
                <w:sz w:val="24"/>
              </w:rPr>
              <w:t>吉兰泰联合站采出水处理系统，处理达标后回注于现役油藏，不外排。</w:t>
            </w:r>
          </w:p>
          <w:p w14:paraId="570AC623">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对照《环境影响评价技术导则 地表水环境》（HJ2.3-2018），</w:t>
            </w:r>
            <w:r>
              <w:rPr>
                <w:rFonts w:hint="eastAsia"/>
                <w:color w:val="auto"/>
                <w:sz w:val="24"/>
                <w:lang w:eastAsia="zh-CN"/>
              </w:rPr>
              <w:t>本工程</w:t>
            </w:r>
            <w:r>
              <w:rPr>
                <w:rFonts w:hint="default"/>
                <w:color w:val="auto"/>
                <w:sz w:val="24"/>
              </w:rPr>
              <w:t>废水</w:t>
            </w:r>
            <w:r>
              <w:rPr>
                <w:rFonts w:hint="default"/>
                <w:bCs/>
                <w:color w:val="auto"/>
                <w:sz w:val="24"/>
              </w:rPr>
              <w:t>依托</w:t>
            </w:r>
            <w:r>
              <w:rPr>
                <w:rFonts w:hint="eastAsia"/>
                <w:color w:val="auto"/>
                <w:sz w:val="24"/>
              </w:rPr>
              <w:t>吉兰泰联合站采出水处理系统处置</w:t>
            </w:r>
            <w:r>
              <w:rPr>
                <w:rFonts w:hint="default"/>
                <w:bCs/>
                <w:color w:val="auto"/>
                <w:sz w:val="24"/>
              </w:rPr>
              <w:t>，处理</w:t>
            </w:r>
            <w:r>
              <w:rPr>
                <w:rFonts w:hint="eastAsia"/>
                <w:bCs/>
                <w:color w:val="auto"/>
                <w:sz w:val="24"/>
              </w:rPr>
              <w:t>达标后</w:t>
            </w:r>
            <w:r>
              <w:rPr>
                <w:rFonts w:hint="default"/>
                <w:bCs/>
                <w:color w:val="auto"/>
                <w:sz w:val="24"/>
              </w:rPr>
              <w:t>回注，</w:t>
            </w:r>
            <w:r>
              <w:rPr>
                <w:rFonts w:hint="default"/>
                <w:color w:val="auto"/>
                <w:sz w:val="24"/>
              </w:rPr>
              <w:t>不排放到外环境，按三级B评价，应满足其依托污水处理设施环境可行性分析的要求。</w:t>
            </w:r>
          </w:p>
          <w:p w14:paraId="64C89BCD">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吉兰泰联合站采出水处理系统处理能力为680m</w:t>
            </w:r>
            <w:r>
              <w:rPr>
                <w:rFonts w:hint="default"/>
                <w:color w:val="auto"/>
                <w:sz w:val="24"/>
                <w:vertAlign w:val="superscript"/>
              </w:rPr>
              <w:t>3</w:t>
            </w:r>
            <w:r>
              <w:rPr>
                <w:rFonts w:hint="default"/>
                <w:color w:val="auto"/>
                <w:sz w:val="24"/>
              </w:rPr>
              <w:t>/d，现有运行处理能力为</w:t>
            </w:r>
            <w:r>
              <w:rPr>
                <w:rFonts w:hint="eastAsia"/>
                <w:color w:val="auto"/>
                <w:sz w:val="24"/>
                <w:lang w:val="en-US" w:eastAsia="zh-CN"/>
              </w:rPr>
              <w:t>500</w:t>
            </w:r>
            <w:r>
              <w:rPr>
                <w:rFonts w:hint="default"/>
                <w:color w:val="auto"/>
                <w:sz w:val="24"/>
              </w:rPr>
              <w:t>m</w:t>
            </w:r>
            <w:r>
              <w:rPr>
                <w:rFonts w:hint="default"/>
                <w:color w:val="auto"/>
                <w:sz w:val="24"/>
                <w:vertAlign w:val="superscript"/>
              </w:rPr>
              <w:t>3</w:t>
            </w:r>
            <w:r>
              <w:rPr>
                <w:rFonts w:hint="default"/>
                <w:color w:val="auto"/>
                <w:sz w:val="24"/>
              </w:rPr>
              <w:t>/d，</w:t>
            </w:r>
            <w:r>
              <w:rPr>
                <w:rFonts w:hint="eastAsia"/>
                <w:color w:val="auto"/>
                <w:sz w:val="24"/>
              </w:rPr>
              <w:t>采用“电磁脉冲除油装置+二级过滤”，</w:t>
            </w:r>
            <w:r>
              <w:rPr>
                <w:rFonts w:hint="default"/>
                <w:color w:val="auto"/>
                <w:sz w:val="24"/>
              </w:rPr>
              <w:t>经处理后的采出水</w:t>
            </w:r>
            <w:r>
              <w:rPr>
                <w:rFonts w:hint="eastAsia"/>
                <w:color w:val="auto"/>
                <w:sz w:val="24"/>
              </w:rPr>
              <w:t>达到《碎屑岩油藏注水水质指标技术要求及分析方法》（SY/T5329-2022）</w:t>
            </w:r>
            <w:r>
              <w:rPr>
                <w:rFonts w:hint="default"/>
                <w:color w:val="auto"/>
                <w:sz w:val="24"/>
              </w:rPr>
              <w:t>标准后，回注现役油气藏</w:t>
            </w:r>
            <w:r>
              <w:rPr>
                <w:rFonts w:hint="eastAsia"/>
                <w:color w:val="auto"/>
                <w:sz w:val="24"/>
              </w:rPr>
              <w:t>，</w:t>
            </w:r>
            <w:r>
              <w:rPr>
                <w:rFonts w:hint="default"/>
                <w:color w:val="auto"/>
                <w:sz w:val="24"/>
              </w:rPr>
              <w:t>回注</w:t>
            </w:r>
            <w:r>
              <w:rPr>
                <w:rFonts w:hint="eastAsia"/>
                <w:color w:val="auto"/>
                <w:sz w:val="24"/>
              </w:rPr>
              <w:t>层位</w:t>
            </w:r>
            <w:r>
              <w:rPr>
                <w:rFonts w:hint="default"/>
                <w:color w:val="auto"/>
                <w:sz w:val="24"/>
              </w:rPr>
              <w:t>为地质构造封闭的采油层</w:t>
            </w:r>
            <w:r>
              <w:rPr>
                <w:rFonts w:hint="eastAsia"/>
                <w:color w:val="auto"/>
                <w:sz w:val="24"/>
              </w:rPr>
              <w:t>，</w:t>
            </w:r>
            <w:r>
              <w:rPr>
                <w:rFonts w:hint="default"/>
                <w:color w:val="auto"/>
                <w:sz w:val="24"/>
              </w:rPr>
              <w:t>回注方式采用分层注水的方式。</w:t>
            </w:r>
          </w:p>
          <w:p w14:paraId="69D08A55">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rPr>
            </w:pPr>
            <w:r>
              <w:rPr>
                <w:rFonts w:hint="eastAsia" w:ascii="Times New Roman" w:hAnsi="Times New Roman" w:eastAsia="宋体" w:cs="Times New Roman"/>
                <w:color w:val="auto"/>
                <w:kern w:val="2"/>
                <w:sz w:val="24"/>
                <w:szCs w:val="24"/>
                <w:lang w:val="en-US" w:eastAsia="zh-CN" w:bidi="ar"/>
              </w:rPr>
              <w:t>废水</w:t>
            </w:r>
            <w:r>
              <w:rPr>
                <w:rFonts w:hint="default"/>
                <w:color w:val="auto"/>
                <w:sz w:val="24"/>
                <w:highlight w:val="none"/>
              </w:rPr>
              <w:t>产生量为</w:t>
            </w:r>
            <w:r>
              <w:rPr>
                <w:rFonts w:hint="eastAsia"/>
                <w:color w:val="auto"/>
                <w:sz w:val="24"/>
                <w:highlight w:val="none"/>
                <w:lang w:val="en-US" w:eastAsia="zh-CN"/>
              </w:rPr>
              <w:t>317</w:t>
            </w:r>
            <w:r>
              <w:rPr>
                <w:rFonts w:hint="default"/>
                <w:color w:val="auto"/>
                <w:sz w:val="24"/>
                <w:highlight w:val="none"/>
              </w:rPr>
              <w:t>m</w:t>
            </w:r>
            <w:r>
              <w:rPr>
                <w:rFonts w:hint="default"/>
                <w:color w:val="auto"/>
                <w:sz w:val="24"/>
                <w:highlight w:val="none"/>
                <w:vertAlign w:val="superscript"/>
              </w:rPr>
              <w:t>3</w:t>
            </w:r>
            <w:r>
              <w:rPr>
                <w:rFonts w:hint="default"/>
                <w:color w:val="auto"/>
                <w:sz w:val="24"/>
                <w:highlight w:val="none"/>
              </w:rPr>
              <w:t>/勘探期</w:t>
            </w:r>
            <w:r>
              <w:rPr>
                <w:rFonts w:hint="eastAsia"/>
                <w:color w:val="auto"/>
                <w:sz w:val="24"/>
                <w:highlight w:val="none"/>
              </w:rPr>
              <w:t>（</w:t>
            </w:r>
            <w:r>
              <w:rPr>
                <w:rFonts w:hint="eastAsia"/>
                <w:color w:val="auto"/>
                <w:sz w:val="24"/>
                <w:highlight w:val="none"/>
                <w:lang w:val="en-US" w:eastAsia="zh-CN"/>
              </w:rPr>
              <w:t>5.28</w:t>
            </w:r>
            <w:r>
              <w:rPr>
                <w:rFonts w:hint="default"/>
                <w:color w:val="auto"/>
                <w:sz w:val="24"/>
                <w:highlight w:val="none"/>
              </w:rPr>
              <w:t>m</w:t>
            </w:r>
            <w:r>
              <w:rPr>
                <w:rFonts w:hint="default"/>
                <w:color w:val="auto"/>
                <w:sz w:val="24"/>
                <w:highlight w:val="none"/>
                <w:vertAlign w:val="superscript"/>
              </w:rPr>
              <w:t>3</w:t>
            </w:r>
            <w:r>
              <w:rPr>
                <w:rFonts w:hint="default"/>
                <w:color w:val="auto"/>
                <w:sz w:val="24"/>
                <w:highlight w:val="none"/>
              </w:rPr>
              <w:t>/</w:t>
            </w:r>
            <w:r>
              <w:rPr>
                <w:rFonts w:hint="eastAsia"/>
                <w:color w:val="auto"/>
                <w:sz w:val="24"/>
                <w:highlight w:val="none"/>
              </w:rPr>
              <w:t>d）</w:t>
            </w:r>
            <w:r>
              <w:rPr>
                <w:rFonts w:hint="eastAsia"/>
                <w:color w:val="auto"/>
                <w:sz w:val="24"/>
                <w:highlight w:val="none"/>
                <w:lang w:eastAsia="zh-CN"/>
              </w:rPr>
              <w:t>，</w:t>
            </w:r>
            <w:r>
              <w:rPr>
                <w:rFonts w:hint="default" w:ascii="Times New Roman" w:hAnsi="Times New Roman" w:eastAsia="宋体" w:cs="Times New Roman"/>
                <w:color w:val="auto"/>
                <w:kern w:val="2"/>
                <w:sz w:val="24"/>
                <w:szCs w:val="24"/>
                <w:lang w:val="en-US" w:eastAsia="zh-CN" w:bidi="ar"/>
              </w:rPr>
              <w:t>分批次进入采出水处理系统处理，一般5天左右采用罐车拉运一次。</w:t>
            </w:r>
            <w:r>
              <w:rPr>
                <w:rFonts w:hint="eastAsia"/>
                <w:color w:val="auto"/>
                <w:sz w:val="24"/>
                <w:highlight w:val="none"/>
                <w:lang w:eastAsia="zh-CN"/>
              </w:rPr>
              <w:t>本工程</w:t>
            </w:r>
            <w:r>
              <w:rPr>
                <w:rFonts w:hint="eastAsia" w:eastAsia="宋体"/>
                <w:color w:val="auto"/>
                <w:sz w:val="24"/>
                <w:highlight w:val="none"/>
                <w:lang w:eastAsia="zh-CN"/>
              </w:rPr>
              <w:t>单次</w:t>
            </w:r>
            <w:r>
              <w:rPr>
                <w:rFonts w:hint="default"/>
                <w:color w:val="auto"/>
                <w:sz w:val="24"/>
                <w:highlight w:val="none"/>
              </w:rPr>
              <w:t>废水量占</w:t>
            </w:r>
            <w:r>
              <w:rPr>
                <w:rFonts w:hint="eastAsia"/>
                <w:color w:val="auto"/>
                <w:sz w:val="24"/>
                <w:highlight w:val="none"/>
              </w:rPr>
              <w:t>采出水处理系统日</w:t>
            </w:r>
            <w:r>
              <w:rPr>
                <w:rFonts w:hint="default"/>
                <w:color w:val="auto"/>
                <w:sz w:val="24"/>
                <w:highlight w:val="none"/>
              </w:rPr>
              <w:t>处理剩余量约</w:t>
            </w:r>
            <w:r>
              <w:rPr>
                <w:rFonts w:hint="eastAsia"/>
                <w:color w:val="auto"/>
                <w:sz w:val="24"/>
                <w:highlight w:val="none"/>
                <w:lang w:val="en-US" w:eastAsia="zh-CN"/>
              </w:rPr>
              <w:t>5.28</w:t>
            </w:r>
            <w:r>
              <w:rPr>
                <w:rFonts w:hint="default"/>
                <w:color w:val="auto"/>
                <w:sz w:val="24"/>
                <w:highlight w:val="none"/>
              </w:rPr>
              <w:t>%</w:t>
            </w:r>
            <w:r>
              <w:rPr>
                <w:rFonts w:hint="eastAsia"/>
                <w:color w:val="auto"/>
                <w:sz w:val="24"/>
                <w:highlight w:val="none"/>
              </w:rPr>
              <w:t>。</w:t>
            </w:r>
          </w:p>
          <w:p w14:paraId="37CF19A3">
            <w:pPr>
              <w:pStyle w:val="145"/>
              <w:keepNext w:val="0"/>
              <w:keepLines w:val="0"/>
              <w:suppressLineNumbers w:val="0"/>
              <w:spacing w:before="0" w:beforeAutospacing="0" w:after="0" w:afterAutospacing="0" w:line="360" w:lineRule="auto"/>
              <w:ind w:left="0" w:right="0" w:firstLine="480"/>
              <w:rPr>
                <w:rFonts w:hint="eastAsia"/>
                <w:color w:val="auto"/>
                <w:sz w:val="24"/>
              </w:rPr>
            </w:pPr>
            <w:r>
              <w:rPr>
                <w:rFonts w:hint="eastAsia"/>
                <w:color w:val="auto"/>
                <w:sz w:val="24"/>
              </w:rPr>
              <w:t>因此，从水量上讲，本项目废水不会对吉兰泰联合站采出水处理系统的运行造成不良影响，不会影响其正常运行。</w:t>
            </w:r>
          </w:p>
          <w:p w14:paraId="1EEE5D2F">
            <w:pPr>
              <w:pStyle w:val="145"/>
              <w:keepNext w:val="0"/>
              <w:keepLines w:val="0"/>
              <w:suppressLineNumbers w:val="0"/>
              <w:spacing w:before="0" w:beforeAutospacing="0" w:after="0" w:afterAutospacing="0" w:line="360" w:lineRule="auto"/>
              <w:ind w:left="0" w:right="0" w:firstLine="480"/>
              <w:rPr>
                <w:rFonts w:hint="default"/>
                <w:color w:val="auto"/>
              </w:rPr>
            </w:pPr>
            <w:r>
              <w:rPr>
                <w:rFonts w:hint="default" w:ascii="Times New Roman" w:hAnsi="Times New Roman"/>
                <w:color w:val="auto"/>
              </w:rPr>
              <w:t>（2）</w:t>
            </w:r>
            <w:r>
              <w:rPr>
                <w:rFonts w:hint="default"/>
                <w:color w:val="auto"/>
              </w:rPr>
              <w:t>生活污水</w:t>
            </w:r>
          </w:p>
          <w:p w14:paraId="250365F9">
            <w:pPr>
              <w:pStyle w:val="145"/>
              <w:keepNext w:val="0"/>
              <w:keepLines w:val="0"/>
              <w:suppressLineNumbers w:val="0"/>
              <w:spacing w:before="0" w:beforeAutospacing="0" w:after="0" w:afterAutospacing="0" w:line="360" w:lineRule="auto"/>
              <w:ind w:left="0" w:right="0" w:firstLine="480"/>
              <w:rPr>
                <w:rFonts w:hint="eastAsia" w:ascii="Times New Roman" w:hAnsi="Times New Roman"/>
                <w:color w:val="auto"/>
              </w:rPr>
            </w:pPr>
            <w:r>
              <w:rPr>
                <w:rFonts w:hint="eastAsia" w:ascii="Times New Roman" w:hAnsi="Times New Roman"/>
                <w:color w:val="auto"/>
                <w:lang w:eastAsia="zh-CN"/>
              </w:rPr>
              <w:t>本工程</w:t>
            </w:r>
            <w:r>
              <w:rPr>
                <w:rFonts w:hint="default" w:ascii="Times New Roman" w:hAnsi="Times New Roman"/>
                <w:color w:val="auto"/>
              </w:rPr>
              <w:t>生活污水</w:t>
            </w:r>
            <w:r>
              <w:rPr>
                <w:rFonts w:hint="eastAsia" w:ascii="Times New Roman" w:hAnsi="Times New Roman"/>
                <w:color w:val="auto"/>
              </w:rPr>
              <w:t>产生</w:t>
            </w:r>
            <w:r>
              <w:rPr>
                <w:rFonts w:hint="default" w:ascii="Times New Roman" w:hAnsi="Times New Roman"/>
                <w:color w:val="auto"/>
              </w:rPr>
              <w:t>量为</w:t>
            </w:r>
            <w:r>
              <w:rPr>
                <w:rFonts w:hint="eastAsia" w:ascii="Times New Roman" w:hAnsi="Times New Roman"/>
                <w:color w:val="auto"/>
                <w:lang w:val="en-US" w:eastAsia="zh-CN"/>
              </w:rPr>
              <w:t>115.2</w:t>
            </w:r>
            <w:r>
              <w:rPr>
                <w:rFonts w:hint="default" w:ascii="Times New Roman" w:hAnsi="Times New Roman"/>
                <w:color w:val="auto"/>
              </w:rPr>
              <w:t>m</w:t>
            </w:r>
            <w:r>
              <w:rPr>
                <w:rFonts w:hint="default" w:ascii="Times New Roman" w:hAnsi="Times New Roman"/>
                <w:color w:val="auto"/>
                <w:vertAlign w:val="superscript"/>
              </w:rPr>
              <w:t>3</w:t>
            </w:r>
            <w:r>
              <w:rPr>
                <w:rFonts w:hint="default" w:ascii="Times New Roman" w:hAnsi="Times New Roman"/>
                <w:color w:val="auto"/>
              </w:rPr>
              <w:t>/勘探期，生活污水主要污染物为pH：6~9，COD：400mg/L，BOD</w:t>
            </w:r>
            <w:r>
              <w:rPr>
                <w:rFonts w:hint="default" w:ascii="Times New Roman" w:hAnsi="Times New Roman"/>
                <w:color w:val="auto"/>
                <w:vertAlign w:val="subscript"/>
              </w:rPr>
              <w:t>5</w:t>
            </w:r>
            <w:r>
              <w:rPr>
                <w:rFonts w:hint="default" w:ascii="Times New Roman" w:hAnsi="Times New Roman"/>
                <w:color w:val="auto"/>
                <w:highlight w:val="none"/>
              </w:rPr>
              <w:t>：</w:t>
            </w:r>
            <w:r>
              <w:rPr>
                <w:rFonts w:hint="default" w:ascii="Times New Roman" w:hAnsi="Times New Roman"/>
                <w:color w:val="auto"/>
              </w:rPr>
              <w:t>200mg/L，SS：250mg/L，氨氮：25mg/L，井场设置</w:t>
            </w:r>
            <w:r>
              <w:rPr>
                <w:rFonts w:hint="eastAsia" w:ascii="Times New Roman" w:hAnsi="Times New Roman"/>
                <w:color w:val="auto"/>
                <w:lang w:eastAsia="zh-CN"/>
              </w:rPr>
              <w:t>环保厕所</w:t>
            </w:r>
            <w:r>
              <w:rPr>
                <w:rFonts w:hint="default" w:ascii="Times New Roman" w:hAnsi="Times New Roman"/>
                <w:color w:val="auto"/>
              </w:rPr>
              <w:t>，</w:t>
            </w:r>
            <w:r>
              <w:rPr>
                <w:rFonts w:hint="eastAsia" w:ascii="Times New Roman" w:hAnsi="Times New Roman"/>
                <w:color w:val="auto"/>
              </w:rPr>
              <w:t>生活污水</w:t>
            </w:r>
            <w:r>
              <w:rPr>
                <w:rFonts w:hint="eastAsia" w:ascii="Times New Roman" w:hAnsi="Times New Roman"/>
                <w:color w:val="auto"/>
                <w:lang w:eastAsia="zh-CN"/>
              </w:rPr>
              <w:t>排入环保厕所，委托当地村民</w:t>
            </w:r>
            <w:r>
              <w:rPr>
                <w:rFonts w:hint="default" w:ascii="Times New Roman" w:hAnsi="Times New Roman"/>
                <w:color w:val="auto"/>
              </w:rPr>
              <w:t>定期清掏</w:t>
            </w:r>
            <w:r>
              <w:rPr>
                <w:rFonts w:hint="eastAsia" w:ascii="Times New Roman" w:hAnsi="Times New Roman"/>
                <w:color w:val="auto"/>
              </w:rPr>
              <w:t>。</w:t>
            </w:r>
          </w:p>
          <w:p w14:paraId="218CFB77">
            <w:pPr>
              <w:keepNext w:val="0"/>
              <w:keepLines w:val="0"/>
              <w:widowControl/>
              <w:suppressLineNumbers w:val="0"/>
              <w:autoSpaceDE w:val="0"/>
              <w:autoSpaceDN w:val="0"/>
              <w:adjustRightInd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针对</w:t>
            </w:r>
            <w:r>
              <w:rPr>
                <w:rFonts w:hint="eastAsia"/>
                <w:color w:val="auto"/>
                <w:kern w:val="0"/>
                <w:sz w:val="24"/>
              </w:rPr>
              <w:t>钻井</w:t>
            </w:r>
            <w:r>
              <w:rPr>
                <w:rFonts w:hint="default"/>
                <w:color w:val="auto"/>
                <w:kern w:val="0"/>
                <w:sz w:val="24"/>
              </w:rPr>
              <w:t>废水、生活污水分别采取措施后，各废水均能得到有效处理，施工期不排放污水，全部回收利用，对井场周边水环境基本没有影响，措施可行。</w:t>
            </w:r>
          </w:p>
          <w:p w14:paraId="6F5D24EC">
            <w:pPr>
              <w:pStyle w:val="145"/>
              <w:keepNext w:val="0"/>
              <w:keepLines w:val="0"/>
              <w:suppressLineNumbers w:val="0"/>
              <w:spacing w:before="0" w:beforeAutospacing="0" w:after="0" w:afterAutospacing="0" w:line="360" w:lineRule="auto"/>
              <w:ind w:left="0" w:right="0" w:firstLine="482"/>
              <w:rPr>
                <w:rFonts w:hint="default" w:ascii="Times New Roman" w:hAnsi="Times New Roman"/>
                <w:b/>
                <w:color w:val="auto"/>
              </w:rPr>
            </w:pPr>
            <w:r>
              <w:rPr>
                <w:rFonts w:hint="eastAsia" w:ascii="Times New Roman" w:hAnsi="Times New Roman"/>
                <w:b/>
                <w:color w:val="auto"/>
              </w:rPr>
              <w:t>2</w:t>
            </w:r>
            <w:r>
              <w:rPr>
                <w:rFonts w:hint="default" w:ascii="Times New Roman" w:hAnsi="Times New Roman"/>
                <w:b/>
                <w:color w:val="auto"/>
              </w:rPr>
              <w:t>、地下水</w:t>
            </w:r>
          </w:p>
          <w:p w14:paraId="2B7D9454">
            <w:pPr>
              <w:pStyle w:val="145"/>
              <w:keepNext w:val="0"/>
              <w:keepLines w:val="0"/>
              <w:suppressLineNumbers w:val="0"/>
              <w:spacing w:before="0" w:beforeAutospacing="0" w:after="0" w:afterAutospacing="0" w:line="360" w:lineRule="auto"/>
              <w:ind w:left="0" w:right="0" w:firstLine="480"/>
              <w:rPr>
                <w:rFonts w:hint="default" w:ascii="Times New Roman" w:hAnsi="Times New Roman"/>
                <w:color w:val="auto"/>
              </w:rPr>
            </w:pPr>
            <w:r>
              <w:rPr>
                <w:rFonts w:hint="default" w:ascii="Times New Roman" w:hAnsi="Times New Roman"/>
                <w:color w:val="auto"/>
              </w:rPr>
              <w:t>根据《环境影响评价技术导则</w:t>
            </w:r>
            <w:r>
              <w:rPr>
                <w:rFonts w:hint="eastAsia" w:ascii="Times New Roman" w:hAnsi="Times New Roman"/>
                <w:color w:val="auto"/>
              </w:rPr>
              <w:t xml:space="preserve"> </w:t>
            </w:r>
            <w:r>
              <w:rPr>
                <w:rFonts w:hint="default" w:ascii="Times New Roman" w:hAnsi="Times New Roman"/>
                <w:color w:val="auto"/>
              </w:rPr>
              <w:t>地下水环境》（HJ610-2016）附录A，</w:t>
            </w:r>
            <w:r>
              <w:rPr>
                <w:rFonts w:hint="eastAsia" w:ascii="Times New Roman" w:hAnsi="Times New Roman"/>
                <w:color w:val="auto"/>
                <w:lang w:eastAsia="zh-CN"/>
              </w:rPr>
              <w:t>本工程</w:t>
            </w:r>
            <w:r>
              <w:rPr>
                <w:rFonts w:hint="default" w:ascii="Times New Roman" w:hAnsi="Times New Roman"/>
                <w:color w:val="auto"/>
              </w:rPr>
              <w:t>属于</w:t>
            </w:r>
            <w:r>
              <w:rPr>
                <w:rFonts w:hint="eastAsia" w:ascii="Times New Roman" w:hAnsi="Times New Roman"/>
                <w:color w:val="auto"/>
              </w:rPr>
              <w:t>“</w:t>
            </w:r>
            <w:r>
              <w:rPr>
                <w:rFonts w:hint="default" w:ascii="Times New Roman" w:hAnsi="Times New Roman"/>
                <w:color w:val="auto"/>
              </w:rPr>
              <w:t>C 地质勘查 24、矿产资源地质勘查（包括勘探项目）</w:t>
            </w:r>
            <w:r>
              <w:rPr>
                <w:rFonts w:hint="eastAsia" w:ascii="Times New Roman" w:hAnsi="Times New Roman"/>
                <w:color w:val="auto"/>
              </w:rPr>
              <w:t>”</w:t>
            </w:r>
            <w:r>
              <w:rPr>
                <w:rFonts w:hint="default" w:ascii="Times New Roman" w:hAnsi="Times New Roman"/>
                <w:color w:val="auto"/>
              </w:rPr>
              <w:t>地下水环境影响评价项目类别为Ⅳ类：不开展地下水环境影响评价，只做简单分析。</w:t>
            </w:r>
          </w:p>
          <w:p w14:paraId="5242C770">
            <w:pPr>
              <w:pStyle w:val="145"/>
              <w:keepNext w:val="0"/>
              <w:keepLines w:val="0"/>
              <w:suppressLineNumbers w:val="0"/>
              <w:spacing w:before="0" w:beforeAutospacing="0" w:after="0" w:afterAutospacing="0" w:line="360" w:lineRule="auto"/>
              <w:ind w:left="0" w:right="0" w:firstLine="480"/>
              <w:rPr>
                <w:rFonts w:hint="default" w:ascii="Times New Roman" w:hAnsi="Times New Roman"/>
                <w:color w:val="auto"/>
              </w:rPr>
            </w:pPr>
            <w:r>
              <w:rPr>
                <w:rFonts w:hint="default" w:ascii="Times New Roman" w:hAnsi="Times New Roman"/>
                <w:color w:val="auto"/>
              </w:rPr>
              <w:t>勘探过程中，不可避免地会对地下水环境造成一定程度的影响。如不采取合理的防治措施，废水中的污染物有可能渗入地下，从而影响地下水环境。只有采用先进的生产工艺，加强生产管理，防止或减少污染物通过各类污染途径污染地下水，才能减小对地下水环境的影响程度和影响范围。</w:t>
            </w:r>
          </w:p>
          <w:p w14:paraId="11CFE060">
            <w:pPr>
              <w:pStyle w:val="145"/>
              <w:keepNext w:val="0"/>
              <w:keepLines w:val="0"/>
              <w:suppressLineNumbers w:val="0"/>
              <w:spacing w:before="0" w:beforeAutospacing="0" w:after="0" w:afterAutospacing="0" w:line="360" w:lineRule="auto"/>
              <w:ind w:left="0" w:right="0" w:firstLine="480"/>
              <w:rPr>
                <w:rFonts w:hint="default" w:ascii="Times New Roman" w:hAnsi="Times New Roman"/>
                <w:color w:val="auto"/>
              </w:rPr>
            </w:pPr>
            <w:r>
              <w:rPr>
                <w:rFonts w:hint="eastAsia" w:ascii="Times New Roman" w:hAnsi="Times New Roman"/>
                <w:color w:val="auto"/>
                <w:lang w:eastAsia="zh-CN"/>
              </w:rPr>
              <w:t>本工程设计井深较深</w:t>
            </w:r>
            <w:r>
              <w:rPr>
                <w:rFonts w:hint="eastAsia" w:ascii="Times New Roman" w:hAnsi="Times New Roman"/>
                <w:color w:val="auto"/>
              </w:rPr>
              <w:t>，且整个井身均采用了水泥固井和套管固封，在进行水泥和套管固封后浅层含水层的地下水不会经井身发生漏失，不会改变区域地下水流场，不会影响该区域的居民用水</w:t>
            </w:r>
            <w:r>
              <w:rPr>
                <w:rFonts w:hint="eastAsia" w:ascii="Times New Roman" w:hAnsi="Times New Roman"/>
                <w:color w:val="auto"/>
                <w:lang w:eastAsia="zh-CN"/>
              </w:rPr>
              <w:t>水量及水质</w:t>
            </w:r>
            <w:r>
              <w:rPr>
                <w:rFonts w:hint="eastAsia" w:ascii="Times New Roman" w:hAnsi="Times New Roman"/>
                <w:color w:val="auto"/>
              </w:rPr>
              <w:t>。</w:t>
            </w:r>
          </w:p>
          <w:p w14:paraId="6CB7F845">
            <w:pPr>
              <w:pStyle w:val="145"/>
              <w:keepNext w:val="0"/>
              <w:keepLines w:val="0"/>
              <w:suppressLineNumbers w:val="0"/>
              <w:spacing w:before="0" w:beforeAutospacing="0" w:after="0" w:afterAutospacing="0" w:line="360" w:lineRule="auto"/>
              <w:ind w:left="0" w:right="0" w:firstLine="480"/>
              <w:rPr>
                <w:rFonts w:hint="default" w:ascii="Times New Roman" w:hAnsi="Times New Roman"/>
                <w:color w:val="auto"/>
              </w:rPr>
            </w:pPr>
            <w:r>
              <w:rPr>
                <w:rFonts w:hint="eastAsia" w:ascii="Times New Roman" w:hAnsi="Times New Roman"/>
                <w:color w:val="auto"/>
                <w:lang w:eastAsia="zh-CN"/>
              </w:rPr>
              <w:t>本工程</w:t>
            </w:r>
            <w:r>
              <w:rPr>
                <w:rFonts w:hint="eastAsia" w:ascii="Times New Roman" w:hAnsi="Times New Roman"/>
                <w:color w:val="auto"/>
              </w:rPr>
              <w:t>地下水污染防治措施按照“源头控制、分区防治、污染监控、应急响应”相结合的原则，从污染物的产生、入渗、扩散、应急响应进行控制。具体措施如下：</w:t>
            </w:r>
          </w:p>
          <w:p w14:paraId="52A9C55F">
            <w:pPr>
              <w:pStyle w:val="145"/>
              <w:keepNext w:val="0"/>
              <w:keepLines w:val="0"/>
              <w:suppressLineNumbers w:val="0"/>
              <w:spacing w:before="0" w:beforeAutospacing="0" w:after="0" w:afterAutospacing="0" w:line="360" w:lineRule="auto"/>
              <w:ind w:left="0" w:right="0" w:firstLine="480"/>
              <w:rPr>
                <w:rFonts w:hint="default" w:ascii="Times New Roman" w:hAnsi="Times New Roman"/>
                <w:color w:val="auto"/>
              </w:rPr>
            </w:pPr>
            <w:r>
              <w:rPr>
                <w:rFonts w:hint="eastAsia" w:ascii="Times New Roman" w:hAnsi="Times New Roman"/>
                <w:color w:val="auto"/>
              </w:rPr>
              <w:t>①污染源控制措施</w:t>
            </w:r>
          </w:p>
          <w:p w14:paraId="1B9E2530">
            <w:pPr>
              <w:pStyle w:val="145"/>
              <w:keepNext w:val="0"/>
              <w:keepLines w:val="0"/>
              <w:suppressLineNumbers w:val="0"/>
              <w:spacing w:before="0" w:beforeAutospacing="0" w:after="0" w:afterAutospacing="0" w:line="360" w:lineRule="auto"/>
              <w:ind w:left="0" w:right="0" w:firstLine="480"/>
              <w:rPr>
                <w:rFonts w:hint="default" w:ascii="Times New Roman" w:hAnsi="Times New Roman"/>
                <w:color w:val="auto"/>
              </w:rPr>
            </w:pPr>
            <w:r>
              <w:rPr>
                <w:rFonts w:hint="eastAsia" w:ascii="Times New Roman" w:hAnsi="Times New Roman"/>
                <w:color w:val="auto"/>
              </w:rPr>
              <w:t>源头控制主要包括实施清洁生产及各类废物循环利用，减少污染物的排放量；在工艺、设备、污水储存及处理构筑物采取相应措施，防止和降低污染物跑、冒、滴、漏，将污染物泄漏的环境风险事故降到最低限度。</w:t>
            </w:r>
          </w:p>
          <w:p w14:paraId="22931891">
            <w:pPr>
              <w:pStyle w:val="145"/>
              <w:keepNext w:val="0"/>
              <w:keepLines w:val="0"/>
              <w:suppressLineNumbers w:val="0"/>
              <w:spacing w:before="0" w:beforeAutospacing="0" w:after="0" w:afterAutospacing="0" w:line="360" w:lineRule="auto"/>
              <w:ind w:left="0" w:right="0" w:firstLine="480"/>
              <w:rPr>
                <w:rFonts w:hint="default" w:ascii="Times New Roman" w:hAnsi="Times New Roman"/>
                <w:color w:val="auto"/>
              </w:rPr>
            </w:pPr>
            <w:r>
              <w:rPr>
                <w:rFonts w:hint="eastAsia" w:ascii="Times New Roman" w:hAnsi="Times New Roman"/>
                <w:color w:val="auto"/>
                <w:lang w:eastAsia="zh-CN"/>
              </w:rPr>
              <w:t>本工程</w:t>
            </w:r>
            <w:r>
              <w:rPr>
                <w:rFonts w:hint="eastAsia" w:ascii="Times New Roman" w:hAnsi="Times New Roman"/>
                <w:color w:val="auto"/>
              </w:rPr>
              <w:t>提出以下控制措施：</w:t>
            </w:r>
          </w:p>
          <w:p w14:paraId="1835205A">
            <w:pPr>
              <w:pStyle w:val="145"/>
              <w:keepNext w:val="0"/>
              <w:keepLines w:val="0"/>
              <w:suppressLineNumbers w:val="0"/>
              <w:spacing w:before="0" w:beforeAutospacing="0" w:after="0" w:afterAutospacing="0" w:line="360" w:lineRule="auto"/>
              <w:ind w:left="0" w:right="0" w:firstLine="480"/>
              <w:rPr>
                <w:rFonts w:hint="default" w:ascii="Times New Roman" w:hAnsi="Times New Roman"/>
                <w:color w:val="auto"/>
              </w:rPr>
            </w:pPr>
            <w:r>
              <w:rPr>
                <w:rFonts w:hint="default" w:ascii="Times New Roman" w:hAnsi="Times New Roman"/>
                <w:color w:val="auto"/>
              </w:rPr>
              <w:t>A在施工前充分研究地质设计资料等，优化钻井施工工艺、泥浆体系等，对钻井过程中可能发生的泥浆漏失的情况，采用强钻方式快速钻穿漏失层达到固井层位。选用合理泥浆密度，实现近平衡压力钻井，降低泥浆环空压耗，降低泥浆激动压力，从而降低井筒中泥浆动压力，减小泥浆漏失量。</w:t>
            </w:r>
          </w:p>
          <w:p w14:paraId="5837310F">
            <w:pPr>
              <w:pStyle w:val="145"/>
              <w:keepNext w:val="0"/>
              <w:keepLines w:val="0"/>
              <w:suppressLineNumbers w:val="0"/>
              <w:spacing w:before="0" w:beforeAutospacing="0" w:after="0" w:afterAutospacing="0" w:line="360" w:lineRule="auto"/>
              <w:ind w:left="0" w:right="0" w:firstLine="480"/>
              <w:rPr>
                <w:rFonts w:hint="default" w:ascii="Times New Roman" w:hAnsi="Times New Roman"/>
                <w:color w:val="auto"/>
              </w:rPr>
            </w:pPr>
            <w:r>
              <w:rPr>
                <w:rFonts w:hint="default" w:ascii="Times New Roman" w:hAnsi="Times New Roman"/>
                <w:color w:val="auto"/>
              </w:rPr>
              <w:t>B根据项目地地下水分布情况、埋藏深度及岩溶发育情况等，优化钻井施工工艺和泥浆体系等，并且在钻井过程中应加强监控，防止泥浆的扩散污染等。</w:t>
            </w:r>
          </w:p>
          <w:p w14:paraId="2EEFF83C">
            <w:pPr>
              <w:pStyle w:val="145"/>
              <w:keepNext w:val="0"/>
              <w:keepLines w:val="0"/>
              <w:suppressLineNumbers w:val="0"/>
              <w:spacing w:before="0" w:beforeAutospacing="0" w:after="0" w:afterAutospacing="0" w:line="360" w:lineRule="auto"/>
              <w:ind w:left="0" w:right="0" w:firstLine="480"/>
              <w:rPr>
                <w:rFonts w:hint="default" w:ascii="Times New Roman" w:hAnsi="Times New Roman"/>
                <w:color w:val="auto"/>
              </w:rPr>
            </w:pPr>
            <w:r>
              <w:rPr>
                <w:rFonts w:hint="default" w:ascii="Times New Roman" w:hAnsi="Times New Roman"/>
                <w:color w:val="auto"/>
              </w:rPr>
              <w:t>C钻进过程中保持平衡操作，并对钻井液进行实时监控。采用无毒的</w:t>
            </w:r>
            <w:r>
              <w:rPr>
                <w:rFonts w:hint="eastAsia" w:ascii="Times New Roman" w:hAnsi="Times New Roman"/>
                <w:color w:val="auto"/>
                <w:lang w:eastAsia="zh-CN"/>
              </w:rPr>
              <w:t>水基</w:t>
            </w:r>
            <w:r>
              <w:rPr>
                <w:rFonts w:hint="default" w:ascii="Times New Roman" w:hAnsi="Times New Roman"/>
                <w:color w:val="auto"/>
              </w:rPr>
              <w:t>钻井液，配备足够量、高效的堵漏剂</w:t>
            </w:r>
            <w:r>
              <w:rPr>
                <w:rFonts w:hint="eastAsia" w:ascii="Times New Roman" w:hAnsi="Times New Roman"/>
                <w:color w:val="auto"/>
                <w:lang w:eastAsia="zh-CN"/>
              </w:rPr>
              <w:t>（由于钻井过程中的井壁破损等原因，会导致钻井液、水泥浆等工作液的漏失。堵漏剂能够有效阻止这些液体的泄漏，确保钻井、固井等作业的顺利进行，同时维持地层压力的稳定）</w:t>
            </w:r>
            <w:r>
              <w:rPr>
                <w:rFonts w:hint="default" w:ascii="Times New Roman" w:hAnsi="Times New Roman"/>
                <w:color w:val="auto"/>
              </w:rPr>
              <w:t>等，一旦发现漏失，立即采取堵漏措施，减少漏失量。堵漏剂的选取应考虑清洁、无毒、对人体无害，环境污染轻的种类。</w:t>
            </w:r>
          </w:p>
          <w:p w14:paraId="125E116E">
            <w:pPr>
              <w:pStyle w:val="145"/>
              <w:keepNext w:val="0"/>
              <w:keepLines w:val="0"/>
              <w:suppressLineNumbers w:val="0"/>
              <w:spacing w:before="0" w:beforeAutospacing="0" w:after="0" w:afterAutospacing="0" w:line="360" w:lineRule="auto"/>
              <w:ind w:left="0" w:right="0" w:firstLine="480"/>
              <w:rPr>
                <w:rFonts w:hint="default" w:ascii="Times New Roman" w:hAnsi="Times New Roman"/>
                <w:color w:val="auto"/>
              </w:rPr>
            </w:pPr>
            <w:r>
              <w:rPr>
                <w:rFonts w:hint="default" w:ascii="Times New Roman" w:hAnsi="Times New Roman"/>
                <w:color w:val="auto"/>
              </w:rPr>
              <w:t>D每次钻井结束后的固井作业可有效封隔地层与套管之间的环空，</w:t>
            </w:r>
            <w:r>
              <w:rPr>
                <w:rFonts w:hint="eastAsia" w:ascii="Times New Roman" w:hAnsi="Times New Roman"/>
                <w:color w:val="auto"/>
                <w:lang w:eastAsia="zh-CN"/>
              </w:rPr>
              <w:t>防止</w:t>
            </w:r>
            <w:r>
              <w:rPr>
                <w:rFonts w:hint="default" w:ascii="Times New Roman" w:hAnsi="Times New Roman"/>
                <w:color w:val="auto"/>
              </w:rPr>
              <w:t>污染地下水。固井作业应提高固井质量，可有效防止因为井漏事故造成的地下水环境污染。</w:t>
            </w:r>
          </w:p>
          <w:p w14:paraId="7D9B2AAE">
            <w:pPr>
              <w:pStyle w:val="145"/>
              <w:keepNext w:val="0"/>
              <w:keepLines w:val="0"/>
              <w:suppressLineNumbers w:val="0"/>
              <w:spacing w:before="0" w:beforeAutospacing="0" w:after="0" w:afterAutospacing="0" w:line="360" w:lineRule="auto"/>
              <w:ind w:left="0" w:right="0" w:firstLine="480"/>
              <w:rPr>
                <w:rFonts w:hint="default" w:ascii="Times New Roman" w:hAnsi="Times New Roman"/>
                <w:color w:val="auto"/>
              </w:rPr>
            </w:pPr>
            <w:r>
              <w:rPr>
                <w:rFonts w:hint="default" w:ascii="Times New Roman" w:hAnsi="Times New Roman"/>
                <w:color w:val="auto"/>
              </w:rPr>
              <w:t>E在钻井完井过程中严格控制新鲜水用量，实行清污分流，减少污水产生量。</w:t>
            </w:r>
          </w:p>
          <w:p w14:paraId="553EA00A">
            <w:pPr>
              <w:pStyle w:val="145"/>
              <w:keepNext w:val="0"/>
              <w:keepLines w:val="0"/>
              <w:suppressLineNumbers w:val="0"/>
              <w:spacing w:before="0" w:beforeAutospacing="0" w:after="0" w:afterAutospacing="0" w:line="360" w:lineRule="auto"/>
              <w:ind w:left="0" w:right="0" w:firstLine="480"/>
              <w:rPr>
                <w:rFonts w:hint="default" w:ascii="Times New Roman" w:hAnsi="Times New Roman"/>
                <w:color w:val="auto"/>
              </w:rPr>
            </w:pPr>
            <w:r>
              <w:rPr>
                <w:rFonts w:hint="default" w:ascii="Times New Roman" w:hAnsi="Times New Roman"/>
                <w:color w:val="auto"/>
              </w:rPr>
              <w:t>F作业用材料集中放置在防渗漏地面，防止对地下水的污染。</w:t>
            </w:r>
          </w:p>
          <w:p w14:paraId="3680B28F">
            <w:pPr>
              <w:pStyle w:val="145"/>
              <w:keepNext w:val="0"/>
              <w:keepLines w:val="0"/>
              <w:suppressLineNumbers w:val="0"/>
              <w:spacing w:before="0" w:beforeAutospacing="0" w:after="0" w:afterAutospacing="0" w:line="360" w:lineRule="auto"/>
              <w:ind w:left="0" w:right="0" w:firstLine="480"/>
              <w:rPr>
                <w:rFonts w:hint="default" w:ascii="Times New Roman" w:hAnsi="Times New Roman"/>
                <w:color w:val="auto"/>
              </w:rPr>
            </w:pPr>
            <w:r>
              <w:rPr>
                <w:rFonts w:hint="default" w:ascii="Times New Roman" w:hAnsi="Times New Roman"/>
                <w:color w:val="auto"/>
              </w:rPr>
              <w:t>G钻井过程中应加强废水管理，防止出现废水渗漏、外溢或污水池垮塌等事故；钻井过程中产生的废水采用化学混凝处理工艺，大部分处理合格后回用，剩余部分拉运处理。</w:t>
            </w:r>
          </w:p>
          <w:p w14:paraId="5FCF3874">
            <w:pPr>
              <w:pStyle w:val="145"/>
              <w:keepNext w:val="0"/>
              <w:keepLines w:val="0"/>
              <w:suppressLineNumbers w:val="0"/>
              <w:spacing w:before="0" w:beforeAutospacing="0" w:after="0" w:afterAutospacing="0" w:line="360" w:lineRule="auto"/>
              <w:ind w:left="0" w:right="0" w:firstLine="480"/>
              <w:rPr>
                <w:rFonts w:hint="eastAsia" w:ascii="Times New Roman" w:hAnsi="Times New Roman"/>
                <w:color w:val="auto"/>
              </w:rPr>
            </w:pPr>
            <w:r>
              <w:rPr>
                <w:rFonts w:hint="default" w:ascii="Times New Roman" w:hAnsi="Times New Roman"/>
                <w:color w:val="auto"/>
              </w:rPr>
              <w:t>H根据探井勘探项目的实际生产情况，保证钻孔固井质量是保护地下水的有效措施，钻井过程中使用双层套管，表层套管和油层套管固井水泥浆均返至井口，确保安全封闭此深度内的潜水层和承压水层，同时封固地表疏松地层，为井口控制和后续完井采用预应力固井创造条件；钻井过程中的固井措施，一方面加固井壁，同时也有分隔地层的作用，使各个不相</w:t>
            </w:r>
            <w:r>
              <w:rPr>
                <w:rFonts w:hint="eastAsia" w:ascii="Times New Roman" w:hAnsi="Times New Roman"/>
                <w:color w:val="auto"/>
              </w:rPr>
              <w:t>连</w:t>
            </w:r>
            <w:r>
              <w:rPr>
                <w:rFonts w:hint="default" w:ascii="Times New Roman" w:hAnsi="Times New Roman"/>
                <w:color w:val="auto"/>
              </w:rPr>
              <w:t>通的地层分隔开来，保持其原有的循环运移道路。</w:t>
            </w:r>
          </w:p>
          <w:p w14:paraId="7DFEB47F">
            <w:pPr>
              <w:keepNext w:val="0"/>
              <w:keepLines w:val="0"/>
              <w:suppressLineNumbers w:val="0"/>
              <w:spacing w:before="0" w:beforeAutospacing="0" w:after="0" w:afterAutospacing="0" w:line="360" w:lineRule="auto"/>
              <w:ind w:left="0" w:right="0" w:firstLine="470" w:firstLineChars="196"/>
              <w:rPr>
                <w:rFonts w:hint="default"/>
                <w:color w:val="auto"/>
                <w:sz w:val="24"/>
              </w:rPr>
            </w:pPr>
            <w:r>
              <w:rPr>
                <w:rFonts w:hint="default"/>
                <w:color w:val="auto"/>
                <w:sz w:val="24"/>
              </w:rPr>
              <w:t>在钻井施工过程中根据地层地质结构及含水层位的不同，</w:t>
            </w:r>
            <w:r>
              <w:rPr>
                <w:rFonts w:hint="eastAsia"/>
                <w:color w:val="auto"/>
                <w:sz w:val="24"/>
                <w:lang w:eastAsia="zh-CN"/>
              </w:rPr>
              <w:t>采取</w:t>
            </w:r>
            <w:r>
              <w:rPr>
                <w:rFonts w:hint="default"/>
                <w:color w:val="auto"/>
                <w:sz w:val="24"/>
              </w:rPr>
              <w:t>不同深度的表层套管，一般下套管至</w:t>
            </w:r>
            <w:r>
              <w:rPr>
                <w:rFonts w:hint="eastAsia"/>
                <w:color w:val="auto"/>
                <w:sz w:val="24"/>
              </w:rPr>
              <w:t>160</w:t>
            </w:r>
            <w:r>
              <w:rPr>
                <w:rFonts w:hint="default"/>
                <w:color w:val="auto"/>
                <w:sz w:val="24"/>
              </w:rPr>
              <w:t>0m左右并注入水泥封固，确保表层套管能完全封隔含水层。而且，钻井施工过程中，不只是有表层套管，还会下技术套管、生产套管，并且每层套管和井壁之间会用水泥封固，防止地下水被钻井泥浆污染。</w:t>
            </w:r>
          </w:p>
          <w:p w14:paraId="71A0D0E9">
            <w:pPr>
              <w:pStyle w:val="145"/>
              <w:keepNext w:val="0"/>
              <w:keepLines w:val="0"/>
              <w:suppressLineNumbers w:val="0"/>
              <w:spacing w:before="0" w:beforeAutospacing="0" w:after="0" w:afterAutospacing="0" w:line="360" w:lineRule="auto"/>
              <w:ind w:left="0" w:right="0" w:firstLine="480"/>
              <w:rPr>
                <w:rFonts w:hint="default" w:ascii="Times New Roman" w:hAnsi="Times New Roman"/>
                <w:color w:val="auto"/>
              </w:rPr>
            </w:pPr>
            <w:r>
              <w:rPr>
                <w:rFonts w:hint="default" w:ascii="Times New Roman" w:hAnsi="Times New Roman"/>
                <w:color w:val="auto"/>
              </w:rPr>
              <w:t>I加强油料的管理和控制，特别应加强和完善废油的控制措施。加强岩屑、废泥浆及其他固体废弃物收集、运输及暂存、处置等过程的环境管理。</w:t>
            </w:r>
          </w:p>
          <w:p w14:paraId="063D1654">
            <w:pPr>
              <w:pStyle w:val="145"/>
              <w:keepNext w:val="0"/>
              <w:keepLines w:val="0"/>
              <w:suppressLineNumbers w:val="0"/>
              <w:spacing w:before="0" w:beforeAutospacing="0" w:after="0" w:afterAutospacing="0" w:line="360" w:lineRule="auto"/>
              <w:ind w:left="0" w:right="0" w:firstLine="480"/>
              <w:rPr>
                <w:rFonts w:hint="eastAsia" w:ascii="Times New Roman" w:hAnsi="Times New Roman"/>
                <w:color w:val="auto"/>
              </w:rPr>
            </w:pPr>
            <w:r>
              <w:rPr>
                <w:rFonts w:hint="default" w:ascii="Times New Roman" w:hAnsi="Times New Roman"/>
                <w:color w:val="auto"/>
              </w:rPr>
              <w:t>J钻井液等应做到循环利用。采取节水措施，减少耗水量。鼓励采用先进的工艺、设备。</w:t>
            </w:r>
          </w:p>
          <w:p w14:paraId="7191C93D">
            <w:pPr>
              <w:pStyle w:val="145"/>
              <w:keepNext w:val="0"/>
              <w:keepLines w:val="0"/>
              <w:suppressLineNumbers w:val="0"/>
              <w:spacing w:before="0" w:beforeAutospacing="0" w:after="0" w:afterAutospacing="0" w:line="360" w:lineRule="auto"/>
              <w:ind w:left="0" w:right="0" w:firstLine="480"/>
              <w:rPr>
                <w:rFonts w:hint="default" w:ascii="Times New Roman" w:hAnsi="Times New Roman"/>
                <w:color w:val="auto"/>
              </w:rPr>
            </w:pPr>
            <w:r>
              <w:rPr>
                <w:rFonts w:hint="eastAsia" w:ascii="Times New Roman" w:hAnsi="Times New Roman"/>
                <w:color w:val="auto"/>
              </w:rPr>
              <w:t>K在钻井泥浆入口、出口安装流量测量仪，实时监测钻井泥浆流量变化情况。若发现泥浆出口流量小于入口流量，则判断为井筒渗漏，依据地层特征和渗漏速度，确定井漏具体层位，及时向钻井泥浆中加入堵漏材料并调整钻井泥浆性能，同时配备水泥浆（适用各种漏失通道的需要。对于大裂缝或溶洞等引起的严重井漏、破碎性地层引起的诱导性井漏，首先考虑水泥浆堵漏），确保及时堵漏成功。</w:t>
            </w:r>
          </w:p>
          <w:p w14:paraId="460433E7">
            <w:pPr>
              <w:pStyle w:val="145"/>
              <w:keepNext w:val="0"/>
              <w:keepLines w:val="0"/>
              <w:suppressLineNumbers w:val="0"/>
              <w:spacing w:before="0" w:beforeAutospacing="0" w:after="0" w:afterAutospacing="0" w:line="360" w:lineRule="auto"/>
              <w:ind w:left="0" w:right="0" w:firstLine="480"/>
              <w:rPr>
                <w:rFonts w:hint="default" w:ascii="Times New Roman" w:hAnsi="Times New Roman"/>
                <w:color w:val="auto"/>
                <w:szCs w:val="24"/>
              </w:rPr>
            </w:pPr>
            <w:r>
              <w:rPr>
                <w:rFonts w:hint="eastAsia" w:ascii="宋体" w:hAnsi="宋体"/>
                <w:color w:val="auto"/>
                <w:szCs w:val="24"/>
              </w:rPr>
              <w:t>②</w:t>
            </w:r>
            <w:r>
              <w:rPr>
                <w:rFonts w:hint="default" w:ascii="Times New Roman" w:hAnsi="Times New Roman"/>
                <w:color w:val="auto"/>
                <w:szCs w:val="24"/>
              </w:rPr>
              <w:t>防渗控制措施</w:t>
            </w:r>
          </w:p>
          <w:p w14:paraId="6CB27D8F">
            <w:pPr>
              <w:pStyle w:val="145"/>
              <w:keepNext w:val="0"/>
              <w:keepLines w:val="0"/>
              <w:suppressLineNumbers w:val="0"/>
              <w:spacing w:before="0" w:beforeAutospacing="0" w:after="0" w:afterAutospacing="0" w:line="360" w:lineRule="auto"/>
              <w:ind w:left="0" w:right="0" w:firstLine="480"/>
              <w:rPr>
                <w:rFonts w:hint="default" w:ascii="Times New Roman" w:hAnsi="Times New Roman"/>
                <w:color w:val="auto"/>
              </w:rPr>
            </w:pPr>
            <w:r>
              <w:rPr>
                <w:rFonts w:hint="default" w:ascii="Times New Roman" w:hAnsi="Times New Roman"/>
                <w:color w:val="auto"/>
              </w:rPr>
              <w:t>为防止污染地下水，针对井场钻井期间工程特点，参照《环境影响评价技术导则 地下水环境》</w:t>
            </w:r>
            <w:r>
              <w:rPr>
                <w:rFonts w:hint="eastAsia" w:ascii="Times New Roman" w:hAnsi="Times New Roman"/>
                <w:color w:val="auto"/>
              </w:rPr>
              <w:t>（</w:t>
            </w:r>
            <w:r>
              <w:rPr>
                <w:rFonts w:hint="default" w:ascii="Times New Roman" w:hAnsi="Times New Roman"/>
                <w:color w:val="auto"/>
              </w:rPr>
              <w:t>HJ610-2016</w:t>
            </w:r>
            <w:r>
              <w:rPr>
                <w:rFonts w:hint="eastAsia" w:ascii="Times New Roman" w:hAnsi="Times New Roman"/>
                <w:color w:val="auto"/>
              </w:rPr>
              <w:t>）</w:t>
            </w:r>
            <w:r>
              <w:rPr>
                <w:rFonts w:hint="default" w:ascii="Times New Roman" w:hAnsi="Times New Roman"/>
                <w:color w:val="auto"/>
              </w:rPr>
              <w:t>和《石油化工工程防渗技术规范》</w:t>
            </w:r>
            <w:r>
              <w:rPr>
                <w:rFonts w:hint="eastAsia" w:ascii="Times New Roman" w:hAnsi="Times New Roman"/>
                <w:color w:val="auto"/>
              </w:rPr>
              <w:t>（</w:t>
            </w:r>
            <w:r>
              <w:rPr>
                <w:rFonts w:hint="default" w:ascii="Times New Roman" w:hAnsi="Times New Roman"/>
                <w:color w:val="auto"/>
              </w:rPr>
              <w:t>GB/T50934-2013</w:t>
            </w:r>
            <w:r>
              <w:rPr>
                <w:rFonts w:hint="eastAsia" w:ascii="Times New Roman" w:hAnsi="Times New Roman"/>
                <w:color w:val="auto"/>
              </w:rPr>
              <w:t>）</w:t>
            </w:r>
            <w:r>
              <w:rPr>
                <w:rFonts w:hint="default" w:ascii="Times New Roman" w:hAnsi="Times New Roman"/>
                <w:color w:val="auto"/>
              </w:rPr>
              <w:t>的相关要求，将钻井期井场进行分区防渗，主要分为重点防渗区、一般防渗区和简单防渗区。</w:t>
            </w:r>
          </w:p>
          <w:p w14:paraId="2ED98E8A">
            <w:pPr>
              <w:pStyle w:val="145"/>
              <w:keepNext w:val="0"/>
              <w:keepLines w:val="0"/>
              <w:suppressLineNumbers w:val="0"/>
              <w:spacing w:before="0" w:beforeAutospacing="0" w:after="0" w:afterAutospacing="0" w:line="360" w:lineRule="auto"/>
              <w:ind w:left="0" w:right="0" w:firstLine="480"/>
              <w:rPr>
                <w:rFonts w:hint="default" w:ascii="Times New Roman" w:hAnsi="Times New Roman"/>
                <w:bCs/>
                <w:color w:val="auto"/>
                <w:szCs w:val="24"/>
              </w:rPr>
            </w:pPr>
            <w:r>
              <w:rPr>
                <w:rFonts w:hint="eastAsia" w:ascii="Times New Roman" w:hAnsi="Times New Roman"/>
                <w:bCs/>
                <w:color w:val="auto"/>
                <w:szCs w:val="24"/>
              </w:rPr>
              <w:t>a</w:t>
            </w:r>
            <w:r>
              <w:rPr>
                <w:rFonts w:hint="default" w:ascii="Times New Roman" w:hAnsi="Times New Roman"/>
                <w:bCs/>
                <w:color w:val="auto"/>
                <w:szCs w:val="24"/>
              </w:rPr>
              <w:t>重点防渗区</w:t>
            </w:r>
          </w:p>
          <w:p w14:paraId="3DCACBD1">
            <w:pPr>
              <w:pStyle w:val="145"/>
              <w:keepNext w:val="0"/>
              <w:keepLines w:val="0"/>
              <w:suppressLineNumbers w:val="0"/>
              <w:spacing w:before="0" w:beforeAutospacing="0" w:after="0" w:afterAutospacing="0" w:line="360" w:lineRule="auto"/>
              <w:ind w:left="0" w:right="0" w:firstLine="480"/>
              <w:rPr>
                <w:rFonts w:hint="eastAsia" w:ascii="Times New Roman" w:hAnsi="Times New Roman"/>
                <w:bCs/>
                <w:color w:val="auto"/>
                <w:szCs w:val="24"/>
              </w:rPr>
            </w:pPr>
            <w:r>
              <w:rPr>
                <w:rFonts w:hint="default"/>
                <w:color w:val="auto"/>
              </w:rPr>
              <w:t>钻井平台、泥浆不落地系统区、泥浆储罐区、柴油罐区</w:t>
            </w:r>
            <w:r>
              <w:rPr>
                <w:rFonts w:hint="eastAsia"/>
                <w:color w:val="auto"/>
              </w:rPr>
              <w:t>、</w:t>
            </w:r>
            <w:r>
              <w:rPr>
                <w:rFonts w:hint="eastAsia"/>
                <w:color w:val="auto"/>
                <w:lang w:eastAsia="zh-CN"/>
              </w:rPr>
              <w:t>危废贮存点</w:t>
            </w:r>
            <w:r>
              <w:rPr>
                <w:rFonts w:hint="default"/>
                <w:color w:val="auto"/>
              </w:rPr>
              <w:t>等划分为重点防渗区</w:t>
            </w:r>
            <w:r>
              <w:rPr>
                <w:rFonts w:hint="eastAsia"/>
                <w:color w:val="auto"/>
              </w:rPr>
              <w:t>。</w:t>
            </w:r>
          </w:p>
          <w:p w14:paraId="41121884">
            <w:pPr>
              <w:pStyle w:val="145"/>
              <w:keepNext w:val="0"/>
              <w:keepLines w:val="0"/>
              <w:suppressLineNumbers w:val="0"/>
              <w:spacing w:before="0" w:beforeAutospacing="0" w:after="0" w:afterAutospacing="0" w:line="360" w:lineRule="auto"/>
              <w:ind w:left="0" w:right="0" w:firstLine="480"/>
              <w:rPr>
                <w:rFonts w:hint="default" w:ascii="Times New Roman" w:hAnsi="Times New Roman"/>
                <w:bCs/>
                <w:color w:val="auto"/>
                <w:szCs w:val="24"/>
              </w:rPr>
            </w:pPr>
            <w:r>
              <w:rPr>
                <w:rFonts w:hint="default" w:ascii="Times New Roman" w:hAnsi="Times New Roman"/>
                <w:color w:val="auto"/>
              </w:rPr>
              <w:t>重点防渗区按照《环境影响评价技术导则地下水环境》（HJ610-2016）和《石油化工工程防渗技术规范》（GB/T50934-2013）的相关要求，地面底部利用机械将衬层压实，四周加设高度为20cm的围堰，铺设双层2mm厚高密度聚乙烯防渗膜（覆盖围堰并外延0.5m以上），等效黏土防渗层Mb≥6.0m，K≤1×10</w:t>
            </w:r>
            <w:r>
              <w:rPr>
                <w:rFonts w:hint="default" w:ascii="Times New Roman" w:hAnsi="Times New Roman"/>
                <w:color w:val="auto"/>
                <w:highlight w:val="none"/>
                <w:vertAlign w:val="superscript"/>
              </w:rPr>
              <w:t>-</w:t>
            </w:r>
            <w:r>
              <w:rPr>
                <w:rFonts w:hint="default" w:ascii="Times New Roman" w:hAnsi="Times New Roman"/>
                <w:color w:val="auto"/>
                <w:vertAlign w:val="superscript"/>
              </w:rPr>
              <w:t>10</w:t>
            </w:r>
            <w:r>
              <w:rPr>
                <w:rFonts w:hint="default" w:ascii="Times New Roman" w:hAnsi="Times New Roman"/>
                <w:color w:val="auto"/>
              </w:rPr>
              <w:t>cm/s</w:t>
            </w:r>
            <w:r>
              <w:rPr>
                <w:rFonts w:hint="default" w:ascii="Times New Roman" w:hAnsi="Times New Roman"/>
                <w:color w:val="auto"/>
                <w:szCs w:val="24"/>
              </w:rPr>
              <w:t>。</w:t>
            </w:r>
          </w:p>
          <w:p w14:paraId="60E05C49">
            <w:pPr>
              <w:pStyle w:val="145"/>
              <w:keepNext w:val="0"/>
              <w:keepLines w:val="0"/>
              <w:suppressLineNumbers w:val="0"/>
              <w:spacing w:before="0" w:beforeAutospacing="0" w:after="0" w:afterAutospacing="0" w:line="360" w:lineRule="auto"/>
              <w:ind w:left="0" w:right="0" w:firstLine="480"/>
              <w:rPr>
                <w:rFonts w:hint="eastAsia" w:ascii="Times New Roman" w:hAnsi="Times New Roman"/>
                <w:bCs/>
                <w:color w:val="auto"/>
                <w:szCs w:val="24"/>
              </w:rPr>
            </w:pPr>
            <w:r>
              <w:rPr>
                <w:rFonts w:hint="default" w:ascii="Times New Roman" w:hAnsi="Times New Roman"/>
                <w:bCs/>
                <w:color w:val="auto"/>
                <w:szCs w:val="24"/>
              </w:rPr>
              <w:t>b一般防渗区</w:t>
            </w:r>
          </w:p>
          <w:p w14:paraId="02736535">
            <w:pPr>
              <w:pStyle w:val="145"/>
              <w:keepNext w:val="0"/>
              <w:keepLines w:val="0"/>
              <w:suppressLineNumbers w:val="0"/>
              <w:spacing w:before="0" w:beforeAutospacing="0" w:after="0" w:afterAutospacing="0" w:line="360" w:lineRule="auto"/>
              <w:ind w:left="0" w:right="0" w:firstLine="480"/>
              <w:rPr>
                <w:rFonts w:hint="default" w:ascii="Times New Roman" w:hAnsi="Times New Roman"/>
                <w:color w:val="auto"/>
                <w:szCs w:val="24"/>
              </w:rPr>
            </w:pPr>
            <w:r>
              <w:rPr>
                <w:rFonts w:hint="default" w:ascii="Times New Roman" w:hAnsi="Times New Roman"/>
                <w:color w:val="auto"/>
                <w:szCs w:val="24"/>
              </w:rPr>
              <w:t>钻井液材料场、</w:t>
            </w:r>
            <w:r>
              <w:rPr>
                <w:rFonts w:hint="eastAsia" w:ascii="Times New Roman" w:hAnsi="Times New Roman"/>
                <w:color w:val="auto"/>
                <w:szCs w:val="24"/>
              </w:rPr>
              <w:t>固废暂存区</w:t>
            </w:r>
            <w:r>
              <w:rPr>
                <w:rFonts w:hint="default" w:ascii="Times New Roman" w:hAnsi="Times New Roman"/>
                <w:color w:val="auto"/>
              </w:rPr>
              <w:t>等一般防渗区地面底部利用机械将衬层压实，</w:t>
            </w:r>
            <w:r>
              <w:rPr>
                <w:rFonts w:hint="eastAsia" w:ascii="Times New Roman" w:hAnsi="Times New Roman"/>
                <w:color w:val="auto"/>
              </w:rPr>
              <w:t>四周加设高度为20cm的围堰（</w:t>
            </w:r>
            <w:r>
              <w:rPr>
                <w:rFonts w:hint="eastAsia" w:ascii="Times New Roman" w:hAnsi="Times New Roman"/>
                <w:color w:val="auto"/>
                <w:szCs w:val="24"/>
              </w:rPr>
              <w:t>固废暂存区</w:t>
            </w:r>
            <w:r>
              <w:rPr>
                <w:rFonts w:hint="eastAsia" w:ascii="Times New Roman" w:hAnsi="Times New Roman"/>
                <w:color w:val="auto"/>
              </w:rPr>
              <w:t>围堰高度为5</w:t>
            </w:r>
            <w:r>
              <w:rPr>
                <w:rFonts w:hint="default" w:ascii="Times New Roman" w:hAnsi="Times New Roman"/>
                <w:color w:val="auto"/>
              </w:rPr>
              <w:t>0</w:t>
            </w:r>
            <w:r>
              <w:rPr>
                <w:rFonts w:hint="eastAsia" w:ascii="Times New Roman" w:hAnsi="Times New Roman"/>
                <w:color w:val="auto"/>
              </w:rPr>
              <w:t>cm），</w:t>
            </w:r>
            <w:r>
              <w:rPr>
                <w:rFonts w:hint="default" w:ascii="Times New Roman" w:hAnsi="Times New Roman"/>
                <w:color w:val="auto"/>
              </w:rPr>
              <w:t>铺设</w:t>
            </w:r>
            <w:r>
              <w:rPr>
                <w:rFonts w:hint="eastAsia" w:ascii="Times New Roman" w:hAnsi="Times New Roman"/>
                <w:color w:val="auto"/>
              </w:rPr>
              <w:t>双层1</w:t>
            </w:r>
            <w:r>
              <w:rPr>
                <w:rFonts w:hint="default" w:ascii="Times New Roman" w:hAnsi="Times New Roman"/>
                <w:color w:val="auto"/>
              </w:rPr>
              <w:t>.5</w:t>
            </w:r>
            <w:r>
              <w:rPr>
                <w:rFonts w:hint="eastAsia" w:ascii="Times New Roman" w:hAnsi="Times New Roman"/>
                <w:color w:val="auto"/>
              </w:rPr>
              <w:t>mm厚高密度聚乙烯防渗膜（覆盖围堰并外延0.5m以上）</w:t>
            </w:r>
            <w:r>
              <w:rPr>
                <w:rFonts w:hint="default" w:ascii="Times New Roman" w:hAnsi="Times New Roman"/>
                <w:color w:val="auto"/>
              </w:rPr>
              <w:t>，等效黏土防渗层Mb≥1.5m，K≤1×10</w:t>
            </w:r>
            <w:r>
              <w:rPr>
                <w:rFonts w:hint="default" w:ascii="Times New Roman" w:hAnsi="Times New Roman"/>
                <w:color w:val="auto"/>
                <w:highlight w:val="none"/>
                <w:vertAlign w:val="superscript"/>
              </w:rPr>
              <w:t>-</w:t>
            </w:r>
            <w:r>
              <w:rPr>
                <w:rFonts w:hint="default" w:ascii="Times New Roman" w:hAnsi="Times New Roman"/>
                <w:color w:val="auto"/>
                <w:vertAlign w:val="superscript"/>
              </w:rPr>
              <w:t>7</w:t>
            </w:r>
            <w:r>
              <w:rPr>
                <w:rFonts w:hint="default" w:ascii="Times New Roman" w:hAnsi="Times New Roman"/>
                <w:color w:val="auto"/>
              </w:rPr>
              <w:t>cm/s</w:t>
            </w:r>
            <w:r>
              <w:rPr>
                <w:rFonts w:hint="default" w:ascii="Times New Roman" w:hAnsi="Times New Roman"/>
                <w:color w:val="auto"/>
                <w:szCs w:val="24"/>
              </w:rPr>
              <w:t>。</w:t>
            </w:r>
            <w:r>
              <w:rPr>
                <w:rFonts w:hint="eastAsia" w:ascii="Times New Roman" w:hAnsi="Times New Roman"/>
                <w:color w:val="auto"/>
                <w:szCs w:val="24"/>
                <w:lang w:eastAsia="zh-CN"/>
              </w:rPr>
              <w:t>本工程</w:t>
            </w:r>
            <w:r>
              <w:rPr>
                <w:rFonts w:hint="default" w:ascii="Times New Roman" w:hAnsi="Times New Roman"/>
                <w:color w:val="auto"/>
                <w:szCs w:val="24"/>
              </w:rPr>
              <w:t>经过以上防渗处理后，其防渗可以满足工程要求。</w:t>
            </w:r>
          </w:p>
          <w:p w14:paraId="1E8FF06C">
            <w:pPr>
              <w:pStyle w:val="145"/>
              <w:keepNext w:val="0"/>
              <w:keepLines w:val="0"/>
              <w:suppressLineNumbers w:val="0"/>
              <w:spacing w:before="0" w:beforeAutospacing="0" w:after="0" w:afterAutospacing="0" w:line="360" w:lineRule="auto"/>
              <w:ind w:left="0" w:right="0" w:firstLine="480"/>
              <w:rPr>
                <w:rFonts w:hint="eastAsia" w:ascii="Times New Roman" w:hAnsi="Times New Roman"/>
                <w:bCs/>
                <w:color w:val="auto"/>
                <w:szCs w:val="24"/>
              </w:rPr>
            </w:pPr>
            <w:r>
              <w:rPr>
                <w:rFonts w:hint="default" w:ascii="Times New Roman" w:hAnsi="Times New Roman"/>
                <w:bCs/>
                <w:color w:val="auto"/>
                <w:szCs w:val="24"/>
              </w:rPr>
              <w:t>c简易防渗区</w:t>
            </w:r>
          </w:p>
          <w:p w14:paraId="0A280398">
            <w:pPr>
              <w:pStyle w:val="145"/>
              <w:keepNext w:val="0"/>
              <w:keepLines w:val="0"/>
              <w:suppressLineNumbers w:val="0"/>
              <w:spacing w:before="0" w:beforeAutospacing="0" w:after="0" w:afterAutospacing="0" w:line="360" w:lineRule="auto"/>
              <w:ind w:left="0" w:right="0" w:firstLine="480"/>
              <w:rPr>
                <w:rFonts w:hint="eastAsia" w:ascii="Times New Roman" w:hAnsi="Times New Roman"/>
                <w:color w:val="auto"/>
                <w:szCs w:val="24"/>
              </w:rPr>
            </w:pPr>
            <w:r>
              <w:rPr>
                <w:rFonts w:hint="default" w:ascii="Times New Roman" w:hAnsi="Times New Roman"/>
                <w:color w:val="auto"/>
                <w:szCs w:val="24"/>
              </w:rPr>
              <w:t>办公室、值班室、机房、井场道路等采用黏土碾压方式进行防渗。</w:t>
            </w:r>
          </w:p>
          <w:p w14:paraId="2F7084DB">
            <w:pPr>
              <w:pStyle w:val="145"/>
              <w:keepNext w:val="0"/>
              <w:keepLines w:val="0"/>
              <w:suppressLineNumbers w:val="0"/>
              <w:spacing w:before="0" w:beforeAutospacing="0" w:after="0" w:afterAutospacing="0" w:line="360" w:lineRule="auto"/>
              <w:ind w:left="0" w:right="0" w:firstLine="480"/>
              <w:rPr>
                <w:rFonts w:hint="eastAsia" w:ascii="Times New Roman" w:hAnsi="Times New Roman"/>
                <w:color w:val="auto"/>
                <w:szCs w:val="24"/>
              </w:rPr>
            </w:pPr>
            <w:r>
              <w:rPr>
                <w:rFonts w:hint="default" w:ascii="Times New Roman" w:hAnsi="Times New Roman"/>
                <w:color w:val="auto"/>
                <w:szCs w:val="24"/>
              </w:rPr>
              <w:t>本工程所选用的防渗材料近年来在中国石油多家油田公司广泛应用，采用优质原材料生产，可广泛应用于废料场、酸碱及含油废水的污水处理池、危险固体废物处理与处置场、石化储油罐防渗、化学反应池的防渗，防酸碱腐蚀，具有良好的抗老化性能、抗撕裂性能，强度纵横向拉力、抗穿刺性、环保性能指标均达到国家标准，耐高温和耐低温性能突出，适用温度范围-70℃~80℃。采用其铺设的防渗层可以满足1.0×10</w:t>
            </w:r>
            <w:r>
              <w:rPr>
                <w:rFonts w:hint="default" w:ascii="Times New Roman" w:hAnsi="Times New Roman"/>
                <w:color w:val="auto"/>
                <w:szCs w:val="24"/>
                <w:highlight w:val="none"/>
                <w:vertAlign w:val="superscript"/>
              </w:rPr>
              <w:t>-</w:t>
            </w:r>
            <w:r>
              <w:rPr>
                <w:rFonts w:hint="default" w:ascii="Times New Roman" w:hAnsi="Times New Roman"/>
                <w:color w:val="auto"/>
                <w:szCs w:val="24"/>
                <w:vertAlign w:val="superscript"/>
              </w:rPr>
              <w:t>10</w:t>
            </w:r>
            <w:r>
              <w:rPr>
                <w:rFonts w:hint="default" w:ascii="Times New Roman" w:hAnsi="Times New Roman"/>
                <w:color w:val="auto"/>
                <w:szCs w:val="24"/>
              </w:rPr>
              <w:t>cm/s的防渗性能，能够有效防止污染物下渗，避免对地下水环境的影响。</w:t>
            </w:r>
          </w:p>
          <w:p w14:paraId="220034B5">
            <w:pPr>
              <w:pStyle w:val="145"/>
              <w:keepNext w:val="0"/>
              <w:keepLines w:val="0"/>
              <w:suppressLineNumbers w:val="0"/>
              <w:spacing w:before="0" w:beforeAutospacing="0" w:after="0" w:afterAutospacing="0" w:line="360" w:lineRule="auto"/>
              <w:ind w:left="0" w:right="0" w:firstLine="482"/>
              <w:rPr>
                <w:rFonts w:hint="default" w:ascii="Times New Roman" w:hAnsi="Times New Roman"/>
                <w:b/>
                <w:color w:val="auto"/>
                <w:szCs w:val="24"/>
              </w:rPr>
            </w:pPr>
            <w:r>
              <w:rPr>
                <w:rFonts w:hint="default" w:ascii="Times New Roman" w:hAnsi="Times New Roman"/>
                <w:b/>
                <w:color w:val="auto"/>
                <w:szCs w:val="24"/>
              </w:rPr>
              <w:t>三、噪声环境</w:t>
            </w:r>
          </w:p>
          <w:p w14:paraId="09695BC0">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sz w:val="24"/>
                <w:lang w:val="en-GB"/>
              </w:rPr>
            </w:pPr>
            <w:r>
              <w:rPr>
                <w:rFonts w:hint="eastAsia"/>
                <w:bCs/>
                <w:color w:val="auto"/>
                <w:sz w:val="24"/>
                <w:lang w:val="en-GB"/>
              </w:rPr>
              <w:t>为最大限度避免和减轻施工对周围其他声环境的不利影响，本评价对施工期噪声控制提出以下要求和建议：</w:t>
            </w:r>
          </w:p>
          <w:p w14:paraId="3C31E748">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sz w:val="24"/>
                <w:lang w:val="en-GB"/>
              </w:rPr>
            </w:pPr>
            <w:r>
              <w:rPr>
                <w:rFonts w:hint="eastAsia"/>
                <w:bCs/>
                <w:color w:val="auto"/>
                <w:sz w:val="24"/>
                <w:lang w:val="en-GB"/>
              </w:rPr>
              <w:t>（1）合理安排施工时间</w:t>
            </w:r>
          </w:p>
          <w:p w14:paraId="58EA2D5E">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sz w:val="24"/>
                <w:lang w:val="en-GB"/>
              </w:rPr>
            </w:pPr>
            <w:r>
              <w:rPr>
                <w:rFonts w:hint="eastAsia"/>
                <w:bCs/>
                <w:color w:val="auto"/>
                <w:sz w:val="24"/>
                <w:lang w:val="en-GB"/>
              </w:rPr>
              <w:t>①制定施工计划时，尽可能避免高噪声设备同时施工；</w:t>
            </w:r>
          </w:p>
          <w:p w14:paraId="2157B28B">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sz w:val="24"/>
                <w:lang w:val="en-GB"/>
              </w:rPr>
            </w:pPr>
            <w:r>
              <w:rPr>
                <w:rFonts w:hint="eastAsia"/>
                <w:bCs/>
                <w:color w:val="auto"/>
                <w:sz w:val="24"/>
                <w:lang w:val="en-GB"/>
              </w:rPr>
              <w:t>②高噪声设备施工时间尽量安排在昼间，夜间施工应告知周围单位或居民；</w:t>
            </w:r>
          </w:p>
          <w:p w14:paraId="26671C2D">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sz w:val="24"/>
                <w:lang w:val="en-GB"/>
              </w:rPr>
            </w:pPr>
            <w:r>
              <w:rPr>
                <w:rFonts w:hint="eastAsia"/>
                <w:bCs/>
                <w:color w:val="auto"/>
                <w:sz w:val="24"/>
                <w:lang w:val="en-GB"/>
              </w:rPr>
              <w:t>（2）施工现场布局和施工设备</w:t>
            </w:r>
          </w:p>
          <w:p w14:paraId="200034CD">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sz w:val="24"/>
                <w:lang w:val="en-GB"/>
              </w:rPr>
            </w:pPr>
            <w:r>
              <w:rPr>
                <w:rFonts w:hint="eastAsia"/>
                <w:bCs/>
                <w:color w:val="auto"/>
                <w:sz w:val="24"/>
                <w:lang w:val="en-GB"/>
              </w:rPr>
              <w:t>①尽量避免在同一地点安排大量的高噪声设备，以避免局部声级过高；</w:t>
            </w:r>
          </w:p>
          <w:p w14:paraId="6CB2FE56">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sz w:val="24"/>
                <w:lang w:val="en-GB"/>
              </w:rPr>
            </w:pPr>
            <w:r>
              <w:rPr>
                <w:rFonts w:hint="eastAsia"/>
                <w:bCs/>
                <w:color w:val="auto"/>
                <w:sz w:val="24"/>
                <w:lang w:val="en-GB"/>
              </w:rPr>
              <w:t>②加强对设备的保养、维护，设备安放稳固，与地面保持良好接触，建议使用减振基座；柴油机、发电机和各类机泵等设备安装消声隔音设备；</w:t>
            </w:r>
          </w:p>
          <w:p w14:paraId="6EB331BB">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sz w:val="24"/>
                <w:lang w:val="en-GB"/>
              </w:rPr>
            </w:pPr>
            <w:r>
              <w:rPr>
                <w:rFonts w:hint="eastAsia"/>
                <w:bCs/>
                <w:color w:val="auto"/>
                <w:sz w:val="24"/>
                <w:lang w:val="en-GB"/>
              </w:rPr>
              <w:t>③井场各种管材轻拿轻放，减少撞击性噪声。</w:t>
            </w:r>
          </w:p>
          <w:p w14:paraId="00CF3CFE">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sz w:val="24"/>
                <w:lang w:val="en-GB"/>
              </w:rPr>
            </w:pPr>
            <w:r>
              <w:rPr>
                <w:rFonts w:hint="eastAsia"/>
                <w:bCs/>
                <w:color w:val="auto"/>
                <w:sz w:val="24"/>
                <w:lang w:val="en-GB"/>
              </w:rPr>
              <w:t>（3）减少施工交通噪声</w:t>
            </w:r>
          </w:p>
          <w:p w14:paraId="566538AC">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sz w:val="24"/>
                <w:lang w:val="en-GB"/>
              </w:rPr>
            </w:pPr>
            <w:r>
              <w:rPr>
                <w:rFonts w:hint="eastAsia"/>
                <w:bCs/>
                <w:color w:val="auto"/>
                <w:sz w:val="24"/>
                <w:lang w:val="en-GB"/>
              </w:rPr>
              <w:t>尽量减少夜间运输量，限制大型载重车的车速；对运输车辆定期维修、养护；合理调配车辆来往行车密度，尽量避开附近村民休息时间；减少或杜绝鸣笛，合理安排运输路线。</w:t>
            </w:r>
          </w:p>
          <w:p w14:paraId="3B83F415">
            <w:pPr>
              <w:keepNext w:val="0"/>
              <w:keepLines w:val="0"/>
              <w:suppressLineNumbers w:val="0"/>
              <w:adjustRightInd w:val="0"/>
              <w:snapToGrid w:val="0"/>
              <w:spacing w:before="0" w:beforeAutospacing="0" w:after="0" w:afterAutospacing="0" w:line="360" w:lineRule="auto"/>
              <w:ind w:left="0" w:right="0" w:firstLine="480" w:firstLineChars="200"/>
              <w:rPr>
                <w:rFonts w:hint="default"/>
                <w:bCs/>
                <w:color w:val="auto"/>
                <w:sz w:val="24"/>
                <w:lang w:val="en-GB"/>
              </w:rPr>
            </w:pPr>
            <w:r>
              <w:rPr>
                <w:rFonts w:hint="default"/>
                <w:bCs/>
                <w:color w:val="auto"/>
                <w:sz w:val="24"/>
                <w:lang w:val="en-GB"/>
              </w:rPr>
              <w:t>经采取以上措施后，项目区施工噪声对周围村庄影响较小，声环境质量可基本维持现状，勘探期结束后噪声影响随即消失</w:t>
            </w:r>
            <w:r>
              <w:rPr>
                <w:rFonts w:hint="eastAsia"/>
                <w:bCs/>
                <w:color w:val="auto"/>
                <w:sz w:val="24"/>
                <w:lang w:val="en-GB"/>
              </w:rPr>
              <w:t>，</w:t>
            </w:r>
            <w:r>
              <w:rPr>
                <w:rFonts w:hint="default"/>
                <w:bCs/>
                <w:color w:val="auto"/>
                <w:sz w:val="24"/>
                <w:lang w:val="en-GB"/>
              </w:rPr>
              <w:t>措施可行。</w:t>
            </w:r>
          </w:p>
          <w:p w14:paraId="072BE133">
            <w:pPr>
              <w:pStyle w:val="145"/>
              <w:keepNext w:val="0"/>
              <w:keepLines w:val="0"/>
              <w:suppressLineNumbers w:val="0"/>
              <w:spacing w:before="0" w:beforeAutospacing="0" w:after="0" w:afterAutospacing="0" w:line="360" w:lineRule="auto"/>
              <w:ind w:left="0" w:right="0" w:firstLine="482"/>
              <w:rPr>
                <w:rFonts w:hint="default" w:ascii="Times New Roman" w:hAnsi="Times New Roman"/>
                <w:b/>
                <w:color w:val="auto"/>
              </w:rPr>
            </w:pPr>
            <w:r>
              <w:rPr>
                <w:rFonts w:hint="default" w:ascii="Times New Roman" w:hAnsi="Times New Roman"/>
                <w:b/>
                <w:color w:val="auto"/>
              </w:rPr>
              <w:t>四、固体废物</w:t>
            </w:r>
          </w:p>
          <w:p w14:paraId="7600BB38">
            <w:pPr>
              <w:pStyle w:val="145"/>
              <w:keepNext w:val="0"/>
              <w:keepLines w:val="0"/>
              <w:suppressLineNumbers w:val="0"/>
              <w:spacing w:before="0" w:beforeAutospacing="0" w:after="0" w:afterAutospacing="0" w:line="360" w:lineRule="auto"/>
              <w:ind w:left="0" w:right="0" w:firstLine="480"/>
              <w:rPr>
                <w:rFonts w:hint="default" w:ascii="Times New Roman" w:hAnsi="Times New Roman"/>
                <w:color w:val="auto"/>
                <w:szCs w:val="24"/>
              </w:rPr>
            </w:pPr>
            <w:r>
              <w:rPr>
                <w:rFonts w:hint="default" w:ascii="Times New Roman" w:hAnsi="Times New Roman"/>
                <w:color w:val="auto"/>
                <w:szCs w:val="24"/>
              </w:rPr>
              <w:t>1、</w:t>
            </w:r>
            <w:r>
              <w:rPr>
                <w:rFonts w:hint="default" w:ascii="Times New Roman" w:hAnsi="Times New Roman"/>
                <w:bCs/>
                <w:color w:val="auto"/>
                <w:szCs w:val="24"/>
                <w:lang w:val="en-GB"/>
              </w:rPr>
              <w:t>废弃钻井泥浆</w:t>
            </w:r>
            <w:r>
              <w:rPr>
                <w:rFonts w:hint="eastAsia" w:ascii="Times New Roman" w:hAnsi="Times New Roman"/>
                <w:bCs/>
                <w:color w:val="auto"/>
                <w:szCs w:val="24"/>
                <w:lang w:val="en-GB"/>
              </w:rPr>
              <w:t>、</w:t>
            </w:r>
            <w:r>
              <w:rPr>
                <w:rFonts w:hint="default" w:ascii="Times New Roman" w:hAnsi="Times New Roman"/>
                <w:bCs/>
                <w:color w:val="auto"/>
                <w:szCs w:val="24"/>
                <w:lang w:val="en-GB"/>
              </w:rPr>
              <w:t>岩屑</w:t>
            </w:r>
          </w:p>
          <w:p w14:paraId="621F2C50">
            <w:pPr>
              <w:pStyle w:val="145"/>
              <w:keepNext w:val="0"/>
              <w:keepLines w:val="0"/>
              <w:suppressLineNumbers w:val="0"/>
              <w:spacing w:before="0" w:beforeAutospacing="0" w:after="0" w:afterAutospacing="0" w:line="360" w:lineRule="auto"/>
              <w:ind w:left="0" w:right="0" w:firstLine="480"/>
              <w:rPr>
                <w:rFonts w:hint="eastAsia" w:ascii="Times New Roman" w:hAnsi="Times New Roman"/>
                <w:bCs/>
                <w:color w:val="auto"/>
                <w:szCs w:val="24"/>
                <w:lang w:eastAsia="zh-CN"/>
              </w:rPr>
            </w:pPr>
            <w:r>
              <w:rPr>
                <w:rFonts w:hint="eastAsia" w:ascii="Times New Roman" w:hAnsi="Times New Roman"/>
                <w:bCs/>
                <w:color w:val="auto"/>
                <w:szCs w:val="24"/>
                <w:lang w:eastAsia="zh-CN"/>
              </w:rPr>
              <w:t>本项目采用水基型钻井泥浆，委托路桥公司对泥浆、岩屑进行处理，经泥浆不落地集中处理系统处理后，分离的废弃钻井泥浆、岩屑共计</w:t>
            </w:r>
            <w:r>
              <w:rPr>
                <w:rFonts w:hint="eastAsia" w:ascii="Times New Roman" w:hAnsi="Times New Roman"/>
                <w:bCs/>
                <w:color w:val="auto"/>
                <w:szCs w:val="24"/>
                <w:lang w:val="en-US" w:eastAsia="zh-CN"/>
              </w:rPr>
              <w:t>702.12</w:t>
            </w:r>
            <w:r>
              <w:rPr>
                <w:rFonts w:hint="eastAsia" w:ascii="Times New Roman" w:hAnsi="Times New Roman"/>
                <w:bCs/>
                <w:color w:val="auto"/>
                <w:szCs w:val="24"/>
                <w:lang w:eastAsia="zh-CN"/>
              </w:rPr>
              <w:t>m</w:t>
            </w:r>
            <w:r>
              <w:rPr>
                <w:rFonts w:hint="eastAsia" w:ascii="Times New Roman" w:hAnsi="Times New Roman"/>
                <w:bCs/>
                <w:color w:val="auto"/>
                <w:szCs w:val="24"/>
                <w:vertAlign w:val="superscript"/>
                <w:lang w:eastAsia="zh-CN"/>
              </w:rPr>
              <w:t>3</w:t>
            </w:r>
            <w:r>
              <w:rPr>
                <w:rFonts w:hint="eastAsia" w:ascii="Times New Roman" w:hAnsi="Times New Roman"/>
                <w:bCs/>
                <w:color w:val="auto"/>
                <w:szCs w:val="24"/>
                <w:lang w:eastAsia="zh-CN"/>
              </w:rPr>
              <w:t>/勘探期，属于Ⅱ类一般工业固体废物。</w:t>
            </w:r>
          </w:p>
          <w:p w14:paraId="376D52C5">
            <w:pPr>
              <w:pStyle w:val="145"/>
              <w:keepNext w:val="0"/>
              <w:keepLines w:val="0"/>
              <w:suppressLineNumbers w:val="0"/>
              <w:spacing w:before="0" w:beforeAutospacing="0" w:after="0" w:afterAutospacing="0" w:line="360" w:lineRule="auto"/>
              <w:ind w:left="0" w:right="0" w:firstLine="480"/>
              <w:rPr>
                <w:rFonts w:hint="eastAsia" w:ascii="Times New Roman" w:hAnsi="Times New Roman"/>
                <w:color w:val="auto"/>
                <w:highlight w:val="none"/>
              </w:rPr>
            </w:pPr>
            <w:r>
              <w:rPr>
                <w:rFonts w:hint="eastAsia" w:ascii="Times New Roman" w:hAnsi="Times New Roman"/>
                <w:color w:val="auto"/>
              </w:rPr>
              <w:t>项目</w:t>
            </w:r>
            <w:r>
              <w:rPr>
                <w:rFonts w:hint="default" w:ascii="Times New Roman" w:hAnsi="Times New Roman"/>
                <w:color w:val="auto"/>
              </w:rPr>
              <w:t>钻井现场</w:t>
            </w:r>
            <w:r>
              <w:rPr>
                <w:rFonts w:hint="eastAsia" w:ascii="Times New Roman" w:hAnsi="Times New Roman"/>
                <w:color w:val="auto"/>
              </w:rPr>
              <w:t>采用泥浆不落地循环系统装置，</w:t>
            </w:r>
            <w:r>
              <w:rPr>
                <w:rFonts w:hint="default" w:ascii="Times New Roman" w:hAnsi="Times New Roman"/>
                <w:color w:val="auto"/>
              </w:rPr>
              <w:t>不开挖泥浆循环池</w:t>
            </w:r>
            <w:r>
              <w:rPr>
                <w:rFonts w:hint="eastAsia" w:ascii="Times New Roman" w:hAnsi="Times New Roman"/>
                <w:color w:val="auto"/>
              </w:rPr>
              <w:t>。泥浆不落地循环系统装置</w:t>
            </w:r>
            <w:r>
              <w:rPr>
                <w:rFonts w:hint="default" w:ascii="Times New Roman" w:hAnsi="Times New Roman"/>
                <w:color w:val="auto"/>
              </w:rPr>
              <w:t>配备防渗防溢泥浆罐，泥浆罐下方铺设双层防渗膜，防渗性能可以满足1.0×10-10cm/s的要求，能够有效防止泥浆罐中的污染物下渗，可避免对土壤、地下水环境等产生影响。</w:t>
            </w:r>
            <w:r>
              <w:rPr>
                <w:rFonts w:hint="eastAsia" w:ascii="Times New Roman" w:hAnsi="Times New Roman"/>
                <w:color w:val="auto"/>
              </w:rPr>
              <w:t>废弃泥浆与钻井岩屑均排入防渗泥浆罐，通过泥浆不落地工艺系统进行固液分离，处理后的泥饼废弃物</w:t>
            </w:r>
            <w:r>
              <w:rPr>
                <w:rFonts w:hint="eastAsia" w:ascii="Times New Roman" w:hAnsi="Times New Roman"/>
                <w:color w:val="auto"/>
              </w:rPr>
              <w:t>运输</w:t>
            </w:r>
            <w:r>
              <w:rPr>
                <w:rFonts w:hint="eastAsia" w:ascii="Times New Roman" w:hAnsi="Times New Roman"/>
                <w:color w:val="auto"/>
                <w:lang w:eastAsia="zh-CN"/>
              </w:rPr>
              <w:t>至内蒙古联源热电有限公司固废处置场填埋</w:t>
            </w:r>
            <w:r>
              <w:rPr>
                <w:rFonts w:hint="eastAsia" w:ascii="Times New Roman" w:hAnsi="Times New Roman"/>
                <w:color w:val="auto"/>
              </w:rPr>
              <w:t>，不会对周围环境产生明显不利影响。</w:t>
            </w:r>
          </w:p>
          <w:p w14:paraId="0D1B2DDE">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本项目依托的填埋场剩余库容能满足项目的需求，且填埋场均已取得环评批复，并完成环保竣工验收。建设单位已与填埋场签订协议，可以接纳钻井过程产生的废弃泥浆、岩屑。</w:t>
            </w:r>
          </w:p>
          <w:p w14:paraId="148FA51E">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rPr>
              <w:t>2</w:t>
            </w:r>
            <w:r>
              <w:rPr>
                <w:rFonts w:hint="default"/>
                <w:color w:val="auto"/>
                <w:sz w:val="24"/>
              </w:rPr>
              <w:t>、废机油</w:t>
            </w:r>
          </w:p>
          <w:p w14:paraId="3A57A6C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color w:val="auto"/>
                <w:sz w:val="24"/>
                <w:highlight w:val="none"/>
              </w:rPr>
              <w:t>钻井过程中废机油主要来源于设备机油，属于《国家危险废</w:t>
            </w:r>
            <w:r>
              <w:rPr>
                <w:rFonts w:hint="default" w:ascii="Times New Roman" w:hAnsi="Times New Roman" w:eastAsia="宋体" w:cs="Times New Roman"/>
                <w:color w:val="auto"/>
                <w:kern w:val="2"/>
                <w:sz w:val="24"/>
                <w:szCs w:val="24"/>
                <w:highlight w:val="none"/>
                <w:lang w:val="en-US" w:eastAsia="zh-CN" w:bidi="ar-SA"/>
              </w:rPr>
              <w:t>物名录》（202</w:t>
            </w:r>
            <w:r>
              <w:rPr>
                <w:rFonts w:hint="eastAsia" w:ascii="Times New Roman" w:hAnsi="Times New Roman" w:eastAsia="宋体" w:cs="Times New Roman"/>
                <w:color w:val="auto"/>
                <w:kern w:val="2"/>
                <w:sz w:val="24"/>
                <w:szCs w:val="24"/>
                <w:highlight w:val="none"/>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年）规定的HW08类危险废物，危险废物代码900-214-08。评价要求废机油采用专用容器收集，现场设置废油回收桶，定期委托有资质单位处理；废油回收桶暂存在</w:t>
            </w:r>
            <w:r>
              <w:rPr>
                <w:rFonts w:hint="eastAsia" w:cs="Times New Roman"/>
                <w:color w:val="auto"/>
                <w:kern w:val="2"/>
                <w:sz w:val="24"/>
                <w:szCs w:val="24"/>
                <w:highlight w:val="none"/>
                <w:lang w:val="en-US" w:eastAsia="zh-CN" w:bidi="ar-SA"/>
              </w:rPr>
              <w:t>危废贮存点</w:t>
            </w:r>
            <w:r>
              <w:rPr>
                <w:rFonts w:hint="default" w:ascii="Times New Roman" w:hAnsi="Times New Roman" w:eastAsia="宋体" w:cs="Times New Roman"/>
                <w:color w:val="auto"/>
                <w:kern w:val="2"/>
                <w:sz w:val="24"/>
                <w:szCs w:val="24"/>
                <w:highlight w:val="none"/>
                <w:lang w:val="en-US" w:eastAsia="zh-CN" w:bidi="ar-SA"/>
              </w:rPr>
              <w:t>内，</w:t>
            </w:r>
            <w:r>
              <w:rPr>
                <w:rFonts w:hint="eastAsia"/>
                <w:color w:val="auto"/>
                <w:sz w:val="24"/>
                <w:highlight w:val="none"/>
                <w:lang w:eastAsia="zh-CN"/>
              </w:rPr>
              <w:t>危废贮存点</w:t>
            </w:r>
            <w:r>
              <w:rPr>
                <w:rFonts w:hint="eastAsia"/>
                <w:color w:val="auto"/>
                <w:sz w:val="24"/>
                <w:highlight w:val="none"/>
              </w:rPr>
              <w:t>设置临时储存设备，内部设隔板、</w:t>
            </w:r>
            <w:r>
              <w:rPr>
                <w:rFonts w:hint="eastAsia"/>
                <w:color w:val="auto"/>
                <w:sz w:val="24"/>
                <w:highlight w:val="none"/>
                <w:lang w:val="en-US" w:eastAsia="zh-CN"/>
              </w:rPr>
              <w:t>1立方容积</w:t>
            </w:r>
            <w:r>
              <w:rPr>
                <w:rFonts w:hint="eastAsia"/>
                <w:color w:val="auto"/>
                <w:sz w:val="24"/>
                <w:highlight w:val="none"/>
              </w:rPr>
              <w:t>托盘</w:t>
            </w:r>
            <w:r>
              <w:rPr>
                <w:rFonts w:hint="eastAsia"/>
                <w:color w:val="auto"/>
                <w:sz w:val="24"/>
                <w:highlight w:val="none"/>
                <w:lang w:eastAsia="zh-CN"/>
              </w:rPr>
              <w:t>、</w:t>
            </w:r>
            <w:r>
              <w:rPr>
                <w:rFonts w:hint="eastAsia"/>
                <w:color w:val="auto"/>
                <w:sz w:val="24"/>
                <w:highlight w:val="none"/>
              </w:rPr>
              <w:t>围堰。</w:t>
            </w:r>
            <w:r>
              <w:rPr>
                <w:rFonts w:hint="default"/>
                <w:color w:val="auto"/>
                <w:sz w:val="24"/>
                <w:highlight w:val="none"/>
              </w:rPr>
              <w:t>危险废物暂存</w:t>
            </w:r>
            <w:r>
              <w:rPr>
                <w:rFonts w:hint="eastAsia"/>
                <w:color w:val="auto"/>
                <w:sz w:val="24"/>
                <w:highlight w:val="none"/>
              </w:rPr>
              <w:t>区</w:t>
            </w:r>
            <w:r>
              <w:rPr>
                <w:rFonts w:hint="eastAsia"/>
                <w:bCs/>
                <w:color w:val="auto"/>
                <w:kern w:val="0"/>
                <w:sz w:val="24"/>
                <w:highlight w:val="none"/>
              </w:rPr>
              <w:t>底部地面利用机械将衬层压实，</w:t>
            </w:r>
            <w:r>
              <w:rPr>
                <w:rFonts w:hint="default"/>
                <w:color w:val="auto"/>
                <w:sz w:val="24"/>
                <w:highlight w:val="none"/>
              </w:rPr>
              <w:t>采用复合式的衬层</w:t>
            </w:r>
            <w:r>
              <w:rPr>
                <w:rFonts w:hint="eastAsia"/>
                <w:color w:val="auto"/>
                <w:sz w:val="24"/>
                <w:highlight w:val="none"/>
              </w:rPr>
              <w:t>，</w:t>
            </w:r>
            <w:r>
              <w:rPr>
                <w:rFonts w:hint="eastAsia"/>
                <w:bCs/>
                <w:color w:val="auto"/>
                <w:kern w:val="0"/>
                <w:sz w:val="24"/>
                <w:highlight w:val="none"/>
              </w:rPr>
              <w:t>设20cm高围堰，</w:t>
            </w:r>
            <w:r>
              <w:rPr>
                <w:rFonts w:hint="eastAsia"/>
                <w:bCs/>
                <w:color w:val="auto"/>
                <w:kern w:val="0"/>
                <w:sz w:val="24"/>
                <w:highlight w:val="none"/>
                <w:lang w:eastAsia="zh-CN"/>
              </w:rPr>
              <w:t>发生泄漏时可有效防止外泄。</w:t>
            </w:r>
            <w:r>
              <w:rPr>
                <w:rFonts w:hint="eastAsia"/>
                <w:bCs/>
                <w:color w:val="auto"/>
                <w:kern w:val="0"/>
                <w:sz w:val="24"/>
                <w:highlight w:val="none"/>
              </w:rPr>
              <w:t>围堰内</w:t>
            </w:r>
            <w:r>
              <w:rPr>
                <w:rFonts w:hint="default"/>
                <w:color w:val="auto"/>
                <w:sz w:val="24"/>
                <w:highlight w:val="none"/>
              </w:rPr>
              <w:t>利用2mm厚高密度聚乙烯防渗膜双层作为底层，</w:t>
            </w:r>
            <w:r>
              <w:rPr>
                <w:rFonts w:hint="eastAsia"/>
                <w:color w:val="auto"/>
                <w:sz w:val="24"/>
                <w:highlight w:val="none"/>
              </w:rPr>
              <w:t>渗透</w:t>
            </w:r>
            <w:r>
              <w:rPr>
                <w:rFonts w:hint="default"/>
                <w:color w:val="auto"/>
                <w:sz w:val="24"/>
                <w:highlight w:val="none"/>
              </w:rPr>
              <w:t>系数小于10</w:t>
            </w:r>
            <w:r>
              <w:rPr>
                <w:rFonts w:hint="default"/>
                <w:color w:val="auto"/>
                <w:sz w:val="24"/>
                <w:highlight w:val="none"/>
                <w:vertAlign w:val="superscript"/>
              </w:rPr>
              <w:t>-10</w:t>
            </w:r>
            <w:r>
              <w:rPr>
                <w:rFonts w:hint="default"/>
                <w:color w:val="auto"/>
                <w:sz w:val="24"/>
                <w:highlight w:val="none"/>
              </w:rPr>
              <w:t>cm/s。</w:t>
            </w:r>
            <w:r>
              <w:rPr>
                <w:rFonts w:hint="default" w:ascii="Times New Roman" w:hAnsi="Times New Roman" w:eastAsia="宋体" w:cs="Times New Roman"/>
                <w:color w:val="auto"/>
                <w:kern w:val="2"/>
                <w:sz w:val="24"/>
                <w:szCs w:val="24"/>
                <w:highlight w:val="none"/>
                <w:lang w:val="en-US" w:eastAsia="zh-CN" w:bidi="ar-SA"/>
              </w:rPr>
              <w:t>防渗满足《危险废物贮存污染控制标准》（GB18597-20</w:t>
            </w:r>
            <w:r>
              <w:rPr>
                <w:rFonts w:hint="eastAsia" w:ascii="Times New Roman" w:hAnsi="Times New Roman" w:eastAsia="宋体" w:cs="Times New Roman"/>
                <w:color w:val="auto"/>
                <w:kern w:val="2"/>
                <w:sz w:val="24"/>
                <w:szCs w:val="24"/>
                <w:highlight w:val="none"/>
                <w:lang w:val="en-US" w:eastAsia="zh-CN" w:bidi="ar-SA"/>
              </w:rPr>
              <w:t>23</w:t>
            </w:r>
            <w:r>
              <w:rPr>
                <w:rFonts w:hint="default" w:ascii="Times New Roman" w:hAnsi="Times New Roman" w:eastAsia="宋体" w:cs="Times New Roman"/>
                <w:color w:val="auto"/>
                <w:kern w:val="2"/>
                <w:sz w:val="24"/>
                <w:szCs w:val="24"/>
                <w:highlight w:val="none"/>
                <w:lang w:val="en-US" w:eastAsia="zh-CN" w:bidi="ar-SA"/>
              </w:rPr>
              <w:t>）要求。同时要求建设单位在收集、贮存、转运废油过程中严格按照《危险废物收集、贮存、运输技术规范》（HJ2025-2012）中相关技术要求执行，并保证废油收集桶完好无损，没有腐蚀、污染、损毁或其他导致施工能效减弱的缺陷，措施合理可行。</w:t>
            </w:r>
          </w:p>
          <w:p w14:paraId="742EF18C">
            <w:pPr>
              <w:pStyle w:val="169"/>
              <w:keepNext w:val="0"/>
              <w:keepLines w:val="0"/>
              <w:suppressLineNumbers w:val="0"/>
              <w:spacing w:before="0" w:beforeAutospacing="0" w:after="0" w:afterAutospacing="0" w:line="360" w:lineRule="auto"/>
              <w:ind w:left="0" w:right="0" w:firstLine="480"/>
              <w:rPr>
                <w:rFonts w:hint="default" w:ascii="Times New Roman" w:hAnsi="Times New Roman"/>
                <w:color w:val="auto"/>
                <w:szCs w:val="24"/>
                <w:lang w:val="en-US"/>
              </w:rPr>
            </w:pPr>
            <w:r>
              <w:rPr>
                <w:rFonts w:hint="eastAsia" w:ascii="Times New Roman" w:hAnsi="Times New Roman"/>
                <w:bCs/>
                <w:color w:val="auto"/>
                <w:szCs w:val="24"/>
                <w:lang w:val="en-US"/>
              </w:rPr>
              <w:t>3、</w:t>
            </w:r>
            <w:r>
              <w:rPr>
                <w:rFonts w:hint="default" w:ascii="Times New Roman" w:hAnsi="Times New Roman"/>
                <w:color w:val="auto"/>
                <w:szCs w:val="24"/>
              </w:rPr>
              <w:t>落地油（事故状态下产生）</w:t>
            </w:r>
          </w:p>
          <w:p w14:paraId="6709E971">
            <w:pPr>
              <w:pStyle w:val="145"/>
              <w:keepNext w:val="0"/>
              <w:keepLines w:val="0"/>
              <w:suppressLineNumbers w:val="0"/>
              <w:spacing w:before="0" w:beforeAutospacing="0" w:after="0" w:afterAutospacing="0" w:line="360" w:lineRule="auto"/>
              <w:ind w:left="0" w:right="0" w:firstLine="480"/>
              <w:rPr>
                <w:rFonts w:hint="default" w:ascii="Times New Roman" w:hAnsi="Times New Roman"/>
                <w:color w:val="auto"/>
                <w:szCs w:val="24"/>
              </w:rPr>
            </w:pPr>
            <w:r>
              <w:rPr>
                <w:rFonts w:hint="default" w:ascii="Times New Roman" w:hAnsi="Times New Roman"/>
                <w:color w:val="auto"/>
                <w:szCs w:val="24"/>
              </w:rPr>
              <w:t>项目正常状态下无危险废物产生，事故状态下产</w:t>
            </w:r>
            <w:r>
              <w:rPr>
                <w:rFonts w:hint="eastAsia" w:ascii="Times New Roman" w:hAnsi="Times New Roman"/>
                <w:color w:val="auto"/>
                <w:szCs w:val="24"/>
                <w:lang w:eastAsia="zh-CN"/>
              </w:rPr>
              <w:t>生的</w:t>
            </w:r>
            <w:r>
              <w:rPr>
                <w:rFonts w:hint="default" w:ascii="Times New Roman" w:hAnsi="Times New Roman"/>
                <w:color w:val="auto"/>
                <w:szCs w:val="24"/>
              </w:rPr>
              <w:t>危险废物为落地油</w:t>
            </w:r>
            <w:r>
              <w:rPr>
                <w:rFonts w:hint="eastAsia" w:ascii="Times New Roman" w:hAnsi="Times New Roman"/>
                <w:color w:val="auto"/>
                <w:szCs w:val="24"/>
              </w:rPr>
              <w:t>，属于《国家危险废物名录》（202</w:t>
            </w:r>
            <w:r>
              <w:rPr>
                <w:rFonts w:hint="eastAsia" w:ascii="Times New Roman" w:hAnsi="Times New Roman"/>
                <w:color w:val="auto"/>
                <w:szCs w:val="24"/>
                <w:lang w:val="en-US" w:eastAsia="zh-CN"/>
              </w:rPr>
              <w:t>5</w:t>
            </w:r>
            <w:r>
              <w:rPr>
                <w:rFonts w:hint="eastAsia" w:ascii="Times New Roman" w:hAnsi="Times New Roman"/>
                <w:color w:val="auto"/>
                <w:szCs w:val="24"/>
              </w:rPr>
              <w:t>年）规定的HW08类危险废物，危险废物代码071-001-08</w:t>
            </w:r>
            <w:r>
              <w:rPr>
                <w:rFonts w:hint="default" w:ascii="Times New Roman" w:hAnsi="Times New Roman"/>
                <w:color w:val="auto"/>
                <w:szCs w:val="24"/>
              </w:rPr>
              <w:t>。</w:t>
            </w:r>
          </w:p>
          <w:p w14:paraId="4F44D118">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若操作不当产生落地油，油类物质滴至</w:t>
            </w:r>
            <w:r>
              <w:rPr>
                <w:rFonts w:hint="eastAsia"/>
                <w:color w:val="auto"/>
                <w:sz w:val="24"/>
                <w:lang w:eastAsia="zh-CN"/>
              </w:rPr>
              <w:t>无防渗</w:t>
            </w:r>
            <w:r>
              <w:rPr>
                <w:rFonts w:hint="default"/>
                <w:color w:val="auto"/>
                <w:sz w:val="24"/>
              </w:rPr>
              <w:t>地面后，将地表20cm厚土壤铲除，暂存于井场</w:t>
            </w:r>
            <w:r>
              <w:rPr>
                <w:rFonts w:hint="eastAsia"/>
                <w:color w:val="auto"/>
                <w:sz w:val="24"/>
                <w:lang w:eastAsia="zh-CN"/>
              </w:rPr>
              <w:t>危废贮存点</w:t>
            </w:r>
            <w:r>
              <w:rPr>
                <w:rFonts w:hint="default"/>
                <w:color w:val="auto"/>
                <w:sz w:val="24"/>
              </w:rPr>
              <w:t>污油罐内，交有资质的单位处理。</w:t>
            </w:r>
          </w:p>
          <w:p w14:paraId="684487C2">
            <w:pPr>
              <w:keepNext w:val="0"/>
              <w:keepLines w:val="0"/>
              <w:suppressLineNumbers w:val="0"/>
              <w:autoSpaceDE w:val="0"/>
              <w:autoSpaceDN w:val="0"/>
              <w:adjustRightInd w:val="0"/>
              <w:spacing w:before="0" w:beforeAutospacing="0" w:after="0" w:afterAutospacing="0"/>
              <w:ind w:left="0" w:right="0" w:firstLine="482" w:firstLineChars="200"/>
              <w:jc w:val="center"/>
              <w:rPr>
                <w:rFonts w:hint="eastAsia"/>
                <w:b/>
                <w:color w:val="auto"/>
                <w:kern w:val="0"/>
                <w:sz w:val="24"/>
                <w:szCs w:val="21"/>
              </w:rPr>
            </w:pPr>
            <w:r>
              <w:rPr>
                <w:rFonts w:hint="default"/>
                <w:b/>
                <w:color w:val="auto"/>
                <w:kern w:val="0"/>
                <w:sz w:val="24"/>
                <w:szCs w:val="21"/>
              </w:rPr>
              <w:t>表</w:t>
            </w:r>
            <w:r>
              <w:rPr>
                <w:rFonts w:hint="eastAsia"/>
                <w:b/>
                <w:color w:val="auto"/>
                <w:kern w:val="0"/>
                <w:sz w:val="24"/>
                <w:szCs w:val="21"/>
              </w:rPr>
              <w:t>5</w:t>
            </w:r>
            <w:r>
              <w:rPr>
                <w:rFonts w:hint="default"/>
                <w:b/>
                <w:color w:val="auto"/>
                <w:kern w:val="0"/>
                <w:sz w:val="24"/>
                <w:szCs w:val="21"/>
              </w:rPr>
              <w:t>-</w:t>
            </w:r>
            <w:r>
              <w:rPr>
                <w:rFonts w:hint="eastAsia"/>
                <w:b/>
                <w:color w:val="auto"/>
                <w:kern w:val="0"/>
                <w:sz w:val="24"/>
                <w:szCs w:val="21"/>
              </w:rPr>
              <w:t xml:space="preserve">2 </w:t>
            </w:r>
            <w:r>
              <w:rPr>
                <w:rFonts w:hint="eastAsia"/>
                <w:b/>
                <w:color w:val="auto"/>
                <w:kern w:val="0"/>
                <w:sz w:val="24"/>
                <w:szCs w:val="21"/>
                <w:lang w:eastAsia="zh-CN"/>
              </w:rPr>
              <w:t>本工程</w:t>
            </w:r>
            <w:r>
              <w:rPr>
                <w:rFonts w:hint="default"/>
                <w:b/>
                <w:color w:val="auto"/>
                <w:kern w:val="0"/>
                <w:sz w:val="24"/>
                <w:szCs w:val="21"/>
              </w:rPr>
              <w:t>固体废物产生量一览表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80"/>
              <w:gridCol w:w="1323"/>
              <w:gridCol w:w="1198"/>
              <w:gridCol w:w="1400"/>
              <w:gridCol w:w="2296"/>
              <w:gridCol w:w="907"/>
            </w:tblGrid>
            <w:tr w14:paraId="7C2DC9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24" w:hRule="atLeast"/>
                <w:jc w:val="center"/>
              </w:trPr>
              <w:tc>
                <w:tcPr>
                  <w:tcW w:w="658" w:type="pct"/>
                  <w:noWrap w:val="0"/>
                  <w:vAlign w:val="center"/>
                </w:tcPr>
                <w:p w14:paraId="7477D2E7">
                  <w:pPr>
                    <w:keepNext w:val="0"/>
                    <w:keepLines w:val="0"/>
                    <w:suppressLineNumbers w:val="0"/>
                    <w:spacing w:before="0" w:beforeAutospacing="0" w:after="0" w:afterAutospacing="0"/>
                    <w:ind w:left="0" w:right="0"/>
                    <w:jc w:val="center"/>
                    <w:rPr>
                      <w:rFonts w:hint="default"/>
                      <w:bCs/>
                      <w:color w:val="auto"/>
                      <w:szCs w:val="21"/>
                    </w:rPr>
                  </w:pPr>
                  <w:r>
                    <w:rPr>
                      <w:rFonts w:hint="default"/>
                      <w:bCs/>
                      <w:color w:val="auto"/>
                      <w:szCs w:val="21"/>
                    </w:rPr>
                    <w:t>种类</w:t>
                  </w:r>
                </w:p>
              </w:tc>
              <w:tc>
                <w:tcPr>
                  <w:tcW w:w="806" w:type="pct"/>
                  <w:noWrap w:val="0"/>
                  <w:vAlign w:val="center"/>
                </w:tcPr>
                <w:p w14:paraId="43556461">
                  <w:pPr>
                    <w:keepNext w:val="0"/>
                    <w:keepLines w:val="0"/>
                    <w:suppressLineNumbers w:val="0"/>
                    <w:spacing w:before="0" w:beforeAutospacing="0" w:after="0" w:afterAutospacing="0"/>
                    <w:ind w:left="0" w:right="0"/>
                    <w:jc w:val="center"/>
                    <w:rPr>
                      <w:rFonts w:hint="default"/>
                      <w:bCs/>
                      <w:color w:val="auto"/>
                      <w:szCs w:val="21"/>
                    </w:rPr>
                  </w:pPr>
                  <w:r>
                    <w:rPr>
                      <w:rFonts w:hint="default"/>
                      <w:bCs/>
                      <w:color w:val="auto"/>
                      <w:szCs w:val="21"/>
                    </w:rPr>
                    <w:t>来源</w:t>
                  </w:r>
                </w:p>
              </w:tc>
              <w:tc>
                <w:tcPr>
                  <w:tcW w:w="730" w:type="pct"/>
                  <w:noWrap w:val="0"/>
                  <w:vAlign w:val="center"/>
                </w:tcPr>
                <w:p w14:paraId="41870D95">
                  <w:pPr>
                    <w:keepNext w:val="0"/>
                    <w:keepLines w:val="0"/>
                    <w:suppressLineNumbers w:val="0"/>
                    <w:spacing w:before="0" w:beforeAutospacing="0" w:after="0" w:afterAutospacing="0"/>
                    <w:ind w:left="0" w:right="0"/>
                    <w:jc w:val="center"/>
                    <w:rPr>
                      <w:rFonts w:hint="default"/>
                      <w:bCs/>
                      <w:color w:val="auto"/>
                      <w:szCs w:val="21"/>
                    </w:rPr>
                  </w:pPr>
                  <w:r>
                    <w:rPr>
                      <w:rFonts w:hint="default"/>
                      <w:bCs/>
                      <w:color w:val="auto"/>
                      <w:szCs w:val="21"/>
                    </w:rPr>
                    <w:t>产生量</w:t>
                  </w:r>
                </w:p>
              </w:tc>
              <w:tc>
                <w:tcPr>
                  <w:tcW w:w="853" w:type="pct"/>
                  <w:noWrap w:val="0"/>
                  <w:vAlign w:val="center"/>
                </w:tcPr>
                <w:p w14:paraId="483A7196">
                  <w:pPr>
                    <w:keepNext w:val="0"/>
                    <w:keepLines w:val="0"/>
                    <w:suppressLineNumbers w:val="0"/>
                    <w:spacing w:before="0" w:beforeAutospacing="0" w:after="0" w:afterAutospacing="0"/>
                    <w:ind w:left="0" w:right="0"/>
                    <w:jc w:val="center"/>
                    <w:rPr>
                      <w:rFonts w:hint="default"/>
                      <w:bCs/>
                      <w:color w:val="auto"/>
                      <w:szCs w:val="21"/>
                    </w:rPr>
                  </w:pPr>
                  <w:r>
                    <w:rPr>
                      <w:rFonts w:hint="default"/>
                      <w:bCs/>
                      <w:color w:val="auto"/>
                      <w:szCs w:val="21"/>
                    </w:rPr>
                    <w:t>主要成分</w:t>
                  </w:r>
                </w:p>
              </w:tc>
              <w:tc>
                <w:tcPr>
                  <w:tcW w:w="1399" w:type="pct"/>
                  <w:noWrap w:val="0"/>
                  <w:vAlign w:val="center"/>
                </w:tcPr>
                <w:p w14:paraId="7AE2414D">
                  <w:pPr>
                    <w:keepNext w:val="0"/>
                    <w:keepLines w:val="0"/>
                    <w:suppressLineNumbers w:val="0"/>
                    <w:spacing w:before="0" w:beforeAutospacing="0" w:after="0" w:afterAutospacing="0"/>
                    <w:ind w:left="0" w:right="0"/>
                    <w:jc w:val="center"/>
                    <w:rPr>
                      <w:rFonts w:hint="default"/>
                      <w:bCs/>
                      <w:color w:val="auto"/>
                      <w:szCs w:val="21"/>
                    </w:rPr>
                  </w:pPr>
                  <w:r>
                    <w:rPr>
                      <w:rFonts w:hint="default"/>
                      <w:bCs/>
                      <w:color w:val="auto"/>
                      <w:szCs w:val="21"/>
                    </w:rPr>
                    <w:t>处理处置方式</w:t>
                  </w:r>
                </w:p>
              </w:tc>
              <w:tc>
                <w:tcPr>
                  <w:tcW w:w="552" w:type="pct"/>
                  <w:noWrap w:val="0"/>
                  <w:vAlign w:val="center"/>
                </w:tcPr>
                <w:p w14:paraId="0D234E52">
                  <w:pPr>
                    <w:keepNext w:val="0"/>
                    <w:keepLines w:val="0"/>
                    <w:suppressLineNumbers w:val="0"/>
                    <w:spacing w:before="0" w:beforeAutospacing="0" w:after="0" w:afterAutospacing="0"/>
                    <w:ind w:left="0" w:right="0"/>
                    <w:jc w:val="center"/>
                    <w:rPr>
                      <w:rFonts w:hint="default"/>
                      <w:bCs/>
                      <w:color w:val="auto"/>
                      <w:szCs w:val="21"/>
                    </w:rPr>
                  </w:pPr>
                  <w:r>
                    <w:rPr>
                      <w:rFonts w:hint="default"/>
                      <w:bCs/>
                      <w:color w:val="auto"/>
                      <w:szCs w:val="21"/>
                    </w:rPr>
                    <w:t>分类</w:t>
                  </w:r>
                </w:p>
              </w:tc>
            </w:tr>
            <w:tr w14:paraId="7B9244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89" w:hRule="atLeast"/>
                <w:jc w:val="center"/>
              </w:trPr>
              <w:tc>
                <w:tcPr>
                  <w:tcW w:w="658" w:type="pct"/>
                  <w:noWrap w:val="0"/>
                  <w:vAlign w:val="center"/>
                </w:tcPr>
                <w:p w14:paraId="58ACB0FD">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钻机</w:t>
                  </w:r>
                  <w:r>
                    <w:rPr>
                      <w:rFonts w:hint="default"/>
                      <w:bCs/>
                      <w:color w:val="auto"/>
                      <w:szCs w:val="21"/>
                    </w:rPr>
                    <w:t>泥浆、岩屑</w:t>
                  </w:r>
                </w:p>
              </w:tc>
              <w:tc>
                <w:tcPr>
                  <w:tcW w:w="806" w:type="pct"/>
                  <w:noWrap w:val="0"/>
                  <w:vAlign w:val="center"/>
                </w:tcPr>
                <w:p w14:paraId="1DD22F8E">
                  <w:pPr>
                    <w:keepNext w:val="0"/>
                    <w:keepLines w:val="0"/>
                    <w:suppressLineNumbers w:val="0"/>
                    <w:spacing w:before="0" w:beforeAutospacing="0" w:after="0" w:afterAutospacing="0"/>
                    <w:ind w:left="0" w:right="0"/>
                    <w:jc w:val="center"/>
                    <w:rPr>
                      <w:rFonts w:hint="default"/>
                      <w:bCs/>
                      <w:color w:val="auto"/>
                      <w:szCs w:val="21"/>
                    </w:rPr>
                  </w:pPr>
                  <w:r>
                    <w:rPr>
                      <w:rFonts w:hint="default"/>
                      <w:bCs/>
                      <w:color w:val="auto"/>
                      <w:szCs w:val="21"/>
                    </w:rPr>
                    <w:t>钻井过程</w:t>
                  </w:r>
                </w:p>
              </w:tc>
              <w:tc>
                <w:tcPr>
                  <w:tcW w:w="730" w:type="pct"/>
                  <w:noWrap w:val="0"/>
                  <w:vAlign w:val="center"/>
                </w:tcPr>
                <w:p w14:paraId="0FA0AEEA">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lang w:val="en-US" w:eastAsia="zh-CN"/>
                    </w:rPr>
                    <w:t>702.12</w:t>
                  </w:r>
                  <w:r>
                    <w:rPr>
                      <w:rFonts w:hint="default"/>
                      <w:bCs/>
                      <w:color w:val="auto"/>
                      <w:szCs w:val="21"/>
                    </w:rPr>
                    <w:t>m</w:t>
                  </w:r>
                  <w:r>
                    <w:rPr>
                      <w:rFonts w:hint="default"/>
                      <w:bCs/>
                      <w:color w:val="auto"/>
                      <w:szCs w:val="21"/>
                      <w:vertAlign w:val="superscript"/>
                    </w:rPr>
                    <w:t>3</w:t>
                  </w:r>
                  <w:r>
                    <w:rPr>
                      <w:rFonts w:hint="default"/>
                      <w:bCs/>
                      <w:color w:val="auto"/>
                      <w:szCs w:val="21"/>
                    </w:rPr>
                    <w:t>/</w:t>
                  </w:r>
                  <w:r>
                    <w:rPr>
                      <w:rFonts w:hint="eastAsia"/>
                      <w:bCs/>
                      <w:color w:val="auto"/>
                      <w:szCs w:val="21"/>
                    </w:rPr>
                    <w:t>勘探期</w:t>
                  </w:r>
                </w:p>
              </w:tc>
              <w:tc>
                <w:tcPr>
                  <w:tcW w:w="853" w:type="pct"/>
                  <w:noWrap w:val="0"/>
                  <w:vAlign w:val="center"/>
                </w:tcPr>
                <w:p w14:paraId="04DD9D5D">
                  <w:pPr>
                    <w:keepNext w:val="0"/>
                    <w:keepLines w:val="0"/>
                    <w:suppressLineNumbers w:val="0"/>
                    <w:spacing w:before="0" w:beforeAutospacing="0" w:after="0" w:afterAutospacing="0"/>
                    <w:ind w:left="0" w:right="0"/>
                    <w:jc w:val="center"/>
                    <w:rPr>
                      <w:rFonts w:hint="default"/>
                      <w:bCs/>
                      <w:color w:val="auto"/>
                      <w:szCs w:val="21"/>
                    </w:rPr>
                  </w:pPr>
                  <w:r>
                    <w:rPr>
                      <w:rFonts w:hint="default"/>
                      <w:bCs/>
                      <w:color w:val="auto"/>
                      <w:szCs w:val="21"/>
                    </w:rPr>
                    <w:t>岩石、土壤</w:t>
                  </w:r>
                  <w:r>
                    <w:rPr>
                      <w:rFonts w:hint="eastAsia"/>
                      <w:bCs/>
                      <w:color w:val="auto"/>
                      <w:szCs w:val="21"/>
                    </w:rPr>
                    <w:t>、</w:t>
                  </w:r>
                  <w:r>
                    <w:rPr>
                      <w:rFonts w:hint="default"/>
                      <w:bCs/>
                      <w:color w:val="auto"/>
                      <w:szCs w:val="21"/>
                    </w:rPr>
                    <w:t>水、粘土、碳酸钠、氢氧化钠等</w:t>
                  </w:r>
                </w:p>
              </w:tc>
              <w:tc>
                <w:tcPr>
                  <w:tcW w:w="1399" w:type="pct"/>
                  <w:noWrap w:val="0"/>
                  <w:vAlign w:val="center"/>
                </w:tcPr>
                <w:p w14:paraId="435F275A">
                  <w:pPr>
                    <w:keepNext w:val="0"/>
                    <w:keepLines w:val="0"/>
                    <w:suppressLineNumbers w:val="0"/>
                    <w:spacing w:before="0" w:beforeAutospacing="0" w:after="0" w:afterAutospacing="0"/>
                    <w:ind w:left="0" w:right="0"/>
                    <w:jc w:val="center"/>
                    <w:rPr>
                      <w:rFonts w:hint="default"/>
                      <w:bCs/>
                      <w:color w:val="auto"/>
                      <w:szCs w:val="21"/>
                    </w:rPr>
                  </w:pPr>
                  <w:r>
                    <w:rPr>
                      <w:rFonts w:hint="default"/>
                      <w:bCs/>
                      <w:color w:val="auto"/>
                      <w:szCs w:val="21"/>
                    </w:rPr>
                    <w:t>钻井泥浆和钻井岩屑</w:t>
                  </w:r>
                  <w:r>
                    <w:rPr>
                      <w:rFonts w:hint="eastAsia"/>
                      <w:color w:val="auto"/>
                    </w:rPr>
                    <w:t>经</w:t>
                  </w:r>
                  <w:r>
                    <w:rPr>
                      <w:rFonts w:hint="default"/>
                      <w:bCs/>
                      <w:color w:val="auto"/>
                      <w:szCs w:val="21"/>
                    </w:rPr>
                    <w:t>泥浆不落地</w:t>
                  </w:r>
                  <w:r>
                    <w:rPr>
                      <w:rFonts w:hint="eastAsia"/>
                      <w:bCs/>
                      <w:color w:val="auto"/>
                      <w:szCs w:val="21"/>
                    </w:rPr>
                    <w:t>集中</w:t>
                  </w:r>
                  <w:r>
                    <w:rPr>
                      <w:rFonts w:hint="default"/>
                      <w:bCs/>
                      <w:color w:val="auto"/>
                      <w:szCs w:val="21"/>
                    </w:rPr>
                    <w:t>处理系统处理后集中处置</w:t>
                  </w:r>
                </w:p>
              </w:tc>
              <w:tc>
                <w:tcPr>
                  <w:tcW w:w="552" w:type="pct"/>
                  <w:noWrap w:val="0"/>
                  <w:vAlign w:val="center"/>
                </w:tcPr>
                <w:p w14:paraId="420A9926">
                  <w:pPr>
                    <w:keepNext w:val="0"/>
                    <w:keepLines w:val="0"/>
                    <w:suppressLineNumbers w:val="0"/>
                    <w:spacing w:before="0" w:beforeAutospacing="0" w:after="0" w:afterAutospacing="0"/>
                    <w:ind w:left="0" w:right="0"/>
                    <w:jc w:val="center"/>
                    <w:rPr>
                      <w:rFonts w:hint="default"/>
                      <w:bCs/>
                      <w:color w:val="auto"/>
                      <w:szCs w:val="21"/>
                    </w:rPr>
                  </w:pPr>
                  <w:r>
                    <w:rPr>
                      <w:rFonts w:hint="default"/>
                      <w:bCs/>
                      <w:color w:val="auto"/>
                      <w:szCs w:val="21"/>
                    </w:rPr>
                    <w:t>II类一般工业固废</w:t>
                  </w:r>
                </w:p>
              </w:tc>
            </w:tr>
            <w:tr w14:paraId="3FEEDE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777" w:hRule="atLeast"/>
                <w:jc w:val="center"/>
              </w:trPr>
              <w:tc>
                <w:tcPr>
                  <w:tcW w:w="658" w:type="pct"/>
                  <w:noWrap w:val="0"/>
                  <w:tcMar>
                    <w:left w:w="0" w:type="dxa"/>
                    <w:right w:w="0" w:type="dxa"/>
                  </w:tcMar>
                  <w:vAlign w:val="center"/>
                </w:tcPr>
                <w:p w14:paraId="7907919D">
                  <w:pPr>
                    <w:keepNext w:val="0"/>
                    <w:keepLines w:val="0"/>
                    <w:suppressLineNumbers w:val="0"/>
                    <w:spacing w:before="0" w:beforeAutospacing="0" w:after="0" w:afterAutospacing="0"/>
                    <w:ind w:left="0" w:right="0"/>
                    <w:jc w:val="center"/>
                    <w:rPr>
                      <w:rFonts w:hint="default"/>
                      <w:bCs/>
                      <w:color w:val="auto"/>
                      <w:szCs w:val="21"/>
                    </w:rPr>
                  </w:pPr>
                  <w:r>
                    <w:rPr>
                      <w:rFonts w:hint="default"/>
                      <w:bCs/>
                      <w:color w:val="auto"/>
                      <w:szCs w:val="21"/>
                    </w:rPr>
                    <w:t>生活垃圾</w:t>
                  </w:r>
                </w:p>
              </w:tc>
              <w:tc>
                <w:tcPr>
                  <w:tcW w:w="806" w:type="pct"/>
                  <w:noWrap w:val="0"/>
                  <w:tcMar>
                    <w:left w:w="0" w:type="dxa"/>
                    <w:right w:w="0" w:type="dxa"/>
                  </w:tcMar>
                  <w:vAlign w:val="center"/>
                </w:tcPr>
                <w:p w14:paraId="5F119179">
                  <w:pPr>
                    <w:keepNext w:val="0"/>
                    <w:keepLines w:val="0"/>
                    <w:suppressLineNumbers w:val="0"/>
                    <w:spacing w:before="0" w:beforeAutospacing="0" w:after="0" w:afterAutospacing="0"/>
                    <w:ind w:left="0" w:right="0"/>
                    <w:jc w:val="center"/>
                    <w:rPr>
                      <w:rFonts w:hint="default"/>
                      <w:bCs/>
                      <w:color w:val="auto"/>
                      <w:szCs w:val="21"/>
                    </w:rPr>
                  </w:pPr>
                  <w:r>
                    <w:rPr>
                      <w:rFonts w:hint="default"/>
                      <w:bCs/>
                      <w:color w:val="auto"/>
                      <w:szCs w:val="21"/>
                    </w:rPr>
                    <w:t>钻井队生活</w:t>
                  </w:r>
                </w:p>
              </w:tc>
              <w:tc>
                <w:tcPr>
                  <w:tcW w:w="730" w:type="pct"/>
                  <w:noWrap w:val="0"/>
                  <w:vAlign w:val="center"/>
                </w:tcPr>
                <w:p w14:paraId="57F01C2E">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lang w:val="en-US" w:eastAsia="zh-CN"/>
                    </w:rPr>
                    <w:t>1.2</w:t>
                  </w:r>
                  <w:r>
                    <w:rPr>
                      <w:rFonts w:hint="eastAsia"/>
                      <w:bCs/>
                      <w:color w:val="auto"/>
                      <w:szCs w:val="21"/>
                    </w:rPr>
                    <w:t>t/勘探期</w:t>
                  </w:r>
                </w:p>
              </w:tc>
              <w:tc>
                <w:tcPr>
                  <w:tcW w:w="853" w:type="pct"/>
                  <w:noWrap w:val="0"/>
                  <w:vAlign w:val="center"/>
                </w:tcPr>
                <w:p w14:paraId="03D22AAA">
                  <w:pPr>
                    <w:keepNext w:val="0"/>
                    <w:keepLines w:val="0"/>
                    <w:suppressLineNumbers w:val="0"/>
                    <w:spacing w:before="0" w:beforeAutospacing="0" w:after="0" w:afterAutospacing="0"/>
                    <w:ind w:left="0" w:right="0"/>
                    <w:jc w:val="center"/>
                    <w:rPr>
                      <w:rFonts w:hint="default"/>
                      <w:bCs/>
                      <w:color w:val="auto"/>
                      <w:szCs w:val="21"/>
                    </w:rPr>
                  </w:pPr>
                  <w:r>
                    <w:rPr>
                      <w:rFonts w:hint="default"/>
                      <w:bCs/>
                      <w:color w:val="auto"/>
                      <w:szCs w:val="21"/>
                    </w:rPr>
                    <w:t>生活垃圾</w:t>
                  </w:r>
                </w:p>
              </w:tc>
              <w:tc>
                <w:tcPr>
                  <w:tcW w:w="1399" w:type="pct"/>
                  <w:noWrap w:val="0"/>
                  <w:tcMar>
                    <w:left w:w="0" w:type="dxa"/>
                    <w:right w:w="0" w:type="dxa"/>
                  </w:tcMar>
                  <w:vAlign w:val="center"/>
                </w:tcPr>
                <w:p w14:paraId="657DCA72">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井场设置垃圾桶，集中收集后委托环卫部分处理，做到现场无遗留</w:t>
                  </w:r>
                </w:p>
              </w:tc>
              <w:tc>
                <w:tcPr>
                  <w:tcW w:w="552" w:type="pct"/>
                  <w:noWrap w:val="0"/>
                  <w:tcMar>
                    <w:left w:w="0" w:type="dxa"/>
                    <w:right w:w="0" w:type="dxa"/>
                  </w:tcMar>
                  <w:vAlign w:val="center"/>
                </w:tcPr>
                <w:p w14:paraId="1A40B643">
                  <w:pPr>
                    <w:keepNext w:val="0"/>
                    <w:keepLines w:val="0"/>
                    <w:suppressLineNumbers w:val="0"/>
                    <w:spacing w:before="0" w:beforeAutospacing="0" w:after="0" w:afterAutospacing="0"/>
                    <w:ind w:left="0" w:right="0"/>
                    <w:jc w:val="center"/>
                    <w:rPr>
                      <w:rFonts w:hint="default"/>
                      <w:bCs/>
                      <w:color w:val="auto"/>
                      <w:szCs w:val="21"/>
                    </w:rPr>
                  </w:pPr>
                  <w:r>
                    <w:rPr>
                      <w:rFonts w:hint="default"/>
                      <w:bCs/>
                      <w:color w:val="auto"/>
                      <w:szCs w:val="21"/>
                    </w:rPr>
                    <w:t>生活垃圾</w:t>
                  </w:r>
                </w:p>
              </w:tc>
            </w:tr>
            <w:tr w14:paraId="736C0C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62" w:hRule="atLeast"/>
                <w:jc w:val="center"/>
              </w:trPr>
              <w:tc>
                <w:tcPr>
                  <w:tcW w:w="658" w:type="pct"/>
                  <w:noWrap w:val="0"/>
                  <w:vAlign w:val="center"/>
                </w:tcPr>
                <w:p w14:paraId="46A3B4C2">
                  <w:pPr>
                    <w:keepNext w:val="0"/>
                    <w:keepLines w:val="0"/>
                    <w:suppressLineNumbers w:val="0"/>
                    <w:spacing w:before="0" w:beforeAutospacing="0" w:after="0" w:afterAutospacing="0"/>
                    <w:ind w:left="0" w:right="0"/>
                    <w:jc w:val="center"/>
                    <w:rPr>
                      <w:rFonts w:hint="default"/>
                      <w:bCs/>
                      <w:color w:val="auto"/>
                      <w:szCs w:val="21"/>
                    </w:rPr>
                  </w:pPr>
                  <w:r>
                    <w:rPr>
                      <w:rFonts w:hint="default"/>
                      <w:bCs/>
                      <w:color w:val="auto"/>
                      <w:szCs w:val="21"/>
                    </w:rPr>
                    <w:t>废机油</w:t>
                  </w:r>
                </w:p>
              </w:tc>
              <w:tc>
                <w:tcPr>
                  <w:tcW w:w="806" w:type="pct"/>
                  <w:noWrap w:val="0"/>
                  <w:vAlign w:val="center"/>
                </w:tcPr>
                <w:p w14:paraId="66B44666">
                  <w:pPr>
                    <w:keepNext w:val="0"/>
                    <w:keepLines w:val="0"/>
                    <w:suppressLineNumbers w:val="0"/>
                    <w:spacing w:before="0" w:beforeAutospacing="0" w:after="0" w:afterAutospacing="0"/>
                    <w:ind w:left="0" w:right="0"/>
                    <w:jc w:val="center"/>
                    <w:rPr>
                      <w:rFonts w:hint="default"/>
                      <w:bCs/>
                      <w:color w:val="auto"/>
                      <w:szCs w:val="21"/>
                    </w:rPr>
                  </w:pPr>
                  <w:r>
                    <w:rPr>
                      <w:rFonts w:hint="default"/>
                      <w:bCs/>
                      <w:color w:val="auto"/>
                      <w:szCs w:val="21"/>
                    </w:rPr>
                    <w:t>设备</w:t>
                  </w:r>
                </w:p>
              </w:tc>
              <w:tc>
                <w:tcPr>
                  <w:tcW w:w="730" w:type="pct"/>
                  <w:noWrap w:val="0"/>
                  <w:vAlign w:val="center"/>
                </w:tcPr>
                <w:p w14:paraId="4D5AE7EE">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0.1</w:t>
                  </w:r>
                  <w:r>
                    <w:rPr>
                      <w:rFonts w:hint="default"/>
                      <w:bCs/>
                      <w:color w:val="auto"/>
                      <w:szCs w:val="21"/>
                    </w:rPr>
                    <w:t>t/</w:t>
                  </w:r>
                  <w:r>
                    <w:rPr>
                      <w:rFonts w:hint="eastAsia"/>
                      <w:bCs/>
                      <w:color w:val="auto"/>
                      <w:szCs w:val="21"/>
                    </w:rPr>
                    <w:t>勘探期</w:t>
                  </w:r>
                </w:p>
              </w:tc>
              <w:tc>
                <w:tcPr>
                  <w:tcW w:w="853" w:type="pct"/>
                  <w:noWrap w:val="0"/>
                  <w:vAlign w:val="center"/>
                </w:tcPr>
                <w:p w14:paraId="06304797">
                  <w:pPr>
                    <w:keepNext w:val="0"/>
                    <w:keepLines w:val="0"/>
                    <w:suppressLineNumbers w:val="0"/>
                    <w:spacing w:before="0" w:beforeAutospacing="0" w:after="0" w:afterAutospacing="0"/>
                    <w:ind w:left="0" w:right="0"/>
                    <w:jc w:val="center"/>
                    <w:rPr>
                      <w:rFonts w:hint="default"/>
                      <w:bCs/>
                      <w:color w:val="auto"/>
                      <w:szCs w:val="21"/>
                    </w:rPr>
                  </w:pPr>
                  <w:r>
                    <w:rPr>
                      <w:rFonts w:hint="default"/>
                      <w:bCs/>
                      <w:color w:val="auto"/>
                      <w:szCs w:val="21"/>
                    </w:rPr>
                    <w:t>油</w:t>
                  </w:r>
                </w:p>
              </w:tc>
              <w:tc>
                <w:tcPr>
                  <w:tcW w:w="1399" w:type="pct"/>
                  <w:noWrap w:val="0"/>
                  <w:vAlign w:val="center"/>
                </w:tcPr>
                <w:p w14:paraId="238EF86A">
                  <w:pPr>
                    <w:keepNext w:val="0"/>
                    <w:keepLines w:val="0"/>
                    <w:suppressLineNumbers w:val="0"/>
                    <w:spacing w:before="0" w:beforeAutospacing="0" w:after="0" w:afterAutospacing="0"/>
                    <w:ind w:left="0" w:right="0"/>
                    <w:jc w:val="center"/>
                    <w:rPr>
                      <w:rFonts w:hint="default"/>
                      <w:bCs/>
                      <w:color w:val="auto"/>
                      <w:szCs w:val="21"/>
                      <w:highlight w:val="none"/>
                    </w:rPr>
                  </w:pPr>
                  <w:r>
                    <w:rPr>
                      <w:rFonts w:hint="eastAsia"/>
                      <w:bCs/>
                      <w:color w:val="auto"/>
                      <w:szCs w:val="21"/>
                      <w:highlight w:val="none"/>
                      <w:lang w:eastAsia="zh-CN"/>
                    </w:rPr>
                    <w:t>暂存于危废贮存点中</w:t>
                  </w:r>
                  <w:r>
                    <w:rPr>
                      <w:rFonts w:hint="default"/>
                      <w:bCs/>
                      <w:color w:val="auto"/>
                      <w:szCs w:val="21"/>
                      <w:highlight w:val="none"/>
                    </w:rPr>
                    <w:t>专用容器，有资质单位拉运处置。</w:t>
                  </w:r>
                </w:p>
              </w:tc>
              <w:tc>
                <w:tcPr>
                  <w:tcW w:w="552" w:type="pct"/>
                  <w:noWrap w:val="0"/>
                  <w:tcMar>
                    <w:left w:w="0" w:type="dxa"/>
                    <w:right w:w="0" w:type="dxa"/>
                  </w:tcMar>
                  <w:vAlign w:val="center"/>
                </w:tcPr>
                <w:p w14:paraId="41F05ABA">
                  <w:pPr>
                    <w:keepNext w:val="0"/>
                    <w:keepLines w:val="0"/>
                    <w:suppressLineNumbers w:val="0"/>
                    <w:spacing w:before="0" w:beforeAutospacing="0" w:after="0" w:afterAutospacing="0"/>
                    <w:ind w:left="0" w:right="0"/>
                    <w:jc w:val="center"/>
                    <w:rPr>
                      <w:rFonts w:hint="default"/>
                      <w:bCs/>
                      <w:color w:val="auto"/>
                      <w:szCs w:val="21"/>
                    </w:rPr>
                  </w:pPr>
                  <w:r>
                    <w:rPr>
                      <w:rFonts w:hint="default"/>
                      <w:bCs/>
                      <w:color w:val="auto"/>
                      <w:szCs w:val="21"/>
                    </w:rPr>
                    <w:t>危险废物</w:t>
                  </w:r>
                </w:p>
              </w:tc>
            </w:tr>
            <w:tr w14:paraId="389193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710" w:hRule="atLeast"/>
                <w:jc w:val="center"/>
              </w:trPr>
              <w:tc>
                <w:tcPr>
                  <w:tcW w:w="658" w:type="pct"/>
                  <w:noWrap w:val="0"/>
                  <w:vAlign w:val="center"/>
                </w:tcPr>
                <w:p w14:paraId="7B669843">
                  <w:pPr>
                    <w:keepNext w:val="0"/>
                    <w:keepLines w:val="0"/>
                    <w:suppressLineNumbers w:val="0"/>
                    <w:spacing w:before="0" w:beforeAutospacing="0" w:after="0" w:afterAutospacing="0"/>
                    <w:ind w:left="0" w:right="0"/>
                    <w:jc w:val="center"/>
                    <w:rPr>
                      <w:rFonts w:hint="default"/>
                      <w:bCs/>
                      <w:color w:val="auto"/>
                      <w:szCs w:val="21"/>
                    </w:rPr>
                  </w:pPr>
                  <w:r>
                    <w:rPr>
                      <w:rFonts w:hint="default"/>
                      <w:bCs/>
                      <w:color w:val="auto"/>
                      <w:szCs w:val="21"/>
                    </w:rPr>
                    <w:t>落地油</w:t>
                  </w:r>
                </w:p>
              </w:tc>
              <w:tc>
                <w:tcPr>
                  <w:tcW w:w="806" w:type="pct"/>
                  <w:noWrap w:val="0"/>
                  <w:vAlign w:val="center"/>
                </w:tcPr>
                <w:p w14:paraId="24EBE28B">
                  <w:pPr>
                    <w:keepNext w:val="0"/>
                    <w:keepLines w:val="0"/>
                    <w:suppressLineNumbers w:val="0"/>
                    <w:spacing w:before="0" w:beforeAutospacing="0" w:after="0" w:afterAutospacing="0"/>
                    <w:ind w:left="0" w:right="0"/>
                    <w:jc w:val="center"/>
                    <w:rPr>
                      <w:rFonts w:hint="default"/>
                      <w:bCs/>
                      <w:color w:val="auto"/>
                      <w:szCs w:val="21"/>
                    </w:rPr>
                  </w:pPr>
                  <w:r>
                    <w:rPr>
                      <w:rFonts w:hint="default"/>
                      <w:bCs/>
                      <w:color w:val="auto"/>
                      <w:szCs w:val="21"/>
                    </w:rPr>
                    <w:t>事故状态</w:t>
                  </w:r>
                </w:p>
              </w:tc>
              <w:tc>
                <w:tcPr>
                  <w:tcW w:w="730" w:type="pct"/>
                  <w:noWrap w:val="0"/>
                  <w:vAlign w:val="center"/>
                </w:tcPr>
                <w:p w14:paraId="2D50EFE6">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0.1</w:t>
                  </w:r>
                  <w:r>
                    <w:rPr>
                      <w:rFonts w:hint="default"/>
                      <w:bCs/>
                      <w:color w:val="auto"/>
                      <w:szCs w:val="21"/>
                    </w:rPr>
                    <w:t>t/</w:t>
                  </w:r>
                  <w:r>
                    <w:rPr>
                      <w:rFonts w:hint="eastAsia"/>
                      <w:bCs/>
                      <w:color w:val="auto"/>
                      <w:szCs w:val="21"/>
                    </w:rPr>
                    <w:t>勘探期</w:t>
                  </w:r>
                </w:p>
              </w:tc>
              <w:tc>
                <w:tcPr>
                  <w:tcW w:w="853" w:type="pct"/>
                  <w:noWrap w:val="0"/>
                  <w:vAlign w:val="center"/>
                </w:tcPr>
                <w:p w14:paraId="4B1B283A">
                  <w:pPr>
                    <w:keepNext w:val="0"/>
                    <w:keepLines w:val="0"/>
                    <w:suppressLineNumbers w:val="0"/>
                    <w:spacing w:before="0" w:beforeAutospacing="0" w:after="0" w:afterAutospacing="0"/>
                    <w:ind w:left="0" w:right="0"/>
                    <w:jc w:val="center"/>
                    <w:rPr>
                      <w:rFonts w:hint="default"/>
                      <w:bCs/>
                      <w:color w:val="auto"/>
                      <w:szCs w:val="21"/>
                    </w:rPr>
                  </w:pPr>
                  <w:r>
                    <w:rPr>
                      <w:rFonts w:hint="default"/>
                      <w:bCs/>
                      <w:color w:val="auto"/>
                      <w:szCs w:val="21"/>
                    </w:rPr>
                    <w:t>油</w:t>
                  </w:r>
                </w:p>
              </w:tc>
              <w:tc>
                <w:tcPr>
                  <w:tcW w:w="1399" w:type="pct"/>
                  <w:noWrap w:val="0"/>
                  <w:tcMar>
                    <w:left w:w="0" w:type="dxa"/>
                    <w:right w:w="0" w:type="dxa"/>
                  </w:tcMar>
                  <w:vAlign w:val="center"/>
                </w:tcPr>
                <w:p w14:paraId="4304C734">
                  <w:pPr>
                    <w:keepNext w:val="0"/>
                    <w:keepLines w:val="0"/>
                    <w:suppressLineNumbers w:val="0"/>
                    <w:spacing w:before="0" w:beforeAutospacing="0" w:after="0" w:afterAutospacing="0"/>
                    <w:ind w:left="0" w:right="0"/>
                    <w:jc w:val="center"/>
                    <w:rPr>
                      <w:rFonts w:hint="default"/>
                      <w:bCs/>
                      <w:color w:val="auto"/>
                      <w:szCs w:val="21"/>
                    </w:rPr>
                  </w:pPr>
                  <w:r>
                    <w:rPr>
                      <w:rFonts w:hint="default"/>
                      <w:bCs/>
                      <w:color w:val="auto"/>
                      <w:szCs w:val="21"/>
                    </w:rPr>
                    <w:t>暂存于污油罐内，交有资质的单位处理</w:t>
                  </w:r>
                </w:p>
              </w:tc>
              <w:tc>
                <w:tcPr>
                  <w:tcW w:w="552" w:type="pct"/>
                  <w:noWrap w:val="0"/>
                  <w:tcMar>
                    <w:left w:w="0" w:type="dxa"/>
                    <w:right w:w="0" w:type="dxa"/>
                  </w:tcMar>
                  <w:vAlign w:val="center"/>
                </w:tcPr>
                <w:p w14:paraId="0D8DBCED">
                  <w:pPr>
                    <w:keepNext w:val="0"/>
                    <w:keepLines w:val="0"/>
                    <w:suppressLineNumbers w:val="0"/>
                    <w:spacing w:before="0" w:beforeAutospacing="0" w:after="0" w:afterAutospacing="0"/>
                    <w:ind w:left="0" w:right="0"/>
                    <w:jc w:val="center"/>
                    <w:rPr>
                      <w:rFonts w:hint="default"/>
                      <w:bCs/>
                      <w:color w:val="auto"/>
                      <w:szCs w:val="21"/>
                    </w:rPr>
                  </w:pPr>
                  <w:r>
                    <w:rPr>
                      <w:rFonts w:hint="default"/>
                      <w:bCs/>
                      <w:color w:val="auto"/>
                      <w:szCs w:val="21"/>
                    </w:rPr>
                    <w:t>危险废物</w:t>
                  </w:r>
                </w:p>
              </w:tc>
            </w:tr>
          </w:tbl>
          <w:p w14:paraId="36C4FEEF">
            <w:pPr>
              <w:keepNext w:val="0"/>
              <w:keepLines w:val="0"/>
              <w:suppressLineNumbers w:val="0"/>
              <w:autoSpaceDE w:val="0"/>
              <w:autoSpaceDN w:val="0"/>
              <w:adjustRightInd w:val="0"/>
              <w:spacing w:before="0" w:beforeAutospacing="0" w:after="0" w:afterAutospacing="0"/>
              <w:ind w:left="0" w:right="0" w:firstLine="482" w:firstLineChars="200"/>
              <w:jc w:val="center"/>
              <w:rPr>
                <w:rFonts w:hint="default"/>
                <w:b/>
                <w:color w:val="auto"/>
                <w:kern w:val="0"/>
                <w:sz w:val="24"/>
                <w:szCs w:val="21"/>
              </w:rPr>
            </w:pPr>
            <w:r>
              <w:rPr>
                <w:rFonts w:hint="default"/>
                <w:b/>
                <w:color w:val="auto"/>
                <w:kern w:val="0"/>
                <w:sz w:val="24"/>
                <w:szCs w:val="21"/>
              </w:rPr>
              <w:t>表</w:t>
            </w:r>
            <w:r>
              <w:rPr>
                <w:rFonts w:hint="eastAsia"/>
                <w:b/>
                <w:color w:val="auto"/>
                <w:kern w:val="0"/>
                <w:sz w:val="24"/>
                <w:szCs w:val="21"/>
              </w:rPr>
              <w:t>5</w:t>
            </w:r>
            <w:r>
              <w:rPr>
                <w:rFonts w:hint="default"/>
                <w:b/>
                <w:color w:val="auto"/>
                <w:kern w:val="0"/>
                <w:sz w:val="24"/>
                <w:szCs w:val="21"/>
              </w:rPr>
              <w:t>-</w:t>
            </w:r>
            <w:r>
              <w:rPr>
                <w:rFonts w:hint="eastAsia"/>
                <w:b/>
                <w:color w:val="auto"/>
                <w:kern w:val="0"/>
                <w:sz w:val="24"/>
                <w:szCs w:val="21"/>
              </w:rPr>
              <w:t>3</w:t>
            </w:r>
            <w:r>
              <w:rPr>
                <w:rFonts w:hint="default"/>
                <w:b/>
                <w:color w:val="auto"/>
                <w:kern w:val="0"/>
                <w:sz w:val="24"/>
                <w:szCs w:val="21"/>
              </w:rPr>
              <w:t xml:space="preserve"> 危险废物产生情况一览表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399"/>
              <w:gridCol w:w="770"/>
              <w:gridCol w:w="774"/>
              <w:gridCol w:w="1196"/>
              <w:gridCol w:w="756"/>
              <w:gridCol w:w="875"/>
              <w:gridCol w:w="645"/>
              <w:gridCol w:w="530"/>
              <w:gridCol w:w="675"/>
              <w:gridCol w:w="710"/>
              <w:gridCol w:w="874"/>
            </w:tblGrid>
            <w:tr w14:paraId="56FF71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07" w:hRule="atLeast"/>
                <w:jc w:val="center"/>
              </w:trPr>
              <w:tc>
                <w:tcPr>
                  <w:tcW w:w="243" w:type="pct"/>
                  <w:noWrap w:val="0"/>
                  <w:vAlign w:val="center"/>
                </w:tcPr>
                <w:p w14:paraId="09AE4A33">
                  <w:pPr>
                    <w:keepNext w:val="0"/>
                    <w:keepLines w:val="0"/>
                    <w:suppressLineNumbers w:val="0"/>
                    <w:spacing w:before="0" w:beforeAutospacing="0" w:after="0" w:afterAutospacing="0"/>
                    <w:ind w:left="0" w:right="0"/>
                    <w:jc w:val="center"/>
                    <w:textAlignment w:val="baseline"/>
                    <w:rPr>
                      <w:rFonts w:hint="default"/>
                      <w:bCs/>
                      <w:color w:val="auto"/>
                      <w:kern w:val="0"/>
                      <w:szCs w:val="21"/>
                    </w:rPr>
                  </w:pPr>
                  <w:r>
                    <w:rPr>
                      <w:rFonts w:hint="default"/>
                      <w:bCs/>
                      <w:color w:val="auto"/>
                      <w:kern w:val="0"/>
                      <w:szCs w:val="21"/>
                    </w:rPr>
                    <w:t>序号</w:t>
                  </w:r>
                </w:p>
              </w:tc>
              <w:tc>
                <w:tcPr>
                  <w:tcW w:w="469" w:type="pct"/>
                  <w:noWrap w:val="0"/>
                  <w:vAlign w:val="center"/>
                </w:tcPr>
                <w:p w14:paraId="590F1BB8">
                  <w:pPr>
                    <w:keepNext w:val="0"/>
                    <w:keepLines w:val="0"/>
                    <w:suppressLineNumbers w:val="0"/>
                    <w:spacing w:before="0" w:beforeAutospacing="0" w:after="0" w:afterAutospacing="0"/>
                    <w:ind w:left="0" w:right="0"/>
                    <w:jc w:val="center"/>
                    <w:textAlignment w:val="baseline"/>
                    <w:rPr>
                      <w:rFonts w:hint="default"/>
                      <w:bCs/>
                      <w:color w:val="auto"/>
                      <w:kern w:val="0"/>
                      <w:szCs w:val="21"/>
                    </w:rPr>
                  </w:pPr>
                  <w:r>
                    <w:rPr>
                      <w:rFonts w:hint="default"/>
                      <w:bCs/>
                      <w:color w:val="auto"/>
                      <w:kern w:val="0"/>
                      <w:szCs w:val="21"/>
                    </w:rPr>
                    <w:t>危险废物名称</w:t>
                  </w:r>
                </w:p>
              </w:tc>
              <w:tc>
                <w:tcPr>
                  <w:tcW w:w="471" w:type="pct"/>
                  <w:noWrap w:val="0"/>
                  <w:vAlign w:val="center"/>
                </w:tcPr>
                <w:p w14:paraId="03031565">
                  <w:pPr>
                    <w:keepNext w:val="0"/>
                    <w:keepLines w:val="0"/>
                    <w:suppressLineNumbers w:val="0"/>
                    <w:spacing w:before="0" w:beforeAutospacing="0" w:after="0" w:afterAutospacing="0"/>
                    <w:ind w:left="0" w:right="0"/>
                    <w:jc w:val="center"/>
                    <w:textAlignment w:val="baseline"/>
                    <w:rPr>
                      <w:rFonts w:hint="default"/>
                      <w:bCs/>
                      <w:color w:val="auto"/>
                      <w:kern w:val="0"/>
                      <w:szCs w:val="21"/>
                    </w:rPr>
                  </w:pPr>
                  <w:r>
                    <w:rPr>
                      <w:rFonts w:hint="default"/>
                      <w:bCs/>
                      <w:color w:val="auto"/>
                      <w:kern w:val="0"/>
                      <w:szCs w:val="21"/>
                    </w:rPr>
                    <w:t>危险废物类别</w:t>
                  </w:r>
                </w:p>
              </w:tc>
              <w:tc>
                <w:tcPr>
                  <w:tcW w:w="728" w:type="pct"/>
                  <w:noWrap w:val="0"/>
                  <w:vAlign w:val="center"/>
                </w:tcPr>
                <w:p w14:paraId="4BDA94F0">
                  <w:pPr>
                    <w:keepNext w:val="0"/>
                    <w:keepLines w:val="0"/>
                    <w:suppressLineNumbers w:val="0"/>
                    <w:spacing w:before="0" w:beforeAutospacing="0" w:after="0" w:afterAutospacing="0"/>
                    <w:ind w:left="0" w:right="0"/>
                    <w:jc w:val="center"/>
                    <w:textAlignment w:val="baseline"/>
                    <w:rPr>
                      <w:rFonts w:hint="default"/>
                      <w:bCs/>
                      <w:color w:val="auto"/>
                      <w:kern w:val="0"/>
                      <w:szCs w:val="21"/>
                    </w:rPr>
                  </w:pPr>
                  <w:r>
                    <w:rPr>
                      <w:rFonts w:hint="default"/>
                      <w:bCs/>
                      <w:color w:val="auto"/>
                      <w:kern w:val="0"/>
                      <w:szCs w:val="21"/>
                    </w:rPr>
                    <w:t>危险废物代码</w:t>
                  </w:r>
                </w:p>
              </w:tc>
              <w:tc>
                <w:tcPr>
                  <w:tcW w:w="460" w:type="pct"/>
                  <w:noWrap w:val="0"/>
                  <w:vAlign w:val="center"/>
                </w:tcPr>
                <w:p w14:paraId="69DA3C6B">
                  <w:pPr>
                    <w:keepNext w:val="0"/>
                    <w:keepLines w:val="0"/>
                    <w:suppressLineNumbers w:val="0"/>
                    <w:spacing w:before="0" w:beforeAutospacing="0" w:after="0" w:afterAutospacing="0"/>
                    <w:ind w:left="0" w:right="0"/>
                    <w:jc w:val="center"/>
                    <w:textAlignment w:val="baseline"/>
                    <w:rPr>
                      <w:rFonts w:hint="default"/>
                      <w:bCs/>
                      <w:color w:val="auto"/>
                      <w:kern w:val="0"/>
                      <w:szCs w:val="21"/>
                    </w:rPr>
                  </w:pPr>
                  <w:r>
                    <w:rPr>
                      <w:rFonts w:hint="default"/>
                      <w:bCs/>
                      <w:color w:val="auto"/>
                      <w:kern w:val="0"/>
                      <w:szCs w:val="21"/>
                    </w:rPr>
                    <w:t>产生量（t/</w:t>
                  </w:r>
                  <w:r>
                    <w:rPr>
                      <w:rFonts w:hint="eastAsia"/>
                      <w:bCs/>
                      <w:color w:val="auto"/>
                      <w:kern w:val="0"/>
                      <w:szCs w:val="21"/>
                      <w:lang w:eastAsia="zh-CN"/>
                    </w:rPr>
                    <w:t>勘探期</w:t>
                  </w:r>
                  <w:r>
                    <w:rPr>
                      <w:rFonts w:hint="default"/>
                      <w:bCs/>
                      <w:color w:val="auto"/>
                      <w:kern w:val="0"/>
                      <w:szCs w:val="21"/>
                    </w:rPr>
                    <w:t>）</w:t>
                  </w:r>
                </w:p>
              </w:tc>
              <w:tc>
                <w:tcPr>
                  <w:tcW w:w="533" w:type="pct"/>
                  <w:noWrap w:val="0"/>
                  <w:vAlign w:val="center"/>
                </w:tcPr>
                <w:p w14:paraId="12004F29">
                  <w:pPr>
                    <w:keepNext w:val="0"/>
                    <w:keepLines w:val="0"/>
                    <w:suppressLineNumbers w:val="0"/>
                    <w:spacing w:before="0" w:beforeAutospacing="0" w:after="0" w:afterAutospacing="0"/>
                    <w:ind w:left="0" w:right="0"/>
                    <w:jc w:val="center"/>
                    <w:textAlignment w:val="baseline"/>
                    <w:rPr>
                      <w:rFonts w:hint="default"/>
                      <w:bCs/>
                      <w:color w:val="auto"/>
                      <w:kern w:val="0"/>
                      <w:szCs w:val="21"/>
                    </w:rPr>
                  </w:pPr>
                  <w:r>
                    <w:rPr>
                      <w:rFonts w:hint="default"/>
                      <w:bCs/>
                      <w:color w:val="auto"/>
                      <w:kern w:val="0"/>
                      <w:szCs w:val="21"/>
                    </w:rPr>
                    <w:t>产生工序及装置</w:t>
                  </w:r>
                </w:p>
              </w:tc>
              <w:tc>
                <w:tcPr>
                  <w:tcW w:w="393" w:type="pct"/>
                  <w:noWrap w:val="0"/>
                  <w:vAlign w:val="center"/>
                </w:tcPr>
                <w:p w14:paraId="795C00F1">
                  <w:pPr>
                    <w:keepNext w:val="0"/>
                    <w:keepLines w:val="0"/>
                    <w:suppressLineNumbers w:val="0"/>
                    <w:spacing w:before="0" w:beforeAutospacing="0" w:after="0" w:afterAutospacing="0"/>
                    <w:ind w:left="0" w:right="0"/>
                    <w:jc w:val="center"/>
                    <w:textAlignment w:val="baseline"/>
                    <w:rPr>
                      <w:rFonts w:hint="default"/>
                      <w:bCs/>
                      <w:color w:val="auto"/>
                      <w:kern w:val="0"/>
                      <w:szCs w:val="21"/>
                    </w:rPr>
                  </w:pPr>
                  <w:r>
                    <w:rPr>
                      <w:rFonts w:hint="default"/>
                      <w:bCs/>
                      <w:color w:val="auto"/>
                      <w:kern w:val="0"/>
                      <w:szCs w:val="21"/>
                    </w:rPr>
                    <w:t>形态</w:t>
                  </w:r>
                </w:p>
              </w:tc>
              <w:tc>
                <w:tcPr>
                  <w:tcW w:w="323" w:type="pct"/>
                  <w:noWrap w:val="0"/>
                  <w:vAlign w:val="center"/>
                </w:tcPr>
                <w:p w14:paraId="41BA7893">
                  <w:pPr>
                    <w:keepNext w:val="0"/>
                    <w:keepLines w:val="0"/>
                    <w:suppressLineNumbers w:val="0"/>
                    <w:spacing w:before="0" w:beforeAutospacing="0" w:after="0" w:afterAutospacing="0"/>
                    <w:ind w:left="0" w:right="0"/>
                    <w:jc w:val="center"/>
                    <w:textAlignment w:val="baseline"/>
                    <w:rPr>
                      <w:rFonts w:hint="default"/>
                      <w:bCs/>
                      <w:color w:val="auto"/>
                      <w:kern w:val="0"/>
                      <w:szCs w:val="21"/>
                    </w:rPr>
                  </w:pPr>
                  <w:r>
                    <w:rPr>
                      <w:rFonts w:hint="default"/>
                      <w:bCs/>
                      <w:color w:val="auto"/>
                      <w:kern w:val="0"/>
                      <w:szCs w:val="21"/>
                    </w:rPr>
                    <w:t>主要成分</w:t>
                  </w:r>
                </w:p>
              </w:tc>
              <w:tc>
                <w:tcPr>
                  <w:tcW w:w="411" w:type="pct"/>
                  <w:noWrap w:val="0"/>
                  <w:vAlign w:val="center"/>
                </w:tcPr>
                <w:p w14:paraId="2C360545">
                  <w:pPr>
                    <w:keepNext w:val="0"/>
                    <w:keepLines w:val="0"/>
                    <w:suppressLineNumbers w:val="0"/>
                    <w:spacing w:before="0" w:beforeAutospacing="0" w:after="0" w:afterAutospacing="0"/>
                    <w:ind w:left="0" w:right="0"/>
                    <w:jc w:val="center"/>
                    <w:textAlignment w:val="baseline"/>
                    <w:rPr>
                      <w:rFonts w:hint="default"/>
                      <w:bCs/>
                      <w:color w:val="auto"/>
                      <w:kern w:val="0"/>
                      <w:szCs w:val="21"/>
                    </w:rPr>
                  </w:pPr>
                  <w:r>
                    <w:rPr>
                      <w:rFonts w:hint="default"/>
                      <w:bCs/>
                      <w:color w:val="auto"/>
                      <w:kern w:val="0"/>
                      <w:szCs w:val="21"/>
                    </w:rPr>
                    <w:t>产废周期</w:t>
                  </w:r>
                </w:p>
              </w:tc>
              <w:tc>
                <w:tcPr>
                  <w:tcW w:w="432" w:type="pct"/>
                  <w:noWrap w:val="0"/>
                  <w:vAlign w:val="center"/>
                </w:tcPr>
                <w:p w14:paraId="2399E5F5">
                  <w:pPr>
                    <w:keepNext w:val="0"/>
                    <w:keepLines w:val="0"/>
                    <w:suppressLineNumbers w:val="0"/>
                    <w:spacing w:before="0" w:beforeAutospacing="0" w:after="0" w:afterAutospacing="0"/>
                    <w:ind w:left="0" w:right="0"/>
                    <w:jc w:val="center"/>
                    <w:textAlignment w:val="baseline"/>
                    <w:rPr>
                      <w:rFonts w:hint="default"/>
                      <w:bCs/>
                      <w:color w:val="auto"/>
                      <w:kern w:val="0"/>
                      <w:szCs w:val="21"/>
                    </w:rPr>
                  </w:pPr>
                  <w:r>
                    <w:rPr>
                      <w:rFonts w:hint="default"/>
                      <w:bCs/>
                      <w:color w:val="auto"/>
                      <w:kern w:val="0"/>
                      <w:szCs w:val="21"/>
                    </w:rPr>
                    <w:t>危险</w:t>
                  </w:r>
                </w:p>
                <w:p w14:paraId="4E0D3476">
                  <w:pPr>
                    <w:keepNext w:val="0"/>
                    <w:keepLines w:val="0"/>
                    <w:suppressLineNumbers w:val="0"/>
                    <w:spacing w:before="0" w:beforeAutospacing="0" w:after="0" w:afterAutospacing="0"/>
                    <w:ind w:left="0" w:right="0"/>
                    <w:jc w:val="center"/>
                    <w:textAlignment w:val="baseline"/>
                    <w:rPr>
                      <w:rFonts w:hint="default"/>
                      <w:bCs/>
                      <w:color w:val="auto"/>
                      <w:kern w:val="0"/>
                      <w:szCs w:val="21"/>
                    </w:rPr>
                  </w:pPr>
                  <w:r>
                    <w:rPr>
                      <w:rFonts w:hint="default"/>
                      <w:bCs/>
                      <w:color w:val="auto"/>
                      <w:kern w:val="0"/>
                      <w:szCs w:val="21"/>
                    </w:rPr>
                    <w:t>特性</w:t>
                  </w:r>
                </w:p>
              </w:tc>
              <w:tc>
                <w:tcPr>
                  <w:tcW w:w="532" w:type="pct"/>
                  <w:noWrap w:val="0"/>
                  <w:vAlign w:val="center"/>
                </w:tcPr>
                <w:p w14:paraId="7268A273">
                  <w:pPr>
                    <w:keepNext w:val="0"/>
                    <w:keepLines w:val="0"/>
                    <w:suppressLineNumbers w:val="0"/>
                    <w:spacing w:before="0" w:beforeAutospacing="0" w:after="0" w:afterAutospacing="0"/>
                    <w:ind w:left="0" w:right="0"/>
                    <w:jc w:val="center"/>
                    <w:textAlignment w:val="baseline"/>
                    <w:rPr>
                      <w:rFonts w:hint="default"/>
                      <w:bCs/>
                      <w:color w:val="auto"/>
                      <w:kern w:val="0"/>
                      <w:szCs w:val="21"/>
                    </w:rPr>
                  </w:pPr>
                  <w:r>
                    <w:rPr>
                      <w:rFonts w:hint="default"/>
                      <w:bCs/>
                      <w:color w:val="auto"/>
                      <w:kern w:val="0"/>
                      <w:szCs w:val="21"/>
                    </w:rPr>
                    <w:t>污染防治措施</w:t>
                  </w:r>
                </w:p>
              </w:tc>
            </w:tr>
            <w:tr w14:paraId="26E1BA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380" w:hRule="atLeast"/>
                <w:jc w:val="center"/>
              </w:trPr>
              <w:tc>
                <w:tcPr>
                  <w:tcW w:w="243" w:type="pct"/>
                  <w:noWrap w:val="0"/>
                  <w:vAlign w:val="center"/>
                </w:tcPr>
                <w:p w14:paraId="44D9D84B">
                  <w:pPr>
                    <w:keepNext w:val="0"/>
                    <w:keepLines w:val="0"/>
                    <w:suppressLineNumbers w:val="0"/>
                    <w:spacing w:before="0" w:beforeAutospacing="0" w:after="0" w:afterAutospacing="0"/>
                    <w:ind w:left="0" w:right="0"/>
                    <w:jc w:val="center"/>
                    <w:textAlignment w:val="baseline"/>
                    <w:rPr>
                      <w:rFonts w:hint="default"/>
                      <w:bCs/>
                      <w:color w:val="auto"/>
                      <w:kern w:val="0"/>
                      <w:szCs w:val="21"/>
                    </w:rPr>
                  </w:pPr>
                  <w:r>
                    <w:rPr>
                      <w:rFonts w:hint="eastAsia"/>
                      <w:bCs/>
                      <w:color w:val="auto"/>
                      <w:kern w:val="0"/>
                      <w:szCs w:val="21"/>
                    </w:rPr>
                    <w:t>1</w:t>
                  </w:r>
                </w:p>
              </w:tc>
              <w:tc>
                <w:tcPr>
                  <w:tcW w:w="469" w:type="pct"/>
                  <w:noWrap w:val="0"/>
                  <w:vAlign w:val="center"/>
                </w:tcPr>
                <w:p w14:paraId="67805AAD">
                  <w:pPr>
                    <w:keepNext w:val="0"/>
                    <w:keepLines w:val="0"/>
                    <w:suppressLineNumbers w:val="0"/>
                    <w:spacing w:before="0" w:beforeAutospacing="0" w:after="0" w:afterAutospacing="0"/>
                    <w:ind w:left="0" w:right="0"/>
                    <w:jc w:val="center"/>
                    <w:textAlignment w:val="baseline"/>
                    <w:rPr>
                      <w:rFonts w:hint="default"/>
                      <w:bCs/>
                      <w:color w:val="auto"/>
                      <w:kern w:val="0"/>
                      <w:szCs w:val="21"/>
                    </w:rPr>
                  </w:pPr>
                  <w:r>
                    <w:rPr>
                      <w:rFonts w:hint="default"/>
                      <w:bCs/>
                      <w:color w:val="auto"/>
                      <w:kern w:val="0"/>
                      <w:szCs w:val="21"/>
                    </w:rPr>
                    <w:t>废机油</w:t>
                  </w:r>
                </w:p>
              </w:tc>
              <w:tc>
                <w:tcPr>
                  <w:tcW w:w="471" w:type="pct"/>
                  <w:noWrap w:val="0"/>
                  <w:vAlign w:val="center"/>
                </w:tcPr>
                <w:p w14:paraId="5FA0C80F">
                  <w:pPr>
                    <w:keepNext w:val="0"/>
                    <w:keepLines w:val="0"/>
                    <w:suppressLineNumbers w:val="0"/>
                    <w:spacing w:before="0" w:beforeAutospacing="0" w:after="0" w:afterAutospacing="0"/>
                    <w:ind w:left="0" w:right="0"/>
                    <w:jc w:val="center"/>
                    <w:textAlignment w:val="baseline"/>
                    <w:rPr>
                      <w:rFonts w:hint="default"/>
                      <w:bCs/>
                      <w:color w:val="auto"/>
                      <w:kern w:val="0"/>
                      <w:szCs w:val="21"/>
                    </w:rPr>
                  </w:pPr>
                  <w:r>
                    <w:rPr>
                      <w:rFonts w:hint="default"/>
                      <w:bCs/>
                      <w:color w:val="auto"/>
                      <w:kern w:val="0"/>
                      <w:szCs w:val="21"/>
                    </w:rPr>
                    <w:t>HW08</w:t>
                  </w:r>
                </w:p>
              </w:tc>
              <w:tc>
                <w:tcPr>
                  <w:tcW w:w="728" w:type="pct"/>
                  <w:noWrap w:val="0"/>
                  <w:vAlign w:val="center"/>
                </w:tcPr>
                <w:p w14:paraId="1039D84E">
                  <w:pPr>
                    <w:keepNext w:val="0"/>
                    <w:keepLines w:val="0"/>
                    <w:suppressLineNumbers w:val="0"/>
                    <w:spacing w:before="0" w:beforeAutospacing="0" w:after="0" w:afterAutospacing="0"/>
                    <w:ind w:left="0" w:right="0"/>
                    <w:jc w:val="center"/>
                    <w:textAlignment w:val="baseline"/>
                    <w:rPr>
                      <w:rFonts w:hint="default"/>
                      <w:bCs/>
                      <w:color w:val="auto"/>
                      <w:kern w:val="0"/>
                      <w:szCs w:val="21"/>
                    </w:rPr>
                  </w:pPr>
                  <w:r>
                    <w:rPr>
                      <w:rFonts w:hint="default"/>
                      <w:color w:val="auto"/>
                      <w:szCs w:val="21"/>
                    </w:rPr>
                    <w:t>900-214-08</w:t>
                  </w:r>
                </w:p>
              </w:tc>
              <w:tc>
                <w:tcPr>
                  <w:tcW w:w="460" w:type="pct"/>
                  <w:noWrap w:val="0"/>
                  <w:vAlign w:val="center"/>
                </w:tcPr>
                <w:p w14:paraId="64B151CA">
                  <w:pPr>
                    <w:keepNext w:val="0"/>
                    <w:keepLines w:val="0"/>
                    <w:suppressLineNumbers w:val="0"/>
                    <w:spacing w:before="0" w:beforeAutospacing="0" w:after="0" w:afterAutospacing="0"/>
                    <w:ind w:left="0" w:right="0"/>
                    <w:jc w:val="center"/>
                    <w:textAlignment w:val="baseline"/>
                    <w:rPr>
                      <w:rFonts w:hint="default"/>
                      <w:bCs/>
                      <w:color w:val="auto"/>
                      <w:kern w:val="0"/>
                      <w:szCs w:val="21"/>
                    </w:rPr>
                  </w:pPr>
                  <w:r>
                    <w:rPr>
                      <w:rFonts w:hint="eastAsia"/>
                      <w:bCs/>
                      <w:color w:val="auto"/>
                      <w:kern w:val="0"/>
                      <w:szCs w:val="21"/>
                    </w:rPr>
                    <w:t>0.1</w:t>
                  </w:r>
                </w:p>
              </w:tc>
              <w:tc>
                <w:tcPr>
                  <w:tcW w:w="533" w:type="pct"/>
                  <w:noWrap w:val="0"/>
                  <w:vAlign w:val="center"/>
                </w:tcPr>
                <w:p w14:paraId="1110FA06">
                  <w:pPr>
                    <w:keepNext w:val="0"/>
                    <w:keepLines w:val="0"/>
                    <w:suppressLineNumbers w:val="0"/>
                    <w:spacing w:before="0" w:beforeAutospacing="0" w:after="0" w:afterAutospacing="0"/>
                    <w:ind w:left="0" w:right="0"/>
                    <w:jc w:val="center"/>
                    <w:textAlignment w:val="baseline"/>
                    <w:rPr>
                      <w:rFonts w:hint="default"/>
                      <w:bCs/>
                      <w:color w:val="auto"/>
                      <w:kern w:val="0"/>
                      <w:szCs w:val="21"/>
                    </w:rPr>
                  </w:pPr>
                  <w:r>
                    <w:rPr>
                      <w:rFonts w:hint="default"/>
                      <w:bCs/>
                      <w:color w:val="auto"/>
                      <w:kern w:val="0"/>
                      <w:szCs w:val="21"/>
                    </w:rPr>
                    <w:t>钻井</w:t>
                  </w:r>
                </w:p>
              </w:tc>
              <w:tc>
                <w:tcPr>
                  <w:tcW w:w="393" w:type="pct"/>
                  <w:noWrap w:val="0"/>
                  <w:vAlign w:val="center"/>
                </w:tcPr>
                <w:p w14:paraId="5262A86C">
                  <w:pPr>
                    <w:keepNext w:val="0"/>
                    <w:keepLines w:val="0"/>
                    <w:suppressLineNumbers w:val="0"/>
                    <w:spacing w:before="0" w:beforeAutospacing="0" w:after="0" w:afterAutospacing="0"/>
                    <w:ind w:left="0" w:right="0"/>
                    <w:jc w:val="center"/>
                    <w:textAlignment w:val="baseline"/>
                    <w:rPr>
                      <w:rFonts w:hint="default"/>
                      <w:bCs/>
                      <w:color w:val="auto"/>
                      <w:kern w:val="0"/>
                      <w:szCs w:val="21"/>
                    </w:rPr>
                  </w:pPr>
                  <w:r>
                    <w:rPr>
                      <w:rFonts w:hint="default"/>
                      <w:bCs/>
                      <w:color w:val="auto"/>
                      <w:kern w:val="0"/>
                      <w:szCs w:val="21"/>
                    </w:rPr>
                    <w:t>液态</w:t>
                  </w:r>
                </w:p>
              </w:tc>
              <w:tc>
                <w:tcPr>
                  <w:tcW w:w="323" w:type="pct"/>
                  <w:noWrap w:val="0"/>
                  <w:vAlign w:val="center"/>
                </w:tcPr>
                <w:p w14:paraId="3DE740D0">
                  <w:pPr>
                    <w:keepNext w:val="0"/>
                    <w:keepLines w:val="0"/>
                    <w:suppressLineNumbers w:val="0"/>
                    <w:spacing w:before="0" w:beforeAutospacing="0" w:after="0" w:afterAutospacing="0"/>
                    <w:ind w:left="0" w:right="0"/>
                    <w:jc w:val="center"/>
                    <w:textAlignment w:val="baseline"/>
                    <w:rPr>
                      <w:rFonts w:hint="default"/>
                      <w:bCs/>
                      <w:color w:val="auto"/>
                      <w:kern w:val="0"/>
                      <w:szCs w:val="21"/>
                    </w:rPr>
                  </w:pPr>
                  <w:r>
                    <w:rPr>
                      <w:rFonts w:hint="default"/>
                      <w:bCs/>
                      <w:color w:val="auto"/>
                      <w:kern w:val="0"/>
                      <w:szCs w:val="21"/>
                    </w:rPr>
                    <w:t>油</w:t>
                  </w:r>
                </w:p>
              </w:tc>
              <w:tc>
                <w:tcPr>
                  <w:tcW w:w="411" w:type="pct"/>
                  <w:noWrap w:val="0"/>
                  <w:vAlign w:val="center"/>
                </w:tcPr>
                <w:p w14:paraId="0758DB46">
                  <w:pPr>
                    <w:keepNext w:val="0"/>
                    <w:keepLines w:val="0"/>
                    <w:suppressLineNumbers w:val="0"/>
                    <w:spacing w:before="0" w:beforeAutospacing="0" w:after="0" w:afterAutospacing="0"/>
                    <w:ind w:left="0" w:right="0"/>
                    <w:jc w:val="center"/>
                    <w:textAlignment w:val="baseline"/>
                    <w:rPr>
                      <w:rFonts w:hint="default"/>
                      <w:bCs/>
                      <w:color w:val="auto"/>
                      <w:kern w:val="0"/>
                      <w:szCs w:val="21"/>
                    </w:rPr>
                  </w:pPr>
                  <w:r>
                    <w:rPr>
                      <w:rFonts w:hint="eastAsia"/>
                      <w:bCs/>
                      <w:color w:val="auto"/>
                      <w:kern w:val="0"/>
                      <w:szCs w:val="21"/>
                    </w:rPr>
                    <w:t>勘探</w:t>
                  </w:r>
                  <w:r>
                    <w:rPr>
                      <w:rFonts w:hint="default"/>
                      <w:bCs/>
                      <w:color w:val="auto"/>
                      <w:kern w:val="0"/>
                      <w:szCs w:val="21"/>
                    </w:rPr>
                    <w:t>期</w:t>
                  </w:r>
                </w:p>
              </w:tc>
              <w:tc>
                <w:tcPr>
                  <w:tcW w:w="432" w:type="pct"/>
                  <w:noWrap w:val="0"/>
                  <w:vAlign w:val="center"/>
                </w:tcPr>
                <w:p w14:paraId="1F5DACCC">
                  <w:pPr>
                    <w:keepNext w:val="0"/>
                    <w:keepLines w:val="0"/>
                    <w:suppressLineNumbers w:val="0"/>
                    <w:spacing w:before="0" w:beforeAutospacing="0" w:after="0" w:afterAutospacing="0"/>
                    <w:ind w:left="0" w:right="0"/>
                    <w:jc w:val="center"/>
                    <w:textAlignment w:val="baseline"/>
                    <w:rPr>
                      <w:rFonts w:hint="default"/>
                      <w:bCs/>
                      <w:color w:val="auto"/>
                      <w:kern w:val="0"/>
                      <w:szCs w:val="21"/>
                    </w:rPr>
                  </w:pPr>
                  <w:r>
                    <w:rPr>
                      <w:rFonts w:hint="default"/>
                      <w:bCs/>
                      <w:color w:val="auto"/>
                      <w:kern w:val="0"/>
                      <w:szCs w:val="21"/>
                    </w:rPr>
                    <w:t>T</w:t>
                  </w:r>
                  <w:r>
                    <w:rPr>
                      <w:rFonts w:hint="eastAsia"/>
                      <w:bCs/>
                      <w:color w:val="auto"/>
                      <w:kern w:val="0"/>
                      <w:szCs w:val="21"/>
                      <w:highlight w:val="none"/>
                    </w:rPr>
                    <w:t>，</w:t>
                  </w:r>
                  <w:r>
                    <w:rPr>
                      <w:rFonts w:hint="default"/>
                      <w:bCs/>
                      <w:color w:val="auto"/>
                      <w:kern w:val="0"/>
                      <w:szCs w:val="21"/>
                    </w:rPr>
                    <w:t>I</w:t>
                  </w:r>
                </w:p>
              </w:tc>
              <w:tc>
                <w:tcPr>
                  <w:tcW w:w="532" w:type="pct"/>
                  <w:noWrap w:val="0"/>
                  <w:vAlign w:val="center"/>
                </w:tcPr>
                <w:p w14:paraId="297A8C76">
                  <w:pPr>
                    <w:keepNext w:val="0"/>
                    <w:keepLines w:val="0"/>
                    <w:suppressLineNumbers w:val="0"/>
                    <w:spacing w:before="0" w:beforeAutospacing="0" w:after="0" w:afterAutospacing="0"/>
                    <w:ind w:left="0" w:right="0"/>
                    <w:jc w:val="center"/>
                    <w:textAlignment w:val="baseline"/>
                    <w:rPr>
                      <w:rFonts w:hint="default"/>
                      <w:bCs/>
                      <w:color w:val="auto"/>
                      <w:kern w:val="0"/>
                      <w:szCs w:val="21"/>
                    </w:rPr>
                  </w:pPr>
                  <w:r>
                    <w:rPr>
                      <w:rFonts w:hint="default"/>
                      <w:bCs/>
                      <w:color w:val="auto"/>
                      <w:kern w:val="0"/>
                      <w:szCs w:val="21"/>
                    </w:rPr>
                    <w:t>专用容器收集，定期交由有资质单位处置</w:t>
                  </w:r>
                </w:p>
              </w:tc>
            </w:tr>
            <w:tr w14:paraId="1C64176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370" w:hRule="atLeast"/>
                <w:jc w:val="center"/>
              </w:trPr>
              <w:tc>
                <w:tcPr>
                  <w:tcW w:w="243" w:type="pct"/>
                  <w:noWrap w:val="0"/>
                  <w:vAlign w:val="center"/>
                </w:tcPr>
                <w:p w14:paraId="61B31F6B">
                  <w:pPr>
                    <w:keepNext w:val="0"/>
                    <w:keepLines w:val="0"/>
                    <w:suppressLineNumbers w:val="0"/>
                    <w:spacing w:before="0" w:beforeAutospacing="0" w:after="0" w:afterAutospacing="0"/>
                    <w:ind w:left="0" w:right="0"/>
                    <w:jc w:val="center"/>
                    <w:textAlignment w:val="baseline"/>
                    <w:rPr>
                      <w:rFonts w:hint="default"/>
                      <w:bCs/>
                      <w:color w:val="auto"/>
                      <w:kern w:val="0"/>
                      <w:szCs w:val="21"/>
                    </w:rPr>
                  </w:pPr>
                  <w:r>
                    <w:rPr>
                      <w:rFonts w:hint="eastAsia"/>
                      <w:bCs/>
                      <w:color w:val="auto"/>
                      <w:kern w:val="0"/>
                      <w:szCs w:val="21"/>
                    </w:rPr>
                    <w:t>2</w:t>
                  </w:r>
                </w:p>
              </w:tc>
              <w:tc>
                <w:tcPr>
                  <w:tcW w:w="469" w:type="pct"/>
                  <w:noWrap w:val="0"/>
                  <w:vAlign w:val="center"/>
                </w:tcPr>
                <w:p w14:paraId="134704C5">
                  <w:pPr>
                    <w:keepNext w:val="0"/>
                    <w:keepLines w:val="0"/>
                    <w:suppressLineNumbers w:val="0"/>
                    <w:spacing w:before="0" w:beforeAutospacing="0" w:after="0" w:afterAutospacing="0"/>
                    <w:ind w:left="0" w:right="0"/>
                    <w:jc w:val="center"/>
                    <w:textAlignment w:val="baseline"/>
                    <w:rPr>
                      <w:rFonts w:hint="default"/>
                      <w:bCs/>
                      <w:color w:val="auto"/>
                      <w:kern w:val="0"/>
                      <w:szCs w:val="21"/>
                    </w:rPr>
                  </w:pPr>
                  <w:r>
                    <w:rPr>
                      <w:rFonts w:hint="default"/>
                      <w:bCs/>
                      <w:color w:val="auto"/>
                      <w:kern w:val="0"/>
                      <w:szCs w:val="21"/>
                    </w:rPr>
                    <w:t>落地油</w:t>
                  </w:r>
                </w:p>
              </w:tc>
              <w:tc>
                <w:tcPr>
                  <w:tcW w:w="471" w:type="pct"/>
                  <w:noWrap w:val="0"/>
                  <w:vAlign w:val="center"/>
                </w:tcPr>
                <w:p w14:paraId="4F75C4AB">
                  <w:pPr>
                    <w:keepNext w:val="0"/>
                    <w:keepLines w:val="0"/>
                    <w:suppressLineNumbers w:val="0"/>
                    <w:spacing w:before="0" w:beforeAutospacing="0" w:after="0" w:afterAutospacing="0"/>
                    <w:ind w:left="0" w:right="0"/>
                    <w:jc w:val="center"/>
                    <w:textAlignment w:val="baseline"/>
                    <w:rPr>
                      <w:rFonts w:hint="default"/>
                      <w:bCs/>
                      <w:color w:val="auto"/>
                      <w:kern w:val="0"/>
                      <w:szCs w:val="21"/>
                    </w:rPr>
                  </w:pPr>
                  <w:r>
                    <w:rPr>
                      <w:rFonts w:hint="default"/>
                      <w:bCs/>
                      <w:color w:val="auto"/>
                      <w:kern w:val="0"/>
                      <w:szCs w:val="21"/>
                    </w:rPr>
                    <w:t>HW08</w:t>
                  </w:r>
                </w:p>
              </w:tc>
              <w:tc>
                <w:tcPr>
                  <w:tcW w:w="728" w:type="pct"/>
                  <w:noWrap w:val="0"/>
                  <w:vAlign w:val="center"/>
                </w:tcPr>
                <w:p w14:paraId="6C6B9FC7">
                  <w:pPr>
                    <w:keepNext w:val="0"/>
                    <w:keepLines w:val="0"/>
                    <w:suppressLineNumbers w:val="0"/>
                    <w:spacing w:before="0" w:beforeAutospacing="0" w:after="0" w:afterAutospacing="0"/>
                    <w:ind w:left="0" w:right="0"/>
                    <w:jc w:val="center"/>
                    <w:textAlignment w:val="baseline"/>
                    <w:rPr>
                      <w:rFonts w:hint="default"/>
                      <w:bCs/>
                      <w:color w:val="auto"/>
                      <w:kern w:val="0"/>
                      <w:szCs w:val="21"/>
                    </w:rPr>
                  </w:pPr>
                  <w:r>
                    <w:rPr>
                      <w:rFonts w:hint="default"/>
                      <w:bCs/>
                      <w:color w:val="auto"/>
                      <w:kern w:val="0"/>
                      <w:szCs w:val="21"/>
                    </w:rPr>
                    <w:t>071-001-08</w:t>
                  </w:r>
                </w:p>
              </w:tc>
              <w:tc>
                <w:tcPr>
                  <w:tcW w:w="460" w:type="pct"/>
                  <w:noWrap w:val="0"/>
                  <w:vAlign w:val="center"/>
                </w:tcPr>
                <w:p w14:paraId="67FF8632">
                  <w:pPr>
                    <w:keepNext w:val="0"/>
                    <w:keepLines w:val="0"/>
                    <w:suppressLineNumbers w:val="0"/>
                    <w:spacing w:before="0" w:beforeAutospacing="0" w:after="0" w:afterAutospacing="0"/>
                    <w:ind w:left="0" w:right="0"/>
                    <w:jc w:val="center"/>
                    <w:textAlignment w:val="baseline"/>
                    <w:rPr>
                      <w:rFonts w:hint="default"/>
                      <w:bCs/>
                      <w:color w:val="auto"/>
                      <w:kern w:val="0"/>
                      <w:szCs w:val="21"/>
                    </w:rPr>
                  </w:pPr>
                  <w:r>
                    <w:rPr>
                      <w:rFonts w:hint="eastAsia"/>
                      <w:bCs/>
                      <w:color w:val="auto"/>
                      <w:kern w:val="0"/>
                      <w:szCs w:val="21"/>
                    </w:rPr>
                    <w:t>0.1</w:t>
                  </w:r>
                  <w:r>
                    <w:rPr>
                      <w:rFonts w:hint="default"/>
                      <w:bCs/>
                      <w:color w:val="auto"/>
                      <w:kern w:val="0"/>
                      <w:szCs w:val="21"/>
                    </w:rPr>
                    <w:t>（事故状态）</w:t>
                  </w:r>
                </w:p>
              </w:tc>
              <w:tc>
                <w:tcPr>
                  <w:tcW w:w="533" w:type="pct"/>
                  <w:noWrap w:val="0"/>
                  <w:vAlign w:val="center"/>
                </w:tcPr>
                <w:p w14:paraId="1C9B3A8F">
                  <w:pPr>
                    <w:keepNext w:val="0"/>
                    <w:keepLines w:val="0"/>
                    <w:suppressLineNumbers w:val="0"/>
                    <w:spacing w:before="0" w:beforeAutospacing="0" w:after="0" w:afterAutospacing="0"/>
                    <w:ind w:left="0" w:right="0"/>
                    <w:jc w:val="center"/>
                    <w:textAlignment w:val="baseline"/>
                    <w:rPr>
                      <w:rFonts w:hint="default"/>
                      <w:bCs/>
                      <w:color w:val="auto"/>
                      <w:kern w:val="0"/>
                      <w:szCs w:val="21"/>
                    </w:rPr>
                  </w:pPr>
                  <w:r>
                    <w:rPr>
                      <w:rFonts w:hint="default"/>
                      <w:bCs/>
                      <w:color w:val="auto"/>
                      <w:kern w:val="0"/>
                      <w:szCs w:val="21"/>
                    </w:rPr>
                    <w:t>钻井</w:t>
                  </w:r>
                </w:p>
              </w:tc>
              <w:tc>
                <w:tcPr>
                  <w:tcW w:w="393" w:type="pct"/>
                  <w:noWrap w:val="0"/>
                  <w:vAlign w:val="center"/>
                </w:tcPr>
                <w:p w14:paraId="5B74F4CC">
                  <w:pPr>
                    <w:keepNext w:val="0"/>
                    <w:keepLines w:val="0"/>
                    <w:suppressLineNumbers w:val="0"/>
                    <w:spacing w:before="0" w:beforeAutospacing="0" w:after="0" w:afterAutospacing="0"/>
                    <w:ind w:left="0" w:right="0"/>
                    <w:jc w:val="center"/>
                    <w:textAlignment w:val="baseline"/>
                    <w:rPr>
                      <w:rFonts w:hint="default"/>
                      <w:bCs/>
                      <w:color w:val="auto"/>
                      <w:kern w:val="0"/>
                      <w:szCs w:val="21"/>
                    </w:rPr>
                  </w:pPr>
                  <w:r>
                    <w:rPr>
                      <w:rFonts w:hint="default"/>
                      <w:bCs/>
                      <w:color w:val="auto"/>
                      <w:kern w:val="0"/>
                      <w:szCs w:val="21"/>
                    </w:rPr>
                    <w:t>液态</w:t>
                  </w:r>
                </w:p>
              </w:tc>
              <w:tc>
                <w:tcPr>
                  <w:tcW w:w="323" w:type="pct"/>
                  <w:noWrap w:val="0"/>
                  <w:vAlign w:val="center"/>
                </w:tcPr>
                <w:p w14:paraId="4821F050">
                  <w:pPr>
                    <w:keepNext w:val="0"/>
                    <w:keepLines w:val="0"/>
                    <w:suppressLineNumbers w:val="0"/>
                    <w:spacing w:before="0" w:beforeAutospacing="0" w:after="0" w:afterAutospacing="0"/>
                    <w:ind w:left="0" w:right="0"/>
                    <w:jc w:val="center"/>
                    <w:textAlignment w:val="baseline"/>
                    <w:rPr>
                      <w:rFonts w:hint="default"/>
                      <w:bCs/>
                      <w:color w:val="auto"/>
                      <w:kern w:val="0"/>
                      <w:szCs w:val="21"/>
                    </w:rPr>
                  </w:pPr>
                  <w:r>
                    <w:rPr>
                      <w:rFonts w:hint="default"/>
                      <w:bCs/>
                      <w:color w:val="auto"/>
                      <w:kern w:val="0"/>
                      <w:szCs w:val="21"/>
                    </w:rPr>
                    <w:t>油</w:t>
                  </w:r>
                </w:p>
              </w:tc>
              <w:tc>
                <w:tcPr>
                  <w:tcW w:w="411" w:type="pct"/>
                  <w:noWrap w:val="0"/>
                  <w:vAlign w:val="center"/>
                </w:tcPr>
                <w:p w14:paraId="1A2415EC">
                  <w:pPr>
                    <w:keepNext w:val="0"/>
                    <w:keepLines w:val="0"/>
                    <w:suppressLineNumbers w:val="0"/>
                    <w:spacing w:before="0" w:beforeAutospacing="0" w:after="0" w:afterAutospacing="0"/>
                    <w:ind w:left="0" w:right="0"/>
                    <w:jc w:val="center"/>
                    <w:textAlignment w:val="baseline"/>
                    <w:rPr>
                      <w:rFonts w:hint="default"/>
                      <w:bCs/>
                      <w:color w:val="auto"/>
                      <w:kern w:val="0"/>
                      <w:szCs w:val="21"/>
                    </w:rPr>
                  </w:pPr>
                  <w:r>
                    <w:rPr>
                      <w:rFonts w:hint="eastAsia"/>
                      <w:bCs/>
                      <w:color w:val="auto"/>
                      <w:kern w:val="0"/>
                      <w:szCs w:val="21"/>
                    </w:rPr>
                    <w:t>勘探</w:t>
                  </w:r>
                  <w:r>
                    <w:rPr>
                      <w:rFonts w:hint="default"/>
                      <w:bCs/>
                      <w:color w:val="auto"/>
                      <w:kern w:val="0"/>
                      <w:szCs w:val="21"/>
                    </w:rPr>
                    <w:t>期</w:t>
                  </w:r>
                </w:p>
              </w:tc>
              <w:tc>
                <w:tcPr>
                  <w:tcW w:w="432" w:type="pct"/>
                  <w:noWrap w:val="0"/>
                  <w:vAlign w:val="center"/>
                </w:tcPr>
                <w:p w14:paraId="6EB8EEB1">
                  <w:pPr>
                    <w:keepNext w:val="0"/>
                    <w:keepLines w:val="0"/>
                    <w:suppressLineNumbers w:val="0"/>
                    <w:spacing w:before="0" w:beforeAutospacing="0" w:after="0" w:afterAutospacing="0"/>
                    <w:ind w:left="0" w:right="0"/>
                    <w:jc w:val="center"/>
                    <w:textAlignment w:val="baseline"/>
                    <w:rPr>
                      <w:rFonts w:hint="default"/>
                      <w:bCs/>
                      <w:color w:val="auto"/>
                      <w:kern w:val="0"/>
                      <w:szCs w:val="21"/>
                    </w:rPr>
                  </w:pPr>
                  <w:r>
                    <w:rPr>
                      <w:rFonts w:hint="default"/>
                      <w:bCs/>
                      <w:color w:val="auto"/>
                      <w:kern w:val="0"/>
                      <w:szCs w:val="21"/>
                    </w:rPr>
                    <w:t>T</w:t>
                  </w:r>
                  <w:r>
                    <w:rPr>
                      <w:rFonts w:hint="eastAsia"/>
                      <w:bCs/>
                      <w:color w:val="auto"/>
                      <w:kern w:val="0"/>
                      <w:szCs w:val="21"/>
                      <w:highlight w:val="none"/>
                    </w:rPr>
                    <w:t>，</w:t>
                  </w:r>
                  <w:r>
                    <w:rPr>
                      <w:rFonts w:hint="default"/>
                      <w:bCs/>
                      <w:color w:val="auto"/>
                      <w:kern w:val="0"/>
                      <w:szCs w:val="21"/>
                    </w:rPr>
                    <w:t>I</w:t>
                  </w:r>
                </w:p>
              </w:tc>
              <w:tc>
                <w:tcPr>
                  <w:tcW w:w="532" w:type="pct"/>
                  <w:noWrap w:val="0"/>
                  <w:vAlign w:val="center"/>
                </w:tcPr>
                <w:p w14:paraId="6A0BCDF7">
                  <w:pPr>
                    <w:keepNext w:val="0"/>
                    <w:keepLines w:val="0"/>
                    <w:suppressLineNumbers w:val="0"/>
                    <w:spacing w:before="0" w:beforeAutospacing="0" w:after="0" w:afterAutospacing="0"/>
                    <w:ind w:left="0" w:right="0"/>
                    <w:jc w:val="center"/>
                    <w:textAlignment w:val="baseline"/>
                    <w:rPr>
                      <w:rFonts w:hint="default"/>
                      <w:bCs/>
                      <w:color w:val="auto"/>
                      <w:kern w:val="0"/>
                      <w:szCs w:val="21"/>
                    </w:rPr>
                  </w:pPr>
                  <w:r>
                    <w:rPr>
                      <w:rFonts w:hint="default"/>
                      <w:bCs/>
                      <w:color w:val="auto"/>
                      <w:kern w:val="0"/>
                      <w:szCs w:val="21"/>
                    </w:rPr>
                    <w:t>暂存于污油罐，定期交由有资质单位处置</w:t>
                  </w:r>
                </w:p>
              </w:tc>
            </w:tr>
          </w:tbl>
          <w:p w14:paraId="401C9505">
            <w:pPr>
              <w:keepNext w:val="0"/>
              <w:keepLines w:val="0"/>
              <w:suppressLineNumbers w:val="0"/>
              <w:autoSpaceDE w:val="0"/>
              <w:autoSpaceDN w:val="0"/>
              <w:adjustRightInd w:val="0"/>
              <w:spacing w:before="0" w:beforeAutospacing="0" w:after="0" w:afterAutospacing="0"/>
              <w:ind w:left="0" w:right="0" w:firstLine="482" w:firstLineChars="200"/>
              <w:jc w:val="center"/>
              <w:rPr>
                <w:rFonts w:hint="default"/>
                <w:b/>
                <w:color w:val="auto"/>
                <w:kern w:val="0"/>
                <w:sz w:val="24"/>
              </w:rPr>
            </w:pPr>
            <w:r>
              <w:rPr>
                <w:rFonts w:hint="default"/>
                <w:b/>
                <w:color w:val="auto"/>
                <w:kern w:val="0"/>
                <w:sz w:val="24"/>
              </w:rPr>
              <w:t>表</w:t>
            </w:r>
            <w:r>
              <w:rPr>
                <w:rFonts w:hint="eastAsia"/>
                <w:b/>
                <w:color w:val="auto"/>
                <w:kern w:val="0"/>
                <w:sz w:val="24"/>
              </w:rPr>
              <w:t>5</w:t>
            </w:r>
            <w:r>
              <w:rPr>
                <w:rFonts w:hint="default"/>
                <w:b/>
                <w:color w:val="auto"/>
                <w:kern w:val="0"/>
                <w:sz w:val="24"/>
              </w:rPr>
              <w:t>-</w:t>
            </w:r>
            <w:r>
              <w:rPr>
                <w:rFonts w:hint="eastAsia"/>
                <w:b/>
                <w:color w:val="auto"/>
                <w:kern w:val="0"/>
                <w:sz w:val="24"/>
              </w:rPr>
              <w:t xml:space="preserve">4 </w:t>
            </w:r>
            <w:r>
              <w:rPr>
                <w:rFonts w:hint="default"/>
                <w:b/>
                <w:color w:val="auto"/>
                <w:kern w:val="0"/>
                <w:sz w:val="24"/>
              </w:rPr>
              <w:t>建设项目危险废物贮存场所（设施）基本情况</w:t>
            </w:r>
          </w:p>
          <w:tbl>
            <w:tblPr>
              <w:tblStyle w:val="30"/>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453"/>
              <w:gridCol w:w="888"/>
              <w:gridCol w:w="842"/>
              <w:gridCol w:w="879"/>
              <w:gridCol w:w="1268"/>
              <w:gridCol w:w="915"/>
              <w:gridCol w:w="700"/>
              <w:gridCol w:w="734"/>
              <w:gridCol w:w="737"/>
              <w:gridCol w:w="788"/>
            </w:tblGrid>
            <w:tr w14:paraId="5EC3705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808" w:hRule="atLeast"/>
              </w:trPr>
              <w:tc>
                <w:tcPr>
                  <w:tcW w:w="276" w:type="pct"/>
                  <w:noWrap w:val="0"/>
                  <w:tcMar>
                    <w:left w:w="0" w:type="dxa"/>
                    <w:right w:w="0" w:type="dxa"/>
                  </w:tcMar>
                  <w:vAlign w:val="center"/>
                </w:tcPr>
                <w:p w14:paraId="01B482E4">
                  <w:pPr>
                    <w:keepNext w:val="0"/>
                    <w:keepLines w:val="0"/>
                    <w:suppressLineNumbers w:val="0"/>
                    <w:adjustRightInd w:val="0"/>
                    <w:spacing w:before="0" w:beforeAutospacing="0" w:after="0" w:afterAutospacing="0"/>
                    <w:ind w:left="0" w:right="0"/>
                    <w:jc w:val="center"/>
                    <w:textAlignment w:val="baseline"/>
                    <w:rPr>
                      <w:rFonts w:hint="default" w:hAnsi="宋体"/>
                      <w:bCs/>
                      <w:color w:val="auto"/>
                      <w:kern w:val="0"/>
                    </w:rPr>
                  </w:pPr>
                  <w:r>
                    <w:rPr>
                      <w:rFonts w:hint="eastAsia" w:hAnsi="宋体"/>
                      <w:bCs/>
                      <w:color w:val="auto"/>
                      <w:kern w:val="0"/>
                    </w:rPr>
                    <w:t>序号</w:t>
                  </w:r>
                </w:p>
              </w:tc>
              <w:tc>
                <w:tcPr>
                  <w:tcW w:w="541" w:type="pct"/>
                  <w:noWrap w:val="0"/>
                  <w:tcMar>
                    <w:left w:w="0" w:type="dxa"/>
                    <w:right w:w="0" w:type="dxa"/>
                  </w:tcMar>
                  <w:vAlign w:val="center"/>
                </w:tcPr>
                <w:p w14:paraId="45C22DDC">
                  <w:pPr>
                    <w:keepNext w:val="0"/>
                    <w:keepLines w:val="0"/>
                    <w:suppressLineNumbers w:val="0"/>
                    <w:adjustRightInd w:val="0"/>
                    <w:spacing w:before="0" w:beforeAutospacing="0" w:after="0" w:afterAutospacing="0"/>
                    <w:ind w:left="0" w:right="0"/>
                    <w:jc w:val="center"/>
                    <w:textAlignment w:val="baseline"/>
                    <w:rPr>
                      <w:rFonts w:hint="default" w:hAnsi="宋体"/>
                      <w:bCs/>
                      <w:color w:val="auto"/>
                      <w:kern w:val="0"/>
                    </w:rPr>
                  </w:pPr>
                  <w:r>
                    <w:rPr>
                      <w:rFonts w:hint="eastAsia" w:hAnsi="宋体"/>
                      <w:bCs/>
                      <w:color w:val="auto"/>
                      <w:kern w:val="0"/>
                    </w:rPr>
                    <w:t>贮存场所名称</w:t>
                  </w:r>
                </w:p>
              </w:tc>
              <w:tc>
                <w:tcPr>
                  <w:tcW w:w="513" w:type="pct"/>
                  <w:noWrap w:val="0"/>
                  <w:tcMar>
                    <w:left w:w="0" w:type="dxa"/>
                    <w:right w:w="0" w:type="dxa"/>
                  </w:tcMar>
                  <w:vAlign w:val="center"/>
                </w:tcPr>
                <w:p w14:paraId="7F627FB4">
                  <w:pPr>
                    <w:keepNext w:val="0"/>
                    <w:keepLines w:val="0"/>
                    <w:suppressLineNumbers w:val="0"/>
                    <w:adjustRightInd w:val="0"/>
                    <w:spacing w:before="0" w:beforeAutospacing="0" w:after="0" w:afterAutospacing="0"/>
                    <w:ind w:left="0" w:right="0"/>
                    <w:jc w:val="center"/>
                    <w:textAlignment w:val="baseline"/>
                    <w:rPr>
                      <w:rFonts w:hint="default" w:hAnsi="宋体"/>
                      <w:bCs/>
                      <w:color w:val="auto"/>
                      <w:kern w:val="0"/>
                    </w:rPr>
                  </w:pPr>
                  <w:r>
                    <w:rPr>
                      <w:rFonts w:hint="eastAsia" w:hAnsi="宋体"/>
                      <w:bCs/>
                      <w:color w:val="auto"/>
                      <w:kern w:val="0"/>
                    </w:rPr>
                    <w:t>危险废物名称</w:t>
                  </w:r>
                </w:p>
              </w:tc>
              <w:tc>
                <w:tcPr>
                  <w:tcW w:w="535" w:type="pct"/>
                  <w:noWrap w:val="0"/>
                  <w:tcMar>
                    <w:left w:w="0" w:type="dxa"/>
                    <w:right w:w="0" w:type="dxa"/>
                  </w:tcMar>
                  <w:vAlign w:val="center"/>
                </w:tcPr>
                <w:p w14:paraId="10E927B8">
                  <w:pPr>
                    <w:keepNext w:val="0"/>
                    <w:keepLines w:val="0"/>
                    <w:suppressLineNumbers w:val="0"/>
                    <w:adjustRightInd w:val="0"/>
                    <w:spacing w:before="0" w:beforeAutospacing="0" w:after="0" w:afterAutospacing="0"/>
                    <w:ind w:left="0" w:right="0"/>
                    <w:jc w:val="center"/>
                    <w:textAlignment w:val="baseline"/>
                    <w:rPr>
                      <w:rFonts w:hint="default" w:hAnsi="宋体"/>
                      <w:bCs/>
                      <w:color w:val="auto"/>
                      <w:kern w:val="0"/>
                    </w:rPr>
                  </w:pPr>
                  <w:r>
                    <w:rPr>
                      <w:rFonts w:hint="eastAsia" w:hAnsi="宋体"/>
                      <w:bCs/>
                      <w:color w:val="auto"/>
                      <w:kern w:val="0"/>
                    </w:rPr>
                    <w:t>危险废物类别</w:t>
                  </w:r>
                </w:p>
              </w:tc>
              <w:tc>
                <w:tcPr>
                  <w:tcW w:w="772" w:type="pct"/>
                  <w:noWrap w:val="0"/>
                  <w:tcMar>
                    <w:left w:w="0" w:type="dxa"/>
                    <w:right w:w="0" w:type="dxa"/>
                  </w:tcMar>
                  <w:vAlign w:val="center"/>
                </w:tcPr>
                <w:p w14:paraId="292670B3">
                  <w:pPr>
                    <w:keepNext w:val="0"/>
                    <w:keepLines w:val="0"/>
                    <w:suppressLineNumbers w:val="0"/>
                    <w:adjustRightInd w:val="0"/>
                    <w:spacing w:before="0" w:beforeAutospacing="0" w:after="0" w:afterAutospacing="0"/>
                    <w:ind w:left="0" w:right="0"/>
                    <w:jc w:val="center"/>
                    <w:textAlignment w:val="baseline"/>
                    <w:rPr>
                      <w:rFonts w:hint="default" w:hAnsi="宋体"/>
                      <w:bCs/>
                      <w:color w:val="auto"/>
                      <w:kern w:val="0"/>
                    </w:rPr>
                  </w:pPr>
                  <w:r>
                    <w:rPr>
                      <w:rFonts w:hint="eastAsia" w:hAnsi="宋体"/>
                      <w:bCs/>
                      <w:color w:val="auto"/>
                      <w:kern w:val="0"/>
                    </w:rPr>
                    <w:t>危险废物代码</w:t>
                  </w:r>
                </w:p>
              </w:tc>
              <w:tc>
                <w:tcPr>
                  <w:tcW w:w="557" w:type="pct"/>
                  <w:noWrap w:val="0"/>
                  <w:tcMar>
                    <w:left w:w="0" w:type="dxa"/>
                    <w:right w:w="0" w:type="dxa"/>
                  </w:tcMar>
                  <w:vAlign w:val="center"/>
                </w:tcPr>
                <w:p w14:paraId="48AE3E55">
                  <w:pPr>
                    <w:keepNext w:val="0"/>
                    <w:keepLines w:val="0"/>
                    <w:suppressLineNumbers w:val="0"/>
                    <w:adjustRightInd w:val="0"/>
                    <w:spacing w:before="0" w:beforeAutospacing="0" w:after="0" w:afterAutospacing="0"/>
                    <w:ind w:left="0" w:right="0"/>
                    <w:jc w:val="center"/>
                    <w:textAlignment w:val="baseline"/>
                    <w:rPr>
                      <w:rFonts w:hint="default" w:hAnsi="宋体"/>
                      <w:bCs/>
                      <w:color w:val="auto"/>
                      <w:kern w:val="0"/>
                    </w:rPr>
                  </w:pPr>
                  <w:r>
                    <w:rPr>
                      <w:rFonts w:hint="eastAsia" w:hAnsi="宋体"/>
                      <w:bCs/>
                      <w:color w:val="auto"/>
                      <w:kern w:val="0"/>
                    </w:rPr>
                    <w:t>位置</w:t>
                  </w:r>
                </w:p>
              </w:tc>
              <w:tc>
                <w:tcPr>
                  <w:tcW w:w="426" w:type="pct"/>
                  <w:noWrap w:val="0"/>
                  <w:tcMar>
                    <w:left w:w="0" w:type="dxa"/>
                    <w:right w:w="0" w:type="dxa"/>
                  </w:tcMar>
                  <w:vAlign w:val="center"/>
                </w:tcPr>
                <w:p w14:paraId="1DF51596">
                  <w:pPr>
                    <w:keepNext w:val="0"/>
                    <w:keepLines w:val="0"/>
                    <w:suppressLineNumbers w:val="0"/>
                    <w:adjustRightInd w:val="0"/>
                    <w:spacing w:before="0" w:beforeAutospacing="0" w:after="0" w:afterAutospacing="0"/>
                    <w:ind w:left="0" w:right="0"/>
                    <w:jc w:val="center"/>
                    <w:textAlignment w:val="baseline"/>
                    <w:rPr>
                      <w:rFonts w:hint="default" w:hAnsi="宋体"/>
                      <w:bCs/>
                      <w:color w:val="auto"/>
                      <w:kern w:val="0"/>
                    </w:rPr>
                  </w:pPr>
                  <w:r>
                    <w:rPr>
                      <w:rFonts w:hint="eastAsia" w:hAnsi="宋体"/>
                      <w:bCs/>
                      <w:color w:val="auto"/>
                      <w:kern w:val="0"/>
                    </w:rPr>
                    <w:t>占地面积</w:t>
                  </w:r>
                </w:p>
              </w:tc>
              <w:tc>
                <w:tcPr>
                  <w:tcW w:w="447" w:type="pct"/>
                  <w:noWrap w:val="0"/>
                  <w:tcMar>
                    <w:left w:w="0" w:type="dxa"/>
                    <w:right w:w="0" w:type="dxa"/>
                  </w:tcMar>
                  <w:vAlign w:val="center"/>
                </w:tcPr>
                <w:p w14:paraId="77FDE0B2">
                  <w:pPr>
                    <w:keepNext w:val="0"/>
                    <w:keepLines w:val="0"/>
                    <w:suppressLineNumbers w:val="0"/>
                    <w:adjustRightInd w:val="0"/>
                    <w:spacing w:before="0" w:beforeAutospacing="0" w:after="0" w:afterAutospacing="0"/>
                    <w:ind w:left="0" w:right="0"/>
                    <w:jc w:val="center"/>
                    <w:textAlignment w:val="baseline"/>
                    <w:rPr>
                      <w:rFonts w:hint="default" w:hAnsi="宋体"/>
                      <w:bCs/>
                      <w:color w:val="auto"/>
                      <w:kern w:val="0"/>
                    </w:rPr>
                  </w:pPr>
                  <w:r>
                    <w:rPr>
                      <w:rFonts w:hint="eastAsia" w:hAnsi="宋体"/>
                      <w:bCs/>
                      <w:color w:val="auto"/>
                      <w:kern w:val="0"/>
                    </w:rPr>
                    <w:t>贮存方式</w:t>
                  </w:r>
                </w:p>
              </w:tc>
              <w:tc>
                <w:tcPr>
                  <w:tcW w:w="449" w:type="pct"/>
                  <w:noWrap w:val="0"/>
                  <w:tcMar>
                    <w:left w:w="0" w:type="dxa"/>
                    <w:right w:w="0" w:type="dxa"/>
                  </w:tcMar>
                  <w:vAlign w:val="center"/>
                </w:tcPr>
                <w:p w14:paraId="1C344BBB">
                  <w:pPr>
                    <w:keepNext w:val="0"/>
                    <w:keepLines w:val="0"/>
                    <w:suppressLineNumbers w:val="0"/>
                    <w:adjustRightInd w:val="0"/>
                    <w:spacing w:before="0" w:beforeAutospacing="0" w:after="0" w:afterAutospacing="0"/>
                    <w:ind w:left="0" w:right="0"/>
                    <w:jc w:val="center"/>
                    <w:textAlignment w:val="baseline"/>
                    <w:rPr>
                      <w:rFonts w:hint="default" w:hAnsi="宋体"/>
                      <w:bCs/>
                      <w:color w:val="auto"/>
                      <w:kern w:val="0"/>
                    </w:rPr>
                  </w:pPr>
                  <w:r>
                    <w:rPr>
                      <w:rFonts w:hint="eastAsia" w:hAnsi="宋体"/>
                      <w:bCs/>
                      <w:color w:val="auto"/>
                      <w:kern w:val="0"/>
                    </w:rPr>
                    <w:t>贮存能力</w:t>
                  </w:r>
                </w:p>
              </w:tc>
              <w:tc>
                <w:tcPr>
                  <w:tcW w:w="480" w:type="pct"/>
                  <w:noWrap w:val="0"/>
                  <w:tcMar>
                    <w:left w:w="0" w:type="dxa"/>
                    <w:right w:w="0" w:type="dxa"/>
                  </w:tcMar>
                  <w:vAlign w:val="center"/>
                </w:tcPr>
                <w:p w14:paraId="226721FF">
                  <w:pPr>
                    <w:keepNext w:val="0"/>
                    <w:keepLines w:val="0"/>
                    <w:suppressLineNumbers w:val="0"/>
                    <w:adjustRightInd w:val="0"/>
                    <w:spacing w:before="0" w:beforeAutospacing="0" w:after="0" w:afterAutospacing="0"/>
                    <w:ind w:left="0" w:right="0"/>
                    <w:jc w:val="center"/>
                    <w:textAlignment w:val="baseline"/>
                    <w:rPr>
                      <w:rFonts w:hint="default" w:hAnsi="宋体"/>
                      <w:bCs/>
                      <w:color w:val="auto"/>
                      <w:kern w:val="0"/>
                    </w:rPr>
                  </w:pPr>
                  <w:r>
                    <w:rPr>
                      <w:rFonts w:hint="eastAsia" w:hAnsi="宋体"/>
                      <w:bCs/>
                      <w:color w:val="auto"/>
                      <w:kern w:val="0"/>
                    </w:rPr>
                    <w:t>贮存周期</w:t>
                  </w:r>
                </w:p>
              </w:tc>
            </w:tr>
            <w:tr w14:paraId="23E831D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276" w:type="pct"/>
                  <w:noWrap w:val="0"/>
                  <w:vAlign w:val="center"/>
                </w:tcPr>
                <w:p w14:paraId="386A8ED2">
                  <w:pPr>
                    <w:keepNext w:val="0"/>
                    <w:keepLines w:val="0"/>
                    <w:suppressLineNumbers w:val="0"/>
                    <w:adjustRightInd w:val="0"/>
                    <w:spacing w:before="0" w:beforeAutospacing="0" w:after="0" w:afterAutospacing="0"/>
                    <w:ind w:left="0" w:right="0"/>
                    <w:jc w:val="center"/>
                    <w:textAlignment w:val="baseline"/>
                    <w:rPr>
                      <w:rFonts w:hint="default"/>
                      <w:bCs/>
                      <w:color w:val="auto"/>
                      <w:kern w:val="0"/>
                    </w:rPr>
                  </w:pPr>
                  <w:r>
                    <w:rPr>
                      <w:rFonts w:hint="eastAsia"/>
                      <w:bCs/>
                      <w:color w:val="auto"/>
                      <w:kern w:val="0"/>
                    </w:rPr>
                    <w:t>1</w:t>
                  </w:r>
                </w:p>
              </w:tc>
              <w:tc>
                <w:tcPr>
                  <w:tcW w:w="541" w:type="pct"/>
                  <w:vMerge w:val="restart"/>
                  <w:noWrap w:val="0"/>
                  <w:tcMar>
                    <w:left w:w="0" w:type="dxa"/>
                    <w:right w:w="0" w:type="dxa"/>
                  </w:tcMar>
                  <w:vAlign w:val="center"/>
                </w:tcPr>
                <w:p w14:paraId="713806EB">
                  <w:pPr>
                    <w:keepNext w:val="0"/>
                    <w:keepLines w:val="0"/>
                    <w:suppressLineNumbers w:val="0"/>
                    <w:spacing w:before="0" w:beforeAutospacing="0" w:after="0" w:afterAutospacing="0"/>
                    <w:ind w:left="0" w:right="0"/>
                    <w:jc w:val="center"/>
                    <w:textAlignment w:val="baseline"/>
                    <w:rPr>
                      <w:rFonts w:hint="eastAsia" w:eastAsia="宋体"/>
                      <w:bCs/>
                      <w:color w:val="auto"/>
                      <w:kern w:val="0"/>
                      <w:lang w:eastAsia="zh-CN"/>
                    </w:rPr>
                  </w:pPr>
                  <w:r>
                    <w:rPr>
                      <w:rFonts w:hint="eastAsia"/>
                      <w:bCs/>
                      <w:color w:val="auto"/>
                      <w:kern w:val="0"/>
                      <w:lang w:eastAsia="zh-CN"/>
                    </w:rPr>
                    <w:t>危废贮存点</w:t>
                  </w:r>
                </w:p>
              </w:tc>
              <w:tc>
                <w:tcPr>
                  <w:tcW w:w="513" w:type="pct"/>
                  <w:noWrap w:val="0"/>
                  <w:tcMar>
                    <w:left w:w="0" w:type="dxa"/>
                    <w:right w:w="0" w:type="dxa"/>
                  </w:tcMar>
                  <w:vAlign w:val="center"/>
                </w:tcPr>
                <w:p w14:paraId="651C4E2D">
                  <w:pPr>
                    <w:keepNext w:val="0"/>
                    <w:keepLines w:val="0"/>
                    <w:suppressLineNumbers w:val="0"/>
                    <w:spacing w:before="0" w:beforeAutospacing="0" w:after="0" w:afterAutospacing="0"/>
                    <w:ind w:left="0" w:right="0"/>
                    <w:jc w:val="center"/>
                    <w:textAlignment w:val="baseline"/>
                    <w:rPr>
                      <w:rFonts w:hint="default"/>
                      <w:bCs/>
                      <w:color w:val="auto"/>
                      <w:kern w:val="0"/>
                    </w:rPr>
                  </w:pPr>
                  <w:r>
                    <w:rPr>
                      <w:rFonts w:hint="default"/>
                      <w:bCs/>
                      <w:color w:val="auto"/>
                      <w:kern w:val="0"/>
                    </w:rPr>
                    <w:t>废机油</w:t>
                  </w:r>
                </w:p>
              </w:tc>
              <w:tc>
                <w:tcPr>
                  <w:tcW w:w="535" w:type="pct"/>
                  <w:noWrap w:val="0"/>
                  <w:vAlign w:val="center"/>
                </w:tcPr>
                <w:p w14:paraId="4444FD4D">
                  <w:pPr>
                    <w:keepNext w:val="0"/>
                    <w:keepLines w:val="0"/>
                    <w:suppressLineNumbers w:val="0"/>
                    <w:spacing w:before="0" w:beforeAutospacing="0" w:after="0" w:afterAutospacing="0"/>
                    <w:ind w:left="0" w:right="0"/>
                    <w:jc w:val="center"/>
                    <w:textAlignment w:val="baseline"/>
                    <w:rPr>
                      <w:rFonts w:hint="default"/>
                      <w:bCs/>
                      <w:color w:val="auto"/>
                      <w:kern w:val="0"/>
                    </w:rPr>
                  </w:pPr>
                  <w:r>
                    <w:rPr>
                      <w:rFonts w:hint="default"/>
                      <w:bCs/>
                      <w:color w:val="auto"/>
                      <w:kern w:val="0"/>
                      <w:szCs w:val="21"/>
                    </w:rPr>
                    <w:t>HW08</w:t>
                  </w:r>
                </w:p>
              </w:tc>
              <w:tc>
                <w:tcPr>
                  <w:tcW w:w="772" w:type="pct"/>
                  <w:noWrap w:val="0"/>
                  <w:vAlign w:val="center"/>
                </w:tcPr>
                <w:p w14:paraId="6AA444A1">
                  <w:pPr>
                    <w:keepNext w:val="0"/>
                    <w:keepLines w:val="0"/>
                    <w:suppressLineNumbers w:val="0"/>
                    <w:spacing w:before="0" w:beforeAutospacing="0" w:after="0" w:afterAutospacing="0"/>
                    <w:ind w:left="0" w:right="0"/>
                    <w:jc w:val="center"/>
                    <w:textAlignment w:val="baseline"/>
                    <w:rPr>
                      <w:rFonts w:hint="default"/>
                      <w:bCs/>
                      <w:color w:val="auto"/>
                      <w:kern w:val="0"/>
                    </w:rPr>
                  </w:pPr>
                  <w:r>
                    <w:rPr>
                      <w:rFonts w:hint="default"/>
                      <w:color w:val="auto"/>
                      <w:szCs w:val="21"/>
                    </w:rPr>
                    <w:t>900-214-08</w:t>
                  </w:r>
                </w:p>
              </w:tc>
              <w:tc>
                <w:tcPr>
                  <w:tcW w:w="557" w:type="pct"/>
                  <w:vMerge w:val="restart"/>
                  <w:noWrap w:val="0"/>
                  <w:vAlign w:val="center"/>
                </w:tcPr>
                <w:p w14:paraId="04473A25">
                  <w:pPr>
                    <w:keepNext w:val="0"/>
                    <w:keepLines w:val="0"/>
                    <w:suppressLineNumbers w:val="0"/>
                    <w:adjustRightInd w:val="0"/>
                    <w:spacing w:before="0" w:beforeAutospacing="0" w:after="0" w:afterAutospacing="0"/>
                    <w:ind w:left="0" w:right="0"/>
                    <w:jc w:val="center"/>
                    <w:textAlignment w:val="baseline"/>
                    <w:rPr>
                      <w:rFonts w:hint="default"/>
                      <w:bCs/>
                      <w:color w:val="auto"/>
                      <w:kern w:val="0"/>
                    </w:rPr>
                  </w:pPr>
                  <w:r>
                    <w:rPr>
                      <w:rFonts w:hint="default"/>
                      <w:bCs/>
                      <w:color w:val="auto"/>
                      <w:kern w:val="0"/>
                    </w:rPr>
                    <w:t>井场西北部</w:t>
                  </w:r>
                </w:p>
              </w:tc>
              <w:tc>
                <w:tcPr>
                  <w:tcW w:w="426" w:type="pct"/>
                  <w:vMerge w:val="restart"/>
                  <w:noWrap w:val="0"/>
                  <w:vAlign w:val="center"/>
                </w:tcPr>
                <w:p w14:paraId="1FCE7B00">
                  <w:pPr>
                    <w:keepNext w:val="0"/>
                    <w:keepLines w:val="0"/>
                    <w:suppressLineNumbers w:val="0"/>
                    <w:adjustRightInd w:val="0"/>
                    <w:spacing w:before="0" w:beforeAutospacing="0" w:after="0" w:afterAutospacing="0"/>
                    <w:ind w:left="0" w:right="0"/>
                    <w:jc w:val="center"/>
                    <w:textAlignment w:val="baseline"/>
                    <w:rPr>
                      <w:rFonts w:hint="default"/>
                      <w:bCs/>
                      <w:color w:val="auto"/>
                      <w:kern w:val="0"/>
                    </w:rPr>
                  </w:pPr>
                  <w:r>
                    <w:rPr>
                      <w:rFonts w:hint="default"/>
                      <w:bCs/>
                      <w:color w:val="auto"/>
                      <w:kern w:val="0"/>
                    </w:rPr>
                    <w:t>10m</w:t>
                  </w:r>
                  <w:r>
                    <w:rPr>
                      <w:rFonts w:hint="default"/>
                      <w:bCs/>
                      <w:color w:val="auto"/>
                      <w:kern w:val="0"/>
                      <w:vertAlign w:val="superscript"/>
                    </w:rPr>
                    <w:t>2</w:t>
                  </w:r>
                </w:p>
              </w:tc>
              <w:tc>
                <w:tcPr>
                  <w:tcW w:w="447" w:type="pct"/>
                  <w:noWrap w:val="0"/>
                  <w:vAlign w:val="center"/>
                </w:tcPr>
                <w:p w14:paraId="02757D92">
                  <w:pPr>
                    <w:keepNext w:val="0"/>
                    <w:keepLines w:val="0"/>
                    <w:suppressLineNumbers w:val="0"/>
                    <w:adjustRightInd w:val="0"/>
                    <w:spacing w:before="0" w:beforeAutospacing="0" w:after="0" w:afterAutospacing="0"/>
                    <w:ind w:left="0" w:right="0"/>
                    <w:jc w:val="center"/>
                    <w:textAlignment w:val="baseline"/>
                    <w:rPr>
                      <w:rFonts w:hint="default"/>
                      <w:bCs/>
                      <w:color w:val="auto"/>
                      <w:kern w:val="0"/>
                    </w:rPr>
                  </w:pPr>
                  <w:r>
                    <w:rPr>
                      <w:rFonts w:hint="default"/>
                      <w:bCs/>
                      <w:color w:val="auto"/>
                      <w:kern w:val="0"/>
                    </w:rPr>
                    <w:t>桶内贮存</w:t>
                  </w:r>
                </w:p>
              </w:tc>
              <w:tc>
                <w:tcPr>
                  <w:tcW w:w="449" w:type="pct"/>
                  <w:noWrap w:val="0"/>
                  <w:vAlign w:val="center"/>
                </w:tcPr>
                <w:p w14:paraId="666A7393">
                  <w:pPr>
                    <w:keepNext w:val="0"/>
                    <w:keepLines w:val="0"/>
                    <w:suppressLineNumbers w:val="0"/>
                    <w:adjustRightInd w:val="0"/>
                    <w:spacing w:before="0" w:beforeAutospacing="0" w:after="0" w:afterAutospacing="0"/>
                    <w:ind w:left="0" w:right="0"/>
                    <w:jc w:val="center"/>
                    <w:textAlignment w:val="baseline"/>
                    <w:rPr>
                      <w:rFonts w:hint="default"/>
                      <w:bCs/>
                      <w:color w:val="auto"/>
                      <w:kern w:val="0"/>
                    </w:rPr>
                  </w:pPr>
                  <w:r>
                    <w:rPr>
                      <w:rFonts w:hint="default"/>
                      <w:bCs/>
                      <w:color w:val="auto"/>
                      <w:kern w:val="0"/>
                    </w:rPr>
                    <w:t>5t</w:t>
                  </w:r>
                </w:p>
              </w:tc>
              <w:tc>
                <w:tcPr>
                  <w:tcW w:w="480" w:type="pct"/>
                  <w:noWrap w:val="0"/>
                  <w:tcMar>
                    <w:left w:w="0" w:type="dxa"/>
                    <w:right w:w="0" w:type="dxa"/>
                  </w:tcMar>
                  <w:vAlign w:val="center"/>
                </w:tcPr>
                <w:p w14:paraId="47173F77">
                  <w:pPr>
                    <w:keepNext w:val="0"/>
                    <w:keepLines w:val="0"/>
                    <w:suppressLineNumbers w:val="0"/>
                    <w:adjustRightInd w:val="0"/>
                    <w:spacing w:before="0" w:beforeAutospacing="0" w:after="0" w:afterAutospacing="0"/>
                    <w:ind w:left="0" w:right="0"/>
                    <w:jc w:val="center"/>
                    <w:textAlignment w:val="baseline"/>
                    <w:rPr>
                      <w:rFonts w:hint="default"/>
                      <w:bCs/>
                      <w:color w:val="auto"/>
                      <w:kern w:val="0"/>
                    </w:rPr>
                  </w:pPr>
                  <w:r>
                    <w:rPr>
                      <w:rFonts w:hint="eastAsia"/>
                      <w:bCs/>
                      <w:color w:val="auto"/>
                      <w:kern w:val="0"/>
                    </w:rPr>
                    <w:t>勘探</w:t>
                  </w:r>
                  <w:r>
                    <w:rPr>
                      <w:rFonts w:hint="default"/>
                      <w:bCs/>
                      <w:color w:val="auto"/>
                      <w:kern w:val="0"/>
                    </w:rPr>
                    <w:t>期</w:t>
                  </w:r>
                </w:p>
              </w:tc>
            </w:tr>
            <w:tr w14:paraId="188D806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56" w:hRule="atLeast"/>
              </w:trPr>
              <w:tc>
                <w:tcPr>
                  <w:tcW w:w="276" w:type="pct"/>
                  <w:noWrap w:val="0"/>
                  <w:vAlign w:val="center"/>
                </w:tcPr>
                <w:p w14:paraId="62239E1A">
                  <w:pPr>
                    <w:keepNext w:val="0"/>
                    <w:keepLines w:val="0"/>
                    <w:suppressLineNumbers w:val="0"/>
                    <w:adjustRightInd w:val="0"/>
                    <w:spacing w:before="0" w:beforeAutospacing="0" w:after="0" w:afterAutospacing="0"/>
                    <w:ind w:left="0" w:right="0"/>
                    <w:jc w:val="center"/>
                    <w:textAlignment w:val="baseline"/>
                    <w:rPr>
                      <w:rFonts w:hint="default"/>
                      <w:bCs/>
                      <w:color w:val="auto"/>
                      <w:kern w:val="0"/>
                    </w:rPr>
                  </w:pPr>
                  <w:r>
                    <w:rPr>
                      <w:rFonts w:hint="eastAsia"/>
                      <w:bCs/>
                      <w:color w:val="auto"/>
                      <w:kern w:val="0"/>
                    </w:rPr>
                    <w:t>2</w:t>
                  </w:r>
                </w:p>
              </w:tc>
              <w:tc>
                <w:tcPr>
                  <w:tcW w:w="541" w:type="pct"/>
                  <w:vMerge w:val="continue"/>
                  <w:noWrap w:val="0"/>
                  <w:tcMar>
                    <w:left w:w="0" w:type="dxa"/>
                    <w:right w:w="0" w:type="dxa"/>
                  </w:tcMar>
                  <w:vAlign w:val="center"/>
                </w:tcPr>
                <w:p w14:paraId="3AAAC7F6">
                  <w:pPr>
                    <w:keepNext w:val="0"/>
                    <w:keepLines w:val="0"/>
                    <w:suppressLineNumbers w:val="0"/>
                    <w:spacing w:before="0" w:beforeAutospacing="0" w:after="0" w:afterAutospacing="0"/>
                    <w:ind w:left="0" w:right="0"/>
                    <w:jc w:val="center"/>
                    <w:textAlignment w:val="baseline"/>
                    <w:rPr>
                      <w:rFonts w:hint="default"/>
                      <w:bCs/>
                      <w:color w:val="auto"/>
                      <w:kern w:val="0"/>
                    </w:rPr>
                  </w:pPr>
                </w:p>
              </w:tc>
              <w:tc>
                <w:tcPr>
                  <w:tcW w:w="513" w:type="pct"/>
                  <w:noWrap w:val="0"/>
                  <w:tcMar>
                    <w:left w:w="0" w:type="dxa"/>
                    <w:right w:w="0" w:type="dxa"/>
                  </w:tcMar>
                  <w:vAlign w:val="center"/>
                </w:tcPr>
                <w:p w14:paraId="6CB88553">
                  <w:pPr>
                    <w:keepNext w:val="0"/>
                    <w:keepLines w:val="0"/>
                    <w:suppressLineNumbers w:val="0"/>
                    <w:spacing w:before="0" w:beforeAutospacing="0" w:after="0" w:afterAutospacing="0"/>
                    <w:ind w:left="0" w:right="0"/>
                    <w:jc w:val="center"/>
                    <w:textAlignment w:val="baseline"/>
                    <w:rPr>
                      <w:rFonts w:hint="default"/>
                      <w:bCs/>
                      <w:color w:val="auto"/>
                      <w:kern w:val="0"/>
                    </w:rPr>
                  </w:pPr>
                  <w:r>
                    <w:rPr>
                      <w:rFonts w:hint="default"/>
                      <w:bCs/>
                      <w:color w:val="auto"/>
                      <w:kern w:val="0"/>
                    </w:rPr>
                    <w:t>落地油</w:t>
                  </w:r>
                </w:p>
              </w:tc>
              <w:tc>
                <w:tcPr>
                  <w:tcW w:w="535" w:type="pct"/>
                  <w:noWrap w:val="0"/>
                  <w:vAlign w:val="center"/>
                </w:tcPr>
                <w:p w14:paraId="2E809B67">
                  <w:pPr>
                    <w:keepNext w:val="0"/>
                    <w:keepLines w:val="0"/>
                    <w:suppressLineNumbers w:val="0"/>
                    <w:spacing w:before="0" w:beforeAutospacing="0" w:after="0" w:afterAutospacing="0"/>
                    <w:ind w:left="0" w:right="0"/>
                    <w:jc w:val="center"/>
                    <w:textAlignment w:val="baseline"/>
                    <w:rPr>
                      <w:rFonts w:hint="default"/>
                      <w:bCs/>
                      <w:color w:val="auto"/>
                      <w:kern w:val="0"/>
                    </w:rPr>
                  </w:pPr>
                  <w:r>
                    <w:rPr>
                      <w:rFonts w:hint="default"/>
                      <w:bCs/>
                      <w:color w:val="auto"/>
                      <w:kern w:val="0"/>
                    </w:rPr>
                    <w:t>HW08</w:t>
                  </w:r>
                </w:p>
              </w:tc>
              <w:tc>
                <w:tcPr>
                  <w:tcW w:w="772" w:type="pct"/>
                  <w:noWrap w:val="0"/>
                  <w:vAlign w:val="center"/>
                </w:tcPr>
                <w:p w14:paraId="38DFB8F9">
                  <w:pPr>
                    <w:keepNext w:val="0"/>
                    <w:keepLines w:val="0"/>
                    <w:suppressLineNumbers w:val="0"/>
                    <w:spacing w:before="0" w:beforeAutospacing="0" w:after="0" w:afterAutospacing="0"/>
                    <w:ind w:left="0" w:right="0"/>
                    <w:jc w:val="center"/>
                    <w:textAlignment w:val="baseline"/>
                    <w:rPr>
                      <w:rFonts w:hint="default"/>
                      <w:bCs/>
                      <w:color w:val="auto"/>
                      <w:kern w:val="0"/>
                    </w:rPr>
                  </w:pPr>
                  <w:r>
                    <w:rPr>
                      <w:rFonts w:hint="default"/>
                      <w:bCs/>
                      <w:color w:val="auto"/>
                      <w:kern w:val="0"/>
                    </w:rPr>
                    <w:t>071-001-08</w:t>
                  </w:r>
                </w:p>
              </w:tc>
              <w:tc>
                <w:tcPr>
                  <w:tcW w:w="557" w:type="pct"/>
                  <w:vMerge w:val="continue"/>
                  <w:noWrap w:val="0"/>
                  <w:vAlign w:val="center"/>
                </w:tcPr>
                <w:p w14:paraId="60E2D7A3">
                  <w:pPr>
                    <w:keepNext w:val="0"/>
                    <w:keepLines w:val="0"/>
                    <w:suppressLineNumbers w:val="0"/>
                    <w:adjustRightInd w:val="0"/>
                    <w:spacing w:before="0" w:beforeAutospacing="0" w:after="0" w:afterAutospacing="0"/>
                    <w:ind w:left="0" w:right="0"/>
                    <w:jc w:val="center"/>
                    <w:textAlignment w:val="baseline"/>
                    <w:rPr>
                      <w:rFonts w:hint="default"/>
                      <w:bCs/>
                      <w:color w:val="auto"/>
                      <w:kern w:val="0"/>
                    </w:rPr>
                  </w:pPr>
                </w:p>
              </w:tc>
              <w:tc>
                <w:tcPr>
                  <w:tcW w:w="426" w:type="pct"/>
                  <w:vMerge w:val="continue"/>
                  <w:noWrap w:val="0"/>
                  <w:vAlign w:val="center"/>
                </w:tcPr>
                <w:p w14:paraId="4BA6FB79">
                  <w:pPr>
                    <w:keepNext w:val="0"/>
                    <w:keepLines w:val="0"/>
                    <w:suppressLineNumbers w:val="0"/>
                    <w:adjustRightInd w:val="0"/>
                    <w:spacing w:before="0" w:beforeAutospacing="0" w:after="0" w:afterAutospacing="0"/>
                    <w:ind w:left="0" w:right="0"/>
                    <w:jc w:val="center"/>
                    <w:textAlignment w:val="baseline"/>
                    <w:rPr>
                      <w:rFonts w:hint="default"/>
                      <w:bCs/>
                      <w:color w:val="auto"/>
                      <w:kern w:val="0"/>
                    </w:rPr>
                  </w:pPr>
                </w:p>
              </w:tc>
              <w:tc>
                <w:tcPr>
                  <w:tcW w:w="447" w:type="pct"/>
                  <w:noWrap w:val="0"/>
                  <w:vAlign w:val="center"/>
                </w:tcPr>
                <w:p w14:paraId="58F3BD75">
                  <w:pPr>
                    <w:keepNext w:val="0"/>
                    <w:keepLines w:val="0"/>
                    <w:suppressLineNumbers w:val="0"/>
                    <w:adjustRightInd w:val="0"/>
                    <w:spacing w:before="0" w:beforeAutospacing="0" w:after="0" w:afterAutospacing="0"/>
                    <w:ind w:left="0" w:right="0"/>
                    <w:jc w:val="center"/>
                    <w:textAlignment w:val="baseline"/>
                    <w:rPr>
                      <w:rFonts w:hint="default"/>
                      <w:bCs/>
                      <w:color w:val="auto"/>
                      <w:kern w:val="0"/>
                    </w:rPr>
                  </w:pPr>
                  <w:r>
                    <w:rPr>
                      <w:rFonts w:hint="default"/>
                      <w:bCs/>
                      <w:color w:val="auto"/>
                      <w:kern w:val="0"/>
                    </w:rPr>
                    <w:t>罐内贮存</w:t>
                  </w:r>
                </w:p>
              </w:tc>
              <w:tc>
                <w:tcPr>
                  <w:tcW w:w="449" w:type="pct"/>
                  <w:noWrap w:val="0"/>
                  <w:vAlign w:val="center"/>
                </w:tcPr>
                <w:p w14:paraId="5D91CC4C">
                  <w:pPr>
                    <w:keepNext w:val="0"/>
                    <w:keepLines w:val="0"/>
                    <w:suppressLineNumbers w:val="0"/>
                    <w:adjustRightInd w:val="0"/>
                    <w:spacing w:before="0" w:beforeAutospacing="0" w:after="0" w:afterAutospacing="0"/>
                    <w:ind w:left="0" w:right="0"/>
                    <w:jc w:val="center"/>
                    <w:textAlignment w:val="baseline"/>
                    <w:rPr>
                      <w:rFonts w:hint="default"/>
                      <w:bCs/>
                      <w:color w:val="auto"/>
                      <w:kern w:val="0"/>
                    </w:rPr>
                  </w:pPr>
                  <w:r>
                    <w:rPr>
                      <w:rFonts w:hint="default"/>
                      <w:bCs/>
                      <w:color w:val="auto"/>
                      <w:kern w:val="0"/>
                    </w:rPr>
                    <w:t>5t</w:t>
                  </w:r>
                </w:p>
              </w:tc>
              <w:tc>
                <w:tcPr>
                  <w:tcW w:w="480" w:type="pct"/>
                  <w:noWrap w:val="0"/>
                  <w:tcMar>
                    <w:left w:w="0" w:type="dxa"/>
                    <w:right w:w="0" w:type="dxa"/>
                  </w:tcMar>
                  <w:vAlign w:val="center"/>
                </w:tcPr>
                <w:p w14:paraId="6E881E42">
                  <w:pPr>
                    <w:keepNext w:val="0"/>
                    <w:keepLines w:val="0"/>
                    <w:suppressLineNumbers w:val="0"/>
                    <w:adjustRightInd w:val="0"/>
                    <w:spacing w:before="0" w:beforeAutospacing="0" w:after="0" w:afterAutospacing="0"/>
                    <w:ind w:left="0" w:right="0"/>
                    <w:jc w:val="center"/>
                    <w:textAlignment w:val="baseline"/>
                    <w:rPr>
                      <w:rFonts w:hint="default"/>
                      <w:bCs/>
                      <w:color w:val="auto"/>
                      <w:kern w:val="0"/>
                    </w:rPr>
                  </w:pPr>
                  <w:r>
                    <w:rPr>
                      <w:rFonts w:hint="eastAsia"/>
                      <w:bCs/>
                      <w:color w:val="auto"/>
                      <w:kern w:val="0"/>
                    </w:rPr>
                    <w:t>勘探</w:t>
                  </w:r>
                  <w:r>
                    <w:rPr>
                      <w:rFonts w:hint="default"/>
                      <w:bCs/>
                      <w:color w:val="auto"/>
                      <w:kern w:val="0"/>
                    </w:rPr>
                    <w:t>期</w:t>
                  </w:r>
                </w:p>
              </w:tc>
            </w:tr>
          </w:tbl>
          <w:p w14:paraId="5A4CB127">
            <w:pPr>
              <w:keepNext w:val="0"/>
              <w:keepLines w:val="0"/>
              <w:suppressLineNumbers w:val="0"/>
              <w:snapToGrid w:val="0"/>
              <w:spacing w:before="0" w:beforeAutospacing="0" w:after="0" w:afterAutospacing="0" w:line="360" w:lineRule="auto"/>
              <w:ind w:left="0" w:right="113" w:firstLine="480" w:firstLineChars="200"/>
              <w:rPr>
                <w:rFonts w:hint="default"/>
                <w:color w:val="auto"/>
                <w:sz w:val="24"/>
              </w:rPr>
            </w:pPr>
            <w:r>
              <w:rPr>
                <w:rFonts w:hint="eastAsia"/>
                <w:color w:val="auto"/>
                <w:sz w:val="24"/>
              </w:rPr>
              <w:t>（1）</w:t>
            </w:r>
            <w:r>
              <w:rPr>
                <w:rFonts w:hint="default"/>
                <w:color w:val="auto"/>
                <w:sz w:val="24"/>
              </w:rPr>
              <w:t>危险废物储存场所（设施）环境影响分析</w:t>
            </w:r>
          </w:p>
          <w:p w14:paraId="6090FDA3">
            <w:pPr>
              <w:keepNext w:val="0"/>
              <w:keepLines w:val="0"/>
              <w:suppressLineNumbers w:val="0"/>
              <w:snapToGrid w:val="0"/>
              <w:spacing w:before="0" w:beforeAutospacing="0" w:after="0" w:afterAutospacing="0" w:line="360" w:lineRule="auto"/>
              <w:ind w:left="0" w:right="113" w:firstLine="480" w:firstLineChars="200"/>
              <w:rPr>
                <w:rFonts w:hint="default"/>
                <w:color w:val="auto"/>
                <w:sz w:val="24"/>
              </w:rPr>
            </w:pPr>
            <w:r>
              <w:rPr>
                <w:rFonts w:hint="eastAsia"/>
                <w:color w:val="auto"/>
                <w:kern w:val="0"/>
                <w:sz w:val="24"/>
                <w:lang w:eastAsia="zh-CN"/>
              </w:rPr>
              <w:t>本工程</w:t>
            </w:r>
            <w:r>
              <w:rPr>
                <w:rFonts w:hint="eastAsia"/>
                <w:color w:val="auto"/>
                <w:sz w:val="24"/>
              </w:rPr>
              <w:t>危废贮存点</w:t>
            </w:r>
            <w:r>
              <w:rPr>
                <w:rFonts w:hint="eastAsia"/>
                <w:color w:val="auto"/>
                <w:sz w:val="24"/>
                <w:lang w:eastAsia="zh-CN"/>
              </w:rPr>
              <w:t>（位于井场西北部，占地10m</w:t>
            </w:r>
            <w:r>
              <w:rPr>
                <w:rFonts w:hint="eastAsia"/>
                <w:color w:val="auto"/>
                <w:sz w:val="24"/>
                <w:vertAlign w:val="superscript"/>
                <w:lang w:eastAsia="zh-CN"/>
              </w:rPr>
              <w:t>2</w:t>
            </w:r>
            <w:r>
              <w:rPr>
                <w:rFonts w:hint="eastAsia"/>
                <w:color w:val="auto"/>
                <w:sz w:val="24"/>
                <w:lang w:eastAsia="zh-CN"/>
              </w:rPr>
              <w:t>）</w:t>
            </w:r>
            <w:r>
              <w:rPr>
                <w:rFonts w:hint="eastAsia"/>
                <w:color w:val="auto"/>
                <w:sz w:val="24"/>
              </w:rPr>
              <w:t>设置临时贮存设施，内部设隔板、托盘和围堰，地面与裙脚采取表面防渗措施，并设置专用容器。</w:t>
            </w:r>
            <w:r>
              <w:rPr>
                <w:rFonts w:hint="default"/>
                <w:color w:val="auto"/>
                <w:sz w:val="24"/>
              </w:rPr>
              <w:t>危险废物</w:t>
            </w:r>
            <w:r>
              <w:rPr>
                <w:rFonts w:hint="eastAsia"/>
                <w:color w:val="auto"/>
                <w:sz w:val="24"/>
              </w:rPr>
              <w:t>贮存点</w:t>
            </w:r>
            <w:r>
              <w:rPr>
                <w:rFonts w:hint="eastAsia"/>
                <w:bCs/>
                <w:color w:val="auto"/>
                <w:kern w:val="0"/>
                <w:sz w:val="24"/>
              </w:rPr>
              <w:t>底部地面利用机械将衬层压实，</w:t>
            </w:r>
            <w:r>
              <w:rPr>
                <w:rFonts w:hint="default"/>
                <w:color w:val="auto"/>
                <w:sz w:val="24"/>
              </w:rPr>
              <w:t>采用复合式的衬层</w:t>
            </w:r>
            <w:r>
              <w:rPr>
                <w:rFonts w:hint="eastAsia"/>
                <w:color w:val="auto"/>
                <w:sz w:val="24"/>
              </w:rPr>
              <w:t>，</w:t>
            </w:r>
            <w:r>
              <w:rPr>
                <w:rFonts w:hint="eastAsia"/>
                <w:bCs/>
                <w:color w:val="auto"/>
                <w:kern w:val="0"/>
                <w:sz w:val="24"/>
              </w:rPr>
              <w:t>设20cm高围堰，围堰内</w:t>
            </w:r>
            <w:r>
              <w:rPr>
                <w:rFonts w:hint="default"/>
                <w:color w:val="auto"/>
                <w:sz w:val="24"/>
              </w:rPr>
              <w:t>利用2mm厚高密度聚乙烯防渗膜双层作为底层，</w:t>
            </w:r>
            <w:r>
              <w:rPr>
                <w:rFonts w:hint="eastAsia"/>
                <w:color w:val="auto"/>
                <w:sz w:val="24"/>
              </w:rPr>
              <w:t>渗透</w:t>
            </w:r>
            <w:r>
              <w:rPr>
                <w:rFonts w:hint="default"/>
                <w:color w:val="auto"/>
                <w:sz w:val="24"/>
              </w:rPr>
              <w:t>系数小于10</w:t>
            </w:r>
            <w:r>
              <w:rPr>
                <w:rFonts w:hint="default"/>
                <w:color w:val="auto"/>
                <w:sz w:val="24"/>
                <w:highlight w:val="none"/>
                <w:vertAlign w:val="superscript"/>
              </w:rPr>
              <w:t>-</w:t>
            </w:r>
            <w:r>
              <w:rPr>
                <w:rFonts w:hint="default"/>
                <w:color w:val="auto"/>
                <w:sz w:val="24"/>
                <w:vertAlign w:val="superscript"/>
              </w:rPr>
              <w:t>10</w:t>
            </w:r>
            <w:r>
              <w:rPr>
                <w:rFonts w:hint="default"/>
                <w:color w:val="auto"/>
                <w:sz w:val="24"/>
              </w:rPr>
              <w:t>cm/s。</w:t>
            </w:r>
            <w:r>
              <w:rPr>
                <w:rFonts w:hint="eastAsia"/>
                <w:color w:val="auto"/>
                <w:kern w:val="0"/>
                <w:sz w:val="24"/>
              </w:rPr>
              <w:t>危废贮存点用于贮存事故状态下的落地油、废机油等，危险废物均采用桶（罐）装，贮存过程中挥发量较少，不会对环境空气产生明显影响。</w:t>
            </w:r>
          </w:p>
          <w:p w14:paraId="36A83E89">
            <w:pPr>
              <w:keepNext w:val="0"/>
              <w:keepLines w:val="0"/>
              <w:suppressLineNumbers w:val="0"/>
              <w:spacing w:before="0" w:beforeAutospacing="0" w:after="0" w:afterAutospacing="0" w:line="360" w:lineRule="auto"/>
              <w:ind w:left="0" w:right="0" w:firstLine="480"/>
              <w:rPr>
                <w:rFonts w:hint="eastAsia"/>
                <w:color w:val="auto"/>
                <w:kern w:val="0"/>
                <w:sz w:val="24"/>
              </w:rPr>
            </w:pPr>
            <w:r>
              <w:rPr>
                <w:rFonts w:hint="default"/>
                <w:color w:val="auto"/>
                <w:kern w:val="0"/>
                <w:sz w:val="24"/>
              </w:rPr>
              <w:t>严格落实</w:t>
            </w:r>
            <w:r>
              <w:rPr>
                <w:rFonts w:hint="eastAsia"/>
                <w:color w:val="auto"/>
                <w:kern w:val="0"/>
                <w:sz w:val="24"/>
              </w:rPr>
              <w:t>防风、防晒、防雨、防漏、防渗、防腐以及其他环境污染防治措施</w:t>
            </w:r>
            <w:r>
              <w:rPr>
                <w:rFonts w:hint="default"/>
                <w:color w:val="auto"/>
                <w:kern w:val="0"/>
                <w:sz w:val="24"/>
              </w:rPr>
              <w:t>，</w:t>
            </w:r>
            <w:r>
              <w:rPr>
                <w:rFonts w:hint="eastAsia"/>
                <w:color w:val="auto"/>
                <w:kern w:val="0"/>
                <w:sz w:val="24"/>
              </w:rPr>
              <w:t>根据危险废物的类别、数量、形态、物理化学性质和污染防治等要求设置必要的贮存分区，避免不相容的危险废物接触、混合。</w:t>
            </w:r>
            <w:r>
              <w:rPr>
                <w:rFonts w:hint="default"/>
                <w:color w:val="auto"/>
                <w:kern w:val="0"/>
                <w:sz w:val="24"/>
              </w:rPr>
              <w:t>危险废物放入符合标准的罐</w:t>
            </w:r>
            <w:r>
              <w:rPr>
                <w:rFonts w:hint="eastAsia"/>
                <w:color w:val="auto"/>
                <w:kern w:val="0"/>
                <w:sz w:val="24"/>
              </w:rPr>
              <w:t>（桶）内，按要求设置危险废物贮存分区标志和危险废物标签等危险废物识别标志，包括废物名称、废物类别、废物代码、危险特性、主要成分、废物重量等内容，并做好收集、利用、贮存和转运中的二次污染防治。贮存点应及时清运贮存的危险废物，</w:t>
            </w:r>
            <w:r>
              <w:rPr>
                <w:rFonts w:hint="eastAsia"/>
                <w:color w:val="auto"/>
                <w:kern w:val="0"/>
                <w:sz w:val="24"/>
                <w:lang w:eastAsia="zh-CN"/>
              </w:rPr>
              <w:t>建设单位</w:t>
            </w:r>
            <w:r>
              <w:rPr>
                <w:rFonts w:hint="eastAsia"/>
                <w:color w:val="auto"/>
                <w:kern w:val="0"/>
                <w:sz w:val="24"/>
              </w:rPr>
              <w:t>交</w:t>
            </w:r>
            <w:r>
              <w:rPr>
                <w:rFonts w:hint="eastAsia"/>
                <w:color w:val="auto"/>
                <w:kern w:val="0"/>
                <w:sz w:val="24"/>
                <w:lang w:eastAsia="zh-CN"/>
              </w:rPr>
              <w:t>由有资质单位</w:t>
            </w:r>
            <w:r>
              <w:rPr>
                <w:rFonts w:hint="eastAsia"/>
                <w:color w:val="auto"/>
                <w:kern w:val="0"/>
                <w:sz w:val="24"/>
              </w:rPr>
              <w:t>统一处理并实行联单制管理，符合环保相关要求。</w:t>
            </w:r>
          </w:p>
          <w:p w14:paraId="570AFE3D">
            <w:pPr>
              <w:keepNext w:val="0"/>
              <w:keepLines w:val="0"/>
              <w:suppressLineNumbers w:val="0"/>
              <w:spacing w:before="0" w:beforeAutospacing="0" w:after="0" w:afterAutospacing="0" w:line="360" w:lineRule="auto"/>
              <w:ind w:left="0" w:right="0" w:firstLine="480"/>
              <w:rPr>
                <w:rFonts w:hint="eastAsia"/>
                <w:color w:val="auto"/>
                <w:sz w:val="24"/>
              </w:rPr>
            </w:pPr>
            <w:r>
              <w:rPr>
                <w:rFonts w:hint="eastAsia"/>
                <w:color w:val="auto"/>
                <w:kern w:val="0"/>
                <w:sz w:val="24"/>
              </w:rPr>
              <w:t>危废贮存点设立危险废物警示标志，做好危废情况的记录，记录上须注明危险废物的名称、来源、数量、特性等内容。由专人定期检查危险废物的贮存状况，及时清理贮存设施地面，更换破损泄漏的危险废物贮存容器和包装物，保证堆存危险废物的防雨、防风、防扬尘等设施功能完好</w:t>
            </w:r>
            <w:r>
              <w:rPr>
                <w:rFonts w:hint="default"/>
                <w:color w:val="auto"/>
                <w:sz w:val="24"/>
              </w:rPr>
              <w:t>。</w:t>
            </w:r>
          </w:p>
          <w:p w14:paraId="44EEF153">
            <w:pPr>
              <w:keepNext w:val="0"/>
              <w:keepLines w:val="0"/>
              <w:suppressLineNumbers w:val="0"/>
              <w:spacing w:before="0" w:beforeAutospacing="0" w:after="0" w:afterAutospacing="0" w:line="360" w:lineRule="auto"/>
              <w:ind w:left="0" w:right="0" w:firstLine="480"/>
              <w:rPr>
                <w:rFonts w:hint="default"/>
                <w:color w:val="auto"/>
                <w:sz w:val="24"/>
              </w:rPr>
            </w:pPr>
            <w:r>
              <w:rPr>
                <w:rFonts w:hint="default"/>
                <w:color w:val="auto"/>
                <w:sz w:val="24"/>
              </w:rPr>
              <w:t>为防止危险废物在场内临时存储过程中对环境产生污染影响，根据《危险废物贮存污染控制标准》（GB18597-20</w:t>
            </w:r>
            <w:r>
              <w:rPr>
                <w:rFonts w:hint="eastAsia"/>
                <w:color w:val="auto"/>
                <w:sz w:val="24"/>
              </w:rPr>
              <w:t>23</w:t>
            </w:r>
            <w:r>
              <w:rPr>
                <w:rFonts w:hint="default"/>
                <w:color w:val="auto"/>
                <w:sz w:val="24"/>
              </w:rPr>
              <w:t>）中的相关内容，本评价要求：</w:t>
            </w:r>
          </w:p>
          <w:p w14:paraId="22638615">
            <w:pPr>
              <w:keepNext w:val="0"/>
              <w:keepLines w:val="0"/>
              <w:suppressLineNumbers w:val="0"/>
              <w:adjustRightInd w:val="0"/>
              <w:spacing w:before="0" w:beforeAutospacing="0" w:after="0" w:afterAutospacing="0" w:line="360" w:lineRule="auto"/>
              <w:ind w:left="0" w:right="0" w:firstLine="480" w:firstLineChars="200"/>
              <w:textAlignment w:val="baseline"/>
              <w:rPr>
                <w:rFonts w:hint="default"/>
                <w:color w:val="auto"/>
                <w:kern w:val="0"/>
                <w:sz w:val="24"/>
              </w:rPr>
            </w:pPr>
            <w:r>
              <w:rPr>
                <w:rFonts w:hint="default"/>
                <w:color w:val="auto"/>
                <w:kern w:val="0"/>
                <w:sz w:val="24"/>
              </w:rPr>
              <w:t>1）严格按照国家《危险废物污染防治技术政策</w:t>
            </w:r>
            <w:r>
              <w:rPr>
                <w:rFonts w:hint="eastAsia"/>
                <w:color w:val="auto"/>
                <w:kern w:val="0"/>
                <w:sz w:val="24"/>
              </w:rPr>
              <w:t>》《</w:t>
            </w:r>
            <w:r>
              <w:rPr>
                <w:rFonts w:hint="default"/>
                <w:color w:val="auto"/>
                <w:kern w:val="0"/>
                <w:sz w:val="24"/>
              </w:rPr>
              <w:t>危险废物贮存污染控制标准》（GB18597-20</w:t>
            </w:r>
            <w:r>
              <w:rPr>
                <w:rFonts w:hint="eastAsia"/>
                <w:color w:val="auto"/>
                <w:kern w:val="0"/>
                <w:sz w:val="24"/>
              </w:rPr>
              <w:t>23</w:t>
            </w:r>
            <w:r>
              <w:rPr>
                <w:rFonts w:hint="default"/>
                <w:color w:val="auto"/>
                <w:kern w:val="0"/>
                <w:sz w:val="24"/>
              </w:rPr>
              <w:t>）和危险废物管理的有关规定，严禁将危险废物随意丢弃，严禁将危险废物混入一般工业固体废物和生活垃圾中。</w:t>
            </w:r>
          </w:p>
          <w:p w14:paraId="23C22DA3">
            <w:pPr>
              <w:keepNext w:val="0"/>
              <w:keepLines w:val="0"/>
              <w:suppressLineNumbers w:val="0"/>
              <w:adjustRightInd w:val="0"/>
              <w:spacing w:before="0" w:beforeAutospacing="0" w:after="0" w:afterAutospacing="0" w:line="360" w:lineRule="auto"/>
              <w:ind w:left="0" w:right="0" w:firstLine="480" w:firstLineChars="200"/>
              <w:textAlignment w:val="baseline"/>
              <w:rPr>
                <w:rFonts w:hint="default" w:hAnsi="宋体"/>
                <w:color w:val="auto"/>
                <w:kern w:val="0"/>
                <w:sz w:val="24"/>
              </w:rPr>
            </w:pPr>
            <w:r>
              <w:rPr>
                <w:rFonts w:hint="eastAsia" w:hAnsi="宋体"/>
                <w:color w:val="auto"/>
                <w:kern w:val="0"/>
                <w:sz w:val="24"/>
              </w:rPr>
              <w:t>2）《中华人民共和国固体废物污染环境防治法》规定，禁止将危险废物提供或委托给无经营许可证的单位从事收集、贮存、处置的经营活动。在生产经营活动中产生危险废物的企业、事业单位和个人（简称危险废物产生者），负有防止和治理危险废物污染的责任和法律法规规定的其他责任。危险废物产生者应当采取清洁生产工艺，减少危险废物的产生。对所产生的危险废物应当采取综合利用或无害化处理措施，并建立危险废物污染防治的管理制度。危险废物产生者应当将危险废物转移到取得许可证的单位或场所，进行统一贮存、利用、处理和处置。贮存、利用、处理、处置危险废物的设施和场所，必须按规定设置统一的识别标志。</w:t>
            </w:r>
          </w:p>
          <w:p w14:paraId="26A9D35E">
            <w:pPr>
              <w:keepNext w:val="0"/>
              <w:keepLines w:val="0"/>
              <w:suppressLineNumbers w:val="0"/>
              <w:adjustRightInd w:val="0"/>
              <w:spacing w:before="0" w:beforeAutospacing="0" w:after="0" w:afterAutospacing="0" w:line="360" w:lineRule="auto"/>
              <w:ind w:left="0" w:right="0" w:firstLine="480" w:firstLineChars="200"/>
              <w:textAlignment w:val="baseline"/>
              <w:rPr>
                <w:rFonts w:hint="eastAsia" w:hAnsi="宋体"/>
                <w:color w:val="auto"/>
                <w:kern w:val="0"/>
                <w:sz w:val="24"/>
              </w:rPr>
            </w:pPr>
            <w:r>
              <w:rPr>
                <w:rFonts w:hint="eastAsia" w:hAnsi="宋体"/>
                <w:color w:val="auto"/>
                <w:kern w:val="0"/>
                <w:sz w:val="24"/>
              </w:rPr>
              <w:t>3）</w:t>
            </w:r>
            <w:r>
              <w:rPr>
                <w:rFonts w:hint="eastAsia" w:hAnsi="宋体"/>
                <w:color w:val="auto"/>
                <w:kern w:val="0"/>
                <w:sz w:val="24"/>
                <w:lang w:eastAsia="zh-CN"/>
              </w:rPr>
              <w:t>建设单位</w:t>
            </w:r>
            <w:r>
              <w:rPr>
                <w:rFonts w:hint="eastAsia" w:hAnsi="宋体"/>
                <w:color w:val="auto"/>
                <w:kern w:val="0"/>
                <w:sz w:val="24"/>
              </w:rPr>
              <w:t>应向环保部门申报危险废物的种类、数量、成分特征、排放方式，并提供污染防治设施和废物主要去向等资料。在危险废物收集、运输之前，危险废物产生者应当根据危险废物的性质、形态，选择安全的包装方式，并向承运者和</w:t>
            </w:r>
            <w:r>
              <w:rPr>
                <w:rFonts w:hint="eastAsia" w:hAnsi="宋体"/>
                <w:color w:val="auto"/>
                <w:kern w:val="0"/>
                <w:sz w:val="24"/>
                <w:highlight w:val="none"/>
              </w:rPr>
              <w:t>接受者</w:t>
            </w:r>
            <w:r>
              <w:rPr>
                <w:rFonts w:hint="eastAsia" w:hAnsi="宋体"/>
                <w:color w:val="auto"/>
                <w:kern w:val="0"/>
                <w:sz w:val="24"/>
              </w:rPr>
              <w:t>提供安全防护要求的说明。强化职工的安全环保意识。</w:t>
            </w:r>
          </w:p>
          <w:p w14:paraId="4E140699">
            <w:pPr>
              <w:keepNext w:val="0"/>
              <w:keepLines w:val="0"/>
              <w:suppressLineNumbers w:val="0"/>
              <w:spacing w:before="0" w:beforeAutospacing="0" w:after="0" w:afterAutospacing="0" w:line="360" w:lineRule="auto"/>
              <w:ind w:left="0" w:right="0" w:firstLine="480"/>
              <w:rPr>
                <w:rFonts w:hint="default"/>
                <w:color w:val="auto"/>
                <w:sz w:val="24"/>
              </w:rPr>
            </w:pPr>
            <w:r>
              <w:rPr>
                <w:rFonts w:hint="eastAsia"/>
                <w:color w:val="auto"/>
                <w:sz w:val="24"/>
              </w:rPr>
              <w:t>（2）</w:t>
            </w:r>
            <w:r>
              <w:rPr>
                <w:rFonts w:hint="default"/>
                <w:color w:val="auto"/>
                <w:sz w:val="24"/>
              </w:rPr>
              <w:t>运输过程中的环境影响分析</w:t>
            </w:r>
          </w:p>
          <w:p w14:paraId="6750828B">
            <w:pPr>
              <w:keepNext w:val="0"/>
              <w:keepLines w:val="0"/>
              <w:suppressLineNumbers w:val="0"/>
              <w:spacing w:before="0" w:beforeAutospacing="0" w:after="0" w:afterAutospacing="0" w:line="360" w:lineRule="auto"/>
              <w:ind w:left="0" w:right="0" w:firstLine="480"/>
              <w:rPr>
                <w:rFonts w:hint="default"/>
                <w:color w:val="auto"/>
                <w:sz w:val="24"/>
              </w:rPr>
            </w:pPr>
            <w:r>
              <w:rPr>
                <w:rFonts w:hint="default"/>
                <w:color w:val="auto"/>
                <w:sz w:val="24"/>
              </w:rPr>
              <w:t>项目产生的危险废物经密闭容器收集后</w:t>
            </w:r>
            <w:r>
              <w:rPr>
                <w:rFonts w:hint="eastAsia"/>
                <w:color w:val="auto"/>
                <w:sz w:val="24"/>
              </w:rPr>
              <w:t>交内蒙古新蒙西环境资源发展有限公司处置</w:t>
            </w:r>
            <w:r>
              <w:rPr>
                <w:rFonts w:hint="default"/>
                <w:color w:val="auto"/>
                <w:sz w:val="24"/>
              </w:rPr>
              <w:t>。危险废物运输过程中全部采用密闭容器储存，运输路线尽量</w:t>
            </w:r>
            <w:r>
              <w:rPr>
                <w:rFonts w:hint="eastAsia"/>
                <w:color w:val="auto"/>
                <w:sz w:val="24"/>
              </w:rPr>
              <w:t>选取</w:t>
            </w:r>
            <w:r>
              <w:rPr>
                <w:rFonts w:hint="default"/>
                <w:color w:val="auto"/>
                <w:sz w:val="24"/>
              </w:rPr>
              <w:t>不经过办公区等人员密集区，转运结束后及时对转运路线进行检查和清理，确保无危险废物散落或泄漏在转运路线上。</w:t>
            </w:r>
          </w:p>
          <w:p w14:paraId="619F46AF">
            <w:pPr>
              <w:keepNext w:val="0"/>
              <w:keepLines w:val="0"/>
              <w:suppressLineNumbers w:val="0"/>
              <w:spacing w:before="0" w:beforeAutospacing="0" w:after="0" w:afterAutospacing="0" w:line="360" w:lineRule="auto"/>
              <w:ind w:left="0" w:right="0" w:firstLine="480"/>
              <w:rPr>
                <w:rFonts w:hint="default"/>
                <w:color w:val="auto"/>
                <w:sz w:val="24"/>
              </w:rPr>
            </w:pPr>
            <w:r>
              <w:rPr>
                <w:rFonts w:hint="default"/>
                <w:color w:val="auto"/>
                <w:sz w:val="24"/>
              </w:rPr>
              <w:t>危险废物的运输应采取危险废物转移联单制度，保证运输安全，防止非法转移和非法处置，保证危险废物的安全监控，防止危险废物污染事故的发生。所有装满运走的容器或贮罐都应</w:t>
            </w:r>
            <w:r>
              <w:rPr>
                <w:rFonts w:hint="eastAsia"/>
                <w:color w:val="auto"/>
                <w:sz w:val="24"/>
              </w:rPr>
              <w:t>标</w:t>
            </w:r>
            <w:r>
              <w:rPr>
                <w:rFonts w:hint="default"/>
                <w:color w:val="auto"/>
                <w:sz w:val="24"/>
              </w:rPr>
              <w:t>明内盛物的类别与危害说明，以及数量和装进日期，设置危险废物的识别标志。</w:t>
            </w:r>
          </w:p>
          <w:p w14:paraId="5DB28E1F">
            <w:pPr>
              <w:keepNext w:val="0"/>
              <w:keepLines w:val="0"/>
              <w:suppressLineNumbers w:val="0"/>
              <w:spacing w:before="0" w:beforeAutospacing="0" w:after="0" w:afterAutospacing="0" w:line="360" w:lineRule="auto"/>
              <w:ind w:left="0" w:right="0" w:firstLine="480"/>
              <w:rPr>
                <w:rFonts w:hint="default"/>
                <w:color w:val="auto"/>
                <w:sz w:val="24"/>
              </w:rPr>
            </w:pPr>
            <w:r>
              <w:rPr>
                <w:rFonts w:hint="default"/>
                <w:color w:val="auto"/>
                <w:sz w:val="24"/>
              </w:rPr>
              <w:t>危废</w:t>
            </w:r>
            <w:r>
              <w:rPr>
                <w:rFonts w:hint="eastAsia"/>
                <w:color w:val="auto"/>
                <w:sz w:val="24"/>
              </w:rPr>
              <w:t>贮存点</w:t>
            </w:r>
            <w:r>
              <w:rPr>
                <w:rFonts w:hint="default"/>
                <w:color w:val="auto"/>
                <w:sz w:val="24"/>
              </w:rPr>
              <w:t>地面采取防腐防渗措施，运输过程中加强环境管理严格遵守转移联单制度，不会对环境产生不利影响。</w:t>
            </w:r>
          </w:p>
          <w:p w14:paraId="523FC2F5">
            <w:pPr>
              <w:keepNext w:val="0"/>
              <w:keepLines w:val="0"/>
              <w:suppressLineNumbers w:val="0"/>
              <w:spacing w:before="0" w:beforeAutospacing="0" w:after="0" w:afterAutospacing="0" w:line="360" w:lineRule="auto"/>
              <w:ind w:left="0" w:right="0" w:firstLine="480"/>
              <w:rPr>
                <w:rFonts w:hint="default"/>
                <w:color w:val="auto"/>
                <w:sz w:val="24"/>
              </w:rPr>
            </w:pPr>
            <w:r>
              <w:rPr>
                <w:rFonts w:hint="eastAsia"/>
                <w:color w:val="auto"/>
                <w:sz w:val="24"/>
              </w:rPr>
              <w:t>（3）</w:t>
            </w:r>
            <w:r>
              <w:rPr>
                <w:rFonts w:hint="default"/>
                <w:color w:val="auto"/>
                <w:sz w:val="24"/>
              </w:rPr>
              <w:t>委托利用或者处置的环境影响分析</w:t>
            </w:r>
          </w:p>
          <w:p w14:paraId="60B6EF8D">
            <w:pPr>
              <w:keepNext w:val="0"/>
              <w:keepLines w:val="0"/>
              <w:suppressLineNumbers w:val="0"/>
              <w:spacing w:before="0" w:beforeAutospacing="0" w:after="0" w:afterAutospacing="0" w:line="360" w:lineRule="auto"/>
              <w:ind w:left="0" w:right="0" w:firstLine="480"/>
              <w:rPr>
                <w:rFonts w:hint="default"/>
                <w:color w:val="auto"/>
                <w:sz w:val="24"/>
              </w:rPr>
            </w:pPr>
            <w:r>
              <w:rPr>
                <w:rFonts w:hint="eastAsia"/>
                <w:color w:val="auto"/>
                <w:sz w:val="24"/>
                <w:lang w:eastAsia="zh-CN"/>
              </w:rPr>
              <w:t>本工程</w:t>
            </w:r>
            <w:r>
              <w:rPr>
                <w:rFonts w:hint="default"/>
                <w:color w:val="auto"/>
                <w:sz w:val="24"/>
              </w:rPr>
              <w:t>危险废物</w:t>
            </w:r>
            <w:r>
              <w:rPr>
                <w:rFonts w:hint="eastAsia"/>
                <w:color w:val="auto"/>
                <w:sz w:val="24"/>
                <w:lang w:eastAsia="zh-CN"/>
              </w:rPr>
              <w:t>建设单位</w:t>
            </w:r>
            <w:r>
              <w:rPr>
                <w:rFonts w:hint="default"/>
                <w:color w:val="auto"/>
                <w:sz w:val="24"/>
              </w:rPr>
              <w:t>委托有资质</w:t>
            </w:r>
            <w:r>
              <w:rPr>
                <w:rFonts w:hint="eastAsia"/>
                <w:color w:val="auto"/>
                <w:sz w:val="24"/>
                <w:lang w:eastAsia="zh-CN"/>
              </w:rPr>
              <w:t>单位</w:t>
            </w:r>
            <w:r>
              <w:rPr>
                <w:rFonts w:hint="default"/>
                <w:color w:val="auto"/>
                <w:sz w:val="24"/>
              </w:rPr>
              <w:t>进行处置，不会产生显著的环境影响。</w:t>
            </w:r>
          </w:p>
          <w:p w14:paraId="73E9C4C2">
            <w:pPr>
              <w:keepNext w:val="0"/>
              <w:keepLines w:val="0"/>
              <w:suppressLineNumbers w:val="0"/>
              <w:spacing w:before="0" w:beforeAutospacing="0" w:after="0" w:afterAutospacing="0" w:line="360" w:lineRule="auto"/>
              <w:ind w:left="0" w:right="0" w:firstLine="480"/>
              <w:rPr>
                <w:rFonts w:hint="default"/>
                <w:color w:val="auto"/>
                <w:sz w:val="24"/>
              </w:rPr>
            </w:pPr>
            <w:r>
              <w:rPr>
                <w:rFonts w:hint="eastAsia"/>
                <w:color w:val="auto"/>
                <w:sz w:val="24"/>
              </w:rPr>
              <w:t>（4）</w:t>
            </w:r>
            <w:r>
              <w:rPr>
                <w:rFonts w:hint="default"/>
                <w:color w:val="auto"/>
                <w:sz w:val="24"/>
              </w:rPr>
              <w:t>其他</w:t>
            </w:r>
          </w:p>
          <w:p w14:paraId="3F7812E6">
            <w:pPr>
              <w:keepNext w:val="0"/>
              <w:keepLines w:val="0"/>
              <w:suppressLineNumbers w:val="0"/>
              <w:spacing w:before="0" w:beforeAutospacing="0" w:after="0" w:afterAutospacing="0" w:line="360" w:lineRule="auto"/>
              <w:ind w:left="0" w:right="0" w:firstLine="480"/>
              <w:rPr>
                <w:rFonts w:hint="default"/>
                <w:color w:val="auto"/>
                <w:sz w:val="24"/>
              </w:rPr>
            </w:pPr>
            <w:r>
              <w:rPr>
                <w:rFonts w:hint="default"/>
                <w:color w:val="auto"/>
                <w:sz w:val="24"/>
              </w:rPr>
              <w:t>在收集、运输、贮存危险废物过程中，如发生泄漏事故时，应马上启动危险废物应急处置预案；收集、贮存、运输危险废物的场所、设施、设备和容器、包装物或其他物品转作他用时，必须经过消除污染的处理，并经环境保护检测部门检测，达到无害化标准，未达到标准的严禁转作他用。</w:t>
            </w:r>
          </w:p>
          <w:p w14:paraId="3F4D2040">
            <w:pPr>
              <w:keepNext w:val="0"/>
              <w:keepLines w:val="0"/>
              <w:suppressLineNumbers w:val="0"/>
              <w:spacing w:before="0" w:beforeAutospacing="0" w:after="0" w:afterAutospacing="0" w:line="360" w:lineRule="auto"/>
              <w:ind w:left="0" w:right="0" w:firstLine="480"/>
              <w:rPr>
                <w:rFonts w:hint="default"/>
                <w:color w:val="auto"/>
                <w:sz w:val="24"/>
              </w:rPr>
            </w:pPr>
            <w:r>
              <w:rPr>
                <w:rFonts w:hint="default"/>
                <w:color w:val="auto"/>
                <w:sz w:val="24"/>
              </w:rPr>
              <w:t>综上分析可知，项目固体废物均可采取对应的环保措施无害化处置，不会对周围环境产生不利影响。</w:t>
            </w:r>
          </w:p>
          <w:p w14:paraId="7255D9F5">
            <w:pPr>
              <w:pStyle w:val="145"/>
              <w:keepNext w:val="0"/>
              <w:keepLines w:val="0"/>
              <w:suppressLineNumbers w:val="0"/>
              <w:spacing w:before="0" w:beforeAutospacing="0" w:after="0" w:afterAutospacing="0" w:line="360" w:lineRule="auto"/>
              <w:ind w:left="0" w:right="0" w:firstLine="480"/>
              <w:rPr>
                <w:rFonts w:hint="default" w:ascii="Times New Roman" w:hAnsi="Times New Roman"/>
                <w:color w:val="auto"/>
              </w:rPr>
            </w:pPr>
            <w:r>
              <w:rPr>
                <w:rFonts w:hint="default" w:ascii="Times New Roman" w:hAnsi="Times New Roman"/>
                <w:color w:val="auto"/>
              </w:rPr>
              <w:t>4、生活垃圾</w:t>
            </w:r>
          </w:p>
          <w:p w14:paraId="1479251A">
            <w:pPr>
              <w:pStyle w:val="145"/>
              <w:keepNext w:val="0"/>
              <w:keepLines w:val="0"/>
              <w:suppressLineNumbers w:val="0"/>
              <w:spacing w:before="0" w:beforeAutospacing="0" w:after="0" w:afterAutospacing="0" w:line="360" w:lineRule="auto"/>
              <w:ind w:left="0" w:right="0" w:firstLine="480" w:firstLineChars="0"/>
              <w:jc w:val="left"/>
              <w:rPr>
                <w:rFonts w:hint="default" w:ascii="Times New Roman" w:hAnsi="Times New Roman"/>
                <w:color w:val="auto"/>
              </w:rPr>
            </w:pPr>
            <w:r>
              <w:rPr>
                <w:rFonts w:hint="default" w:ascii="Times New Roman" w:hAnsi="Times New Roman"/>
                <w:color w:val="auto"/>
                <w:szCs w:val="24"/>
              </w:rPr>
              <w:t>项目生活垃圾的产生量为</w:t>
            </w:r>
            <w:r>
              <w:rPr>
                <w:rFonts w:hint="eastAsia" w:ascii="Times New Roman" w:hAnsi="Times New Roman"/>
                <w:color w:val="auto"/>
                <w:szCs w:val="24"/>
                <w:lang w:val="en-US" w:eastAsia="zh-CN"/>
              </w:rPr>
              <w:t>1.2</w:t>
            </w:r>
            <w:r>
              <w:rPr>
                <w:rFonts w:hint="default" w:ascii="Times New Roman" w:hAnsi="Times New Roman"/>
                <w:color w:val="auto"/>
                <w:szCs w:val="24"/>
              </w:rPr>
              <w:t>t/勘探期</w:t>
            </w:r>
            <w:r>
              <w:rPr>
                <w:rFonts w:hint="default" w:ascii="Times New Roman" w:hAnsi="Times New Roman"/>
                <w:color w:val="auto"/>
              </w:rPr>
              <w:t>。场区设置垃圾桶</w:t>
            </w:r>
            <w:r>
              <w:rPr>
                <w:rFonts w:hint="eastAsia" w:ascii="Times New Roman" w:hAnsi="Times New Roman"/>
                <w:color w:val="auto"/>
              </w:rPr>
              <w:t>，</w:t>
            </w:r>
            <w:r>
              <w:rPr>
                <w:rFonts w:hint="default" w:ascii="Times New Roman" w:hAnsi="Times New Roman"/>
                <w:color w:val="auto"/>
              </w:rPr>
              <w:t>集中收集后委托当地环卫部门处理。</w:t>
            </w:r>
          </w:p>
          <w:p w14:paraId="51DC50F6">
            <w:pPr>
              <w:pStyle w:val="145"/>
              <w:keepNext w:val="0"/>
              <w:keepLines w:val="0"/>
              <w:suppressLineNumbers w:val="0"/>
              <w:spacing w:before="0" w:beforeAutospacing="0" w:after="0" w:afterAutospacing="0" w:line="360" w:lineRule="auto"/>
              <w:ind w:left="0" w:right="0" w:firstLine="556" w:firstLineChars="232"/>
              <w:rPr>
                <w:rFonts w:hint="eastAsia"/>
                <w:color w:val="auto"/>
              </w:rPr>
            </w:pPr>
            <w:r>
              <w:rPr>
                <w:rFonts w:hint="default" w:ascii="Times New Roman" w:hAnsi="Times New Roman"/>
                <w:color w:val="auto"/>
              </w:rPr>
              <w:t>通过以上措施，</w:t>
            </w:r>
            <w:r>
              <w:rPr>
                <w:rFonts w:hint="eastAsia" w:ascii="Times New Roman" w:hAnsi="Times New Roman"/>
                <w:color w:val="auto"/>
                <w:lang w:eastAsia="zh-CN"/>
              </w:rPr>
              <w:t>本工程</w:t>
            </w:r>
            <w:r>
              <w:rPr>
                <w:rFonts w:hint="default" w:ascii="Times New Roman" w:hAnsi="Times New Roman"/>
                <w:color w:val="auto"/>
              </w:rPr>
              <w:t>产生的各项固废均得到有效处理，对周围环境影响不大。</w:t>
            </w:r>
          </w:p>
          <w:p w14:paraId="7996FBB7">
            <w:pPr>
              <w:keepNext w:val="0"/>
              <w:keepLines w:val="0"/>
              <w:suppressLineNumbers w:val="0"/>
              <w:spacing w:before="0" w:beforeAutospacing="0" w:after="0" w:afterAutospacing="0" w:line="360" w:lineRule="auto"/>
              <w:ind w:left="0" w:right="0" w:firstLine="482" w:firstLineChars="200"/>
              <w:rPr>
                <w:rFonts w:hint="eastAsia"/>
                <w:b/>
                <w:color w:val="auto"/>
                <w:sz w:val="24"/>
                <w:szCs w:val="32"/>
              </w:rPr>
            </w:pPr>
            <w:r>
              <w:rPr>
                <w:rFonts w:hint="eastAsia"/>
                <w:b/>
                <w:color w:val="auto"/>
                <w:sz w:val="24"/>
                <w:szCs w:val="32"/>
              </w:rPr>
              <w:t>五、土壤环境影响评价</w:t>
            </w:r>
          </w:p>
          <w:p w14:paraId="1DCF37B9">
            <w:pPr>
              <w:keepNext w:val="0"/>
              <w:keepLines w:val="0"/>
              <w:widowControl/>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rPr>
            </w:pPr>
            <w:r>
              <w:rPr>
                <w:rFonts w:hint="eastAsia"/>
                <w:color w:val="auto"/>
                <w:sz w:val="24"/>
                <w:lang w:eastAsia="zh-CN"/>
              </w:rPr>
              <w:t>本工程</w:t>
            </w:r>
            <w:r>
              <w:rPr>
                <w:rFonts w:hint="default"/>
                <w:color w:val="auto"/>
                <w:sz w:val="24"/>
              </w:rPr>
              <w:t>属于专业技术服务业，对照《环境影响评价技术导则 土壤环境（试行）》（HJ964-2018），</w:t>
            </w:r>
            <w:r>
              <w:rPr>
                <w:rFonts w:hint="eastAsia"/>
                <w:color w:val="auto"/>
                <w:sz w:val="24"/>
                <w:lang w:eastAsia="zh-CN"/>
              </w:rPr>
              <w:t>本工程</w:t>
            </w:r>
            <w:r>
              <w:rPr>
                <w:rFonts w:hint="default"/>
                <w:color w:val="auto"/>
                <w:sz w:val="24"/>
              </w:rPr>
              <w:t>土壤环境影响评价项目类别为Ⅳ类项目，可不开展土壤环境影响评价。</w:t>
            </w:r>
          </w:p>
          <w:p w14:paraId="5E4DA7AA">
            <w:pPr>
              <w:keepNext w:val="0"/>
              <w:keepLines w:val="0"/>
              <w:suppressLineNumbers w:val="0"/>
              <w:spacing w:before="0" w:beforeAutospacing="0" w:after="0" w:afterAutospacing="0" w:line="360" w:lineRule="auto"/>
              <w:ind w:left="0" w:right="0" w:firstLine="480"/>
              <w:rPr>
                <w:rFonts w:hint="default"/>
                <w:color w:val="auto"/>
                <w:sz w:val="24"/>
              </w:rPr>
            </w:pPr>
            <w:r>
              <w:rPr>
                <w:rFonts w:hint="default"/>
                <w:color w:val="auto"/>
                <w:sz w:val="24"/>
              </w:rPr>
              <w:t>为了减少</w:t>
            </w:r>
            <w:r>
              <w:rPr>
                <w:rFonts w:hint="eastAsia"/>
                <w:color w:val="auto"/>
                <w:sz w:val="24"/>
                <w:lang w:eastAsia="zh-CN"/>
              </w:rPr>
              <w:t>本工程</w:t>
            </w:r>
            <w:r>
              <w:rPr>
                <w:rFonts w:hint="default"/>
                <w:color w:val="auto"/>
                <w:sz w:val="24"/>
              </w:rPr>
              <w:t>施工对土壤环境的影响，项目钻井设备、试油设备、泥浆罐、储</w:t>
            </w:r>
            <w:r>
              <w:rPr>
                <w:rFonts w:hint="eastAsia"/>
                <w:color w:val="auto"/>
                <w:sz w:val="24"/>
              </w:rPr>
              <w:t>液</w:t>
            </w:r>
            <w:r>
              <w:rPr>
                <w:rFonts w:hint="default"/>
                <w:color w:val="auto"/>
                <w:sz w:val="24"/>
              </w:rPr>
              <w:t>罐下铺设</w:t>
            </w:r>
            <w:r>
              <w:rPr>
                <w:rFonts w:hint="eastAsia"/>
                <w:color w:val="auto"/>
                <w:sz w:val="24"/>
              </w:rPr>
              <w:t>高密度聚乙烯防渗膜</w:t>
            </w:r>
            <w:r>
              <w:rPr>
                <w:rFonts w:hint="default"/>
                <w:color w:val="auto"/>
                <w:sz w:val="24"/>
              </w:rPr>
              <w:t>，同时</w:t>
            </w:r>
            <w:r>
              <w:rPr>
                <w:rFonts w:hint="eastAsia"/>
                <w:color w:val="auto"/>
                <w:sz w:val="24"/>
              </w:rPr>
              <w:t>高密度聚乙烯防渗膜</w:t>
            </w:r>
            <w:r>
              <w:rPr>
                <w:rFonts w:hint="default"/>
                <w:color w:val="auto"/>
                <w:sz w:val="24"/>
              </w:rPr>
              <w:t>敷设外延</w:t>
            </w:r>
            <w:r>
              <w:rPr>
                <w:rFonts w:hint="eastAsia"/>
                <w:color w:val="auto"/>
                <w:sz w:val="24"/>
              </w:rPr>
              <w:t>50c</w:t>
            </w:r>
            <w:r>
              <w:rPr>
                <w:rFonts w:hint="default"/>
                <w:color w:val="auto"/>
                <w:sz w:val="24"/>
              </w:rPr>
              <w:t>m以上，以防止污染土壤环境。若操作不当产生落地油，油类物质滴至地面后，将地表20cm厚土壤铲除，暂存于井场</w:t>
            </w:r>
            <w:r>
              <w:rPr>
                <w:rFonts w:hint="eastAsia"/>
                <w:color w:val="auto"/>
                <w:sz w:val="24"/>
                <w:lang w:eastAsia="zh-CN"/>
              </w:rPr>
              <w:t>危废贮存点</w:t>
            </w:r>
            <w:r>
              <w:rPr>
                <w:rFonts w:hint="eastAsia"/>
                <w:color w:val="auto"/>
                <w:sz w:val="24"/>
              </w:rPr>
              <w:t>的污油罐内</w:t>
            </w:r>
            <w:r>
              <w:rPr>
                <w:rFonts w:hint="default"/>
                <w:color w:val="auto"/>
                <w:sz w:val="24"/>
              </w:rPr>
              <w:t>，交有资质的单位处理。</w:t>
            </w:r>
          </w:p>
          <w:p w14:paraId="0DA2E158">
            <w:pPr>
              <w:keepNext w:val="0"/>
              <w:keepLines w:val="0"/>
              <w:suppressLineNumbers w:val="0"/>
              <w:spacing w:before="0" w:beforeAutospacing="0" w:after="0" w:afterAutospacing="0" w:line="360" w:lineRule="auto"/>
              <w:ind w:left="0" w:right="0" w:firstLine="482" w:firstLineChars="200"/>
              <w:rPr>
                <w:rFonts w:hint="default"/>
                <w:b/>
                <w:color w:val="auto"/>
                <w:sz w:val="24"/>
                <w:szCs w:val="32"/>
              </w:rPr>
            </w:pPr>
            <w:r>
              <w:rPr>
                <w:rFonts w:hint="eastAsia"/>
                <w:b/>
                <w:color w:val="auto"/>
                <w:sz w:val="24"/>
                <w:szCs w:val="32"/>
              </w:rPr>
              <w:t>六</w:t>
            </w:r>
            <w:r>
              <w:rPr>
                <w:rFonts w:hint="default"/>
                <w:b/>
                <w:color w:val="auto"/>
                <w:sz w:val="24"/>
                <w:szCs w:val="32"/>
              </w:rPr>
              <w:t>、生态保护与恢复措施</w:t>
            </w:r>
          </w:p>
          <w:p w14:paraId="0DA86F5E">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default"/>
                <w:color w:val="auto"/>
                <w:sz w:val="24"/>
                <w:szCs w:val="32"/>
              </w:rPr>
              <w:t>项目所在区域由于油田开发活动的干扰将出现自发的退化演替，一般要3</w:t>
            </w:r>
            <w:r>
              <w:rPr>
                <w:rFonts w:hint="eastAsia"/>
                <w:color w:val="auto"/>
                <w:sz w:val="24"/>
                <w:szCs w:val="32"/>
                <w:lang w:eastAsia="zh-CN"/>
              </w:rPr>
              <w:t>～</w:t>
            </w:r>
            <w:r>
              <w:rPr>
                <w:rFonts w:hint="default"/>
                <w:color w:val="auto"/>
                <w:sz w:val="24"/>
                <w:szCs w:val="32"/>
              </w:rPr>
              <w:t>4年以后才可恢复到开发前的情况，应采取以下生态保护与恢复措施：</w:t>
            </w:r>
          </w:p>
          <w:p w14:paraId="2DF2839D">
            <w:pPr>
              <w:keepNext w:val="0"/>
              <w:keepLines w:val="0"/>
              <w:suppressLineNumbers w:val="0"/>
              <w:spacing w:before="0" w:beforeAutospacing="0" w:after="0" w:afterAutospacing="0" w:line="360" w:lineRule="auto"/>
              <w:ind w:left="0" w:right="0" w:firstLine="470" w:firstLineChars="196"/>
              <w:outlineLvl w:val="0"/>
              <w:rPr>
                <w:rFonts w:hint="default"/>
                <w:color w:val="auto"/>
                <w:sz w:val="24"/>
              </w:rPr>
            </w:pPr>
            <w:bookmarkStart w:id="18" w:name="_Toc103325988"/>
            <w:bookmarkStart w:id="19" w:name="_Toc103325992"/>
            <w:r>
              <w:rPr>
                <w:rFonts w:hint="eastAsia"/>
                <w:color w:val="auto"/>
                <w:sz w:val="24"/>
              </w:rPr>
              <w:t>1、</w:t>
            </w:r>
            <w:r>
              <w:rPr>
                <w:rFonts w:hint="default"/>
                <w:color w:val="auto"/>
                <w:sz w:val="24"/>
              </w:rPr>
              <w:t>土地利用现有格局的保护和恢复措施</w:t>
            </w:r>
            <w:bookmarkEnd w:id="18"/>
          </w:p>
          <w:p w14:paraId="1BC338E6">
            <w:pPr>
              <w:keepNext w:val="0"/>
              <w:keepLines w:val="0"/>
              <w:suppressLineNumbers w:val="0"/>
              <w:spacing w:before="0" w:beforeAutospacing="0" w:after="0" w:afterAutospacing="0" w:line="360" w:lineRule="auto"/>
              <w:ind w:left="0" w:right="0" w:firstLine="360" w:firstLineChars="150"/>
              <w:rPr>
                <w:rFonts w:hint="default"/>
                <w:color w:val="auto"/>
                <w:sz w:val="24"/>
              </w:rPr>
            </w:pPr>
            <w:r>
              <w:rPr>
                <w:rFonts w:hint="default"/>
                <w:color w:val="auto"/>
                <w:sz w:val="24"/>
              </w:rPr>
              <w:t>（1）严格控制施工占用土地</w:t>
            </w:r>
          </w:p>
          <w:p w14:paraId="7E5C9728">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rPr>
              <w:t>1）</w:t>
            </w:r>
            <w:r>
              <w:rPr>
                <w:rFonts w:hint="default"/>
                <w:color w:val="auto"/>
                <w:sz w:val="24"/>
              </w:rPr>
              <w:t>对临时占地合理规划，严格控制占地面积。</w:t>
            </w:r>
          </w:p>
          <w:p w14:paraId="16D817E7">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rPr>
              <w:t>2）</w:t>
            </w:r>
            <w:r>
              <w:rPr>
                <w:rFonts w:hint="default"/>
                <w:color w:val="auto"/>
                <w:sz w:val="24"/>
              </w:rPr>
              <w:t>按设计标准规定，严格控制施工作业区面积，不得超过作业标准规定，对施工区域面积控制在设计标准范围内，以减少土壤扰动和地表植被破坏，减少裸地和土方暴露面积。</w:t>
            </w:r>
          </w:p>
          <w:p w14:paraId="45BC4C35">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rPr>
              <w:t>3）</w:t>
            </w:r>
            <w:r>
              <w:rPr>
                <w:rFonts w:hint="default"/>
                <w:color w:val="auto"/>
                <w:sz w:val="24"/>
              </w:rPr>
              <w:t>一切施工作业尽量利用原有乡村道路，沿已有车辙行驶。需新建道路执行先修道路，后设点作业的原则进行。杜绝车辆乱碾乱压的情况发生，不随意开设便道。</w:t>
            </w:r>
          </w:p>
          <w:p w14:paraId="668F33B4">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rPr>
              <w:t>4）</w:t>
            </w:r>
            <w:r>
              <w:rPr>
                <w:rFonts w:hint="default"/>
                <w:color w:val="auto"/>
                <w:sz w:val="24"/>
              </w:rPr>
              <w:t>现场施工作业机械应严格管理，划定活动范围，不得在道路、井场以外的地方行驶和作业，保持征地区域以外的植被不被破坏。</w:t>
            </w:r>
          </w:p>
          <w:p w14:paraId="045A8ADC">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（2）恢复土地利用原有格局</w:t>
            </w:r>
          </w:p>
          <w:p w14:paraId="7EA308AC">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lang w:eastAsia="zh-CN"/>
              </w:rPr>
              <w:t>勘探期结束后</w:t>
            </w:r>
            <w:r>
              <w:rPr>
                <w:rFonts w:hint="default"/>
                <w:color w:val="auto"/>
                <w:sz w:val="24"/>
              </w:rPr>
              <w:t>，</w:t>
            </w:r>
            <w:r>
              <w:rPr>
                <w:rFonts w:hint="default"/>
                <w:color w:val="auto"/>
                <w:sz w:val="24"/>
              </w:rPr>
              <w:t>应恢复地貌</w:t>
            </w:r>
            <w:r>
              <w:rPr>
                <w:rFonts w:hint="eastAsia"/>
                <w:color w:val="auto"/>
                <w:sz w:val="24"/>
                <w:lang w:eastAsia="zh-CN"/>
              </w:rPr>
              <w:t>为农用地</w:t>
            </w:r>
            <w:r>
              <w:rPr>
                <w:rFonts w:hint="default"/>
                <w:color w:val="auto"/>
                <w:sz w:val="24"/>
              </w:rPr>
              <w:t>。施工过程中必须做到对</w:t>
            </w:r>
            <w:r>
              <w:rPr>
                <w:rFonts w:hint="eastAsia"/>
                <w:color w:val="auto"/>
                <w:sz w:val="24"/>
                <w:lang w:eastAsia="zh-CN"/>
              </w:rPr>
              <w:t>表层</w:t>
            </w:r>
            <w:r>
              <w:rPr>
                <w:rFonts w:hint="default"/>
                <w:color w:val="auto"/>
                <w:sz w:val="24"/>
              </w:rPr>
              <w:t>土壤剥离、开挖、堆放和回填。</w:t>
            </w:r>
            <w:r>
              <w:rPr>
                <w:rFonts w:hint="default"/>
                <w:color w:val="auto"/>
                <w:sz w:val="24"/>
              </w:rPr>
              <w:t>尽可能降低对土壤养分的影响，尽快将井场临时占地、进场道路临时占地平整、覆土，恢复作为农田使用功能</w:t>
            </w:r>
            <w:r>
              <w:rPr>
                <w:rFonts w:hint="default"/>
                <w:color w:val="auto"/>
                <w:sz w:val="24"/>
              </w:rPr>
              <w:t>。</w:t>
            </w:r>
          </w:p>
          <w:p w14:paraId="2BE4B756">
            <w:pPr>
              <w:keepNext w:val="0"/>
              <w:keepLines w:val="0"/>
              <w:suppressLineNumbers w:val="0"/>
              <w:spacing w:before="0" w:beforeAutospacing="0" w:after="0" w:afterAutospacing="0" w:line="360" w:lineRule="auto"/>
              <w:ind w:left="0" w:right="0" w:firstLine="470" w:firstLineChars="196"/>
              <w:outlineLvl w:val="0"/>
              <w:rPr>
                <w:rFonts w:hint="default"/>
                <w:color w:val="auto"/>
                <w:sz w:val="24"/>
              </w:rPr>
            </w:pPr>
            <w:bookmarkStart w:id="20" w:name="_Toc103325989"/>
            <w:r>
              <w:rPr>
                <w:rFonts w:hint="eastAsia"/>
                <w:color w:val="auto"/>
                <w:sz w:val="24"/>
              </w:rPr>
              <w:t>2、</w:t>
            </w:r>
            <w:r>
              <w:rPr>
                <w:rFonts w:hint="default"/>
                <w:color w:val="auto"/>
                <w:sz w:val="24"/>
              </w:rPr>
              <w:t>生物多样性的保护措施</w:t>
            </w:r>
            <w:bookmarkEnd w:id="20"/>
          </w:p>
          <w:p w14:paraId="51C92153">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lang w:eastAsia="zh-CN"/>
              </w:rPr>
              <w:t>建设</w:t>
            </w:r>
            <w:r>
              <w:rPr>
                <w:rFonts w:hint="default"/>
                <w:color w:val="auto"/>
                <w:sz w:val="24"/>
              </w:rPr>
              <w:t>单位应对施工人员开展增强野生动物保护意识的宣传工作，杜绝施工</w:t>
            </w:r>
            <w:r>
              <w:rPr>
                <w:rFonts w:hint="default"/>
                <w:color w:val="auto"/>
                <w:sz w:val="24"/>
                <w:highlight w:val="none"/>
              </w:rPr>
              <w:t>人</w:t>
            </w:r>
            <w:r>
              <w:rPr>
                <w:rFonts w:hint="default"/>
                <w:color w:val="auto"/>
                <w:sz w:val="24"/>
              </w:rPr>
              <w:t>猎捕施工作业区附近的蛇类、鸟类等现象。建议在主要施工场地设置警牌，提醒施工人员保护野生动物。</w:t>
            </w:r>
          </w:p>
          <w:p w14:paraId="5A03D000">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rPr>
              <w:t>3、</w:t>
            </w:r>
            <w:r>
              <w:rPr>
                <w:rFonts w:hint="eastAsia"/>
                <w:color w:val="auto"/>
                <w:sz w:val="24"/>
                <w:lang w:eastAsia="zh-CN"/>
              </w:rPr>
              <w:t>临时占地</w:t>
            </w:r>
            <w:r>
              <w:rPr>
                <w:rFonts w:hint="eastAsia"/>
                <w:color w:val="auto"/>
                <w:sz w:val="24"/>
              </w:rPr>
              <w:t>恢复</w:t>
            </w:r>
            <w:r>
              <w:rPr>
                <w:rFonts w:hint="default"/>
                <w:color w:val="auto"/>
                <w:sz w:val="24"/>
              </w:rPr>
              <w:t>措施</w:t>
            </w:r>
          </w:p>
          <w:p w14:paraId="0A976F1E">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color w:val="auto"/>
                <w:sz w:val="24"/>
              </w:rPr>
              <w:t>土地复垦的工程技术措施是通过一定的工程措施进行整地的过程，并通过复垦工程建设增加土地的再生产功能，恢复其生产力，保护土地资源。根据土地损毁情况及复垦措施，临时用地中的井场、施工便道、施工活动区损毁类型一致、复垦前后的地类一致因此作为一个复垦单元进行工程设计，其中表土堆放区不再设计表土剥离工程。</w:t>
            </w:r>
          </w:p>
          <w:p w14:paraId="288662C7">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（1）表土剥离工程</w:t>
            </w:r>
          </w:p>
          <w:p w14:paraId="54E9C175">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项目区内各损毁单元压占前地类为</w:t>
            </w:r>
            <w:r>
              <w:rPr>
                <w:rFonts w:hint="eastAsia"/>
                <w:color w:val="auto"/>
                <w:sz w:val="24"/>
                <w:lang w:eastAsia="zh-CN"/>
              </w:rPr>
              <w:t>农用地</w:t>
            </w:r>
            <w:r>
              <w:rPr>
                <w:rFonts w:hint="default"/>
                <w:color w:val="auto"/>
                <w:sz w:val="24"/>
              </w:rPr>
              <w:t>，复垦后为</w:t>
            </w:r>
            <w:r>
              <w:rPr>
                <w:rFonts w:hint="eastAsia"/>
                <w:color w:val="auto"/>
                <w:sz w:val="24"/>
                <w:lang w:eastAsia="zh-CN"/>
              </w:rPr>
              <w:t>农用地</w:t>
            </w:r>
            <w:r>
              <w:rPr>
                <w:rFonts w:hint="default"/>
                <w:color w:val="auto"/>
                <w:sz w:val="24"/>
              </w:rPr>
              <w:t>。</w:t>
            </w:r>
            <w:r>
              <w:rPr>
                <w:rFonts w:hint="eastAsia"/>
                <w:color w:val="auto"/>
                <w:sz w:val="24"/>
                <w:lang w:eastAsia="zh-CN"/>
              </w:rPr>
              <w:t>钻前工程</w:t>
            </w:r>
            <w:r>
              <w:rPr>
                <w:rFonts w:hint="default"/>
                <w:color w:val="auto"/>
                <w:sz w:val="24"/>
              </w:rPr>
              <w:t>需对其表层耕作土进行剥离，剥离厚度30cm，表土堆放至项目区内空地，采用推土机进行堆放，距离20</w:t>
            </w:r>
            <w:r>
              <w:rPr>
                <w:rFonts w:hint="default"/>
                <w:color w:val="auto"/>
                <w:sz w:val="24"/>
                <w:highlight w:val="none"/>
              </w:rPr>
              <w:t>-</w:t>
            </w:r>
            <w:r>
              <w:rPr>
                <w:rFonts w:hint="default"/>
                <w:color w:val="auto"/>
                <w:sz w:val="24"/>
              </w:rPr>
              <w:t>30m，用于施工结束后复垦覆土。</w:t>
            </w:r>
          </w:p>
          <w:p w14:paraId="4079B0FB">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为保持表土养分及防止水土流失，对临时土堆采取保护措施，在土堆裸露面压实后用</w:t>
            </w:r>
            <w:r>
              <w:rPr>
                <w:rFonts w:hint="eastAsia"/>
                <w:color w:val="auto"/>
                <w:sz w:val="24"/>
                <w:lang w:eastAsia="zh-CN"/>
              </w:rPr>
              <w:t>盖土网</w:t>
            </w:r>
            <w:r>
              <w:rPr>
                <w:rFonts w:hint="default"/>
                <w:color w:val="auto"/>
                <w:sz w:val="24"/>
              </w:rPr>
              <w:t>遮盖。</w:t>
            </w:r>
          </w:p>
          <w:p w14:paraId="483BA475">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（2）翻耕工程</w:t>
            </w:r>
          </w:p>
          <w:p w14:paraId="54DEBC33">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地表附属物拆除后，利用农业机械对项目区统一进行翻耕，翻耕深度30cm。采取深翻深耕措施使原有土壤不板结，提高抗旱防涝能力。</w:t>
            </w:r>
          </w:p>
          <w:p w14:paraId="05533EF3">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（3）表土覆盖工程</w:t>
            </w:r>
          </w:p>
          <w:p w14:paraId="178FCA6D">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土地经平整后进行表土覆盖，覆土土源来自项目区临时占地剥离耕地的表层土，距离项目区约20</w:t>
            </w:r>
            <w:r>
              <w:rPr>
                <w:rFonts w:hint="default"/>
                <w:color w:val="auto"/>
                <w:sz w:val="24"/>
                <w:highlight w:val="none"/>
              </w:rPr>
              <w:t>-</w:t>
            </w:r>
            <w:r>
              <w:rPr>
                <w:rFonts w:hint="default"/>
                <w:color w:val="auto"/>
                <w:sz w:val="24"/>
              </w:rPr>
              <w:t>30m。覆土厚度为30cm。</w:t>
            </w:r>
          </w:p>
          <w:p w14:paraId="5999149B">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w:t>
            </w:r>
            <w:r>
              <w:rPr>
                <w:rFonts w:hint="eastAsia"/>
                <w:color w:val="auto"/>
                <w:sz w:val="24"/>
                <w:lang w:val="en-US" w:eastAsia="zh-CN"/>
              </w:rPr>
              <w:t>4</w:t>
            </w:r>
            <w:r>
              <w:rPr>
                <w:rFonts w:hint="default"/>
                <w:color w:val="auto"/>
                <w:sz w:val="24"/>
              </w:rPr>
              <w:t>）管护工程</w:t>
            </w:r>
          </w:p>
          <w:p w14:paraId="6C4EB997">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default"/>
                <w:color w:val="auto"/>
                <w:sz w:val="24"/>
              </w:rPr>
              <w:t>对复垦完毕的土地，由于是在破坏的土地上进行人工干预形成的可利用土地，因此其土地条件、生态环境等特性比较脆弱，因此复垦后的耕地需要3年的管护期来防止复垦土地的生态系统退化</w:t>
            </w:r>
            <w:r>
              <w:rPr>
                <w:rFonts w:hint="eastAsia"/>
                <w:color w:val="auto"/>
                <w:sz w:val="24"/>
              </w:rPr>
              <w:t>。</w:t>
            </w:r>
          </w:p>
          <w:p w14:paraId="638AB2EA">
            <w:pPr>
              <w:keepNext w:val="0"/>
              <w:keepLines w:val="0"/>
              <w:suppressLineNumbers w:val="0"/>
              <w:spacing w:before="0" w:beforeAutospacing="0" w:after="0" w:afterAutospacing="0" w:line="360" w:lineRule="auto"/>
              <w:ind w:left="0" w:right="0" w:firstLine="470" w:firstLineChars="196"/>
              <w:outlineLvl w:val="0"/>
              <w:rPr>
                <w:rFonts w:hint="default"/>
                <w:color w:val="auto"/>
                <w:sz w:val="24"/>
              </w:rPr>
            </w:pPr>
            <w:bookmarkStart w:id="21" w:name="_Toc103325991"/>
            <w:r>
              <w:rPr>
                <w:rFonts w:hint="default"/>
                <w:color w:val="auto"/>
                <w:sz w:val="24"/>
              </w:rPr>
              <w:t>4</w:t>
            </w:r>
            <w:r>
              <w:rPr>
                <w:rFonts w:hint="eastAsia"/>
                <w:color w:val="auto"/>
                <w:sz w:val="24"/>
              </w:rPr>
              <w:t>、</w:t>
            </w:r>
            <w:r>
              <w:rPr>
                <w:rFonts w:hint="default"/>
                <w:color w:val="auto"/>
                <w:sz w:val="24"/>
              </w:rPr>
              <w:t>植被保护及恢复措施</w:t>
            </w:r>
            <w:bookmarkEnd w:id="21"/>
          </w:p>
          <w:p w14:paraId="515B4F83">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植物保护的一般原则为：首先应尽量保存施工区的熟化土，对于临时用地占用部分的表层土予以收集保存，施工结束后及时清理、松土、覆盖收集的耕作土，复耕或选择当地适宜植物及时恢复绿化，尽量选择当地的乡土植物进行恢复绿化。</w:t>
            </w:r>
          </w:p>
          <w:p w14:paraId="4F0D7BA9">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针对工程区域内植物资源分布的特点，对不同的保护对象提出如下保护措施：</w:t>
            </w:r>
          </w:p>
          <w:p w14:paraId="4A3A8BB6">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1）施工作业场内的临时建筑尽可能采用成品或简易拼装方式，尽量减轻对土壤及植被的破坏。尽量减少施工人员及施工机械对作业场外地的破坏；严格规定施工车辆的行驶便道，防止施工车辆在有植被的地段任意行驶。</w:t>
            </w:r>
          </w:p>
          <w:p w14:paraId="6F5F06E4">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（2）施工便道</w:t>
            </w:r>
            <w:r>
              <w:rPr>
                <w:rFonts w:hint="eastAsia"/>
                <w:color w:val="auto"/>
                <w:sz w:val="24"/>
                <w:lang w:eastAsia="zh-CN"/>
              </w:rPr>
              <w:t>新建进场道路</w:t>
            </w:r>
            <w:r>
              <w:rPr>
                <w:rFonts w:hint="default"/>
                <w:color w:val="auto"/>
                <w:sz w:val="24"/>
              </w:rPr>
              <w:t>。</w:t>
            </w:r>
          </w:p>
          <w:p w14:paraId="0F0AD076">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（3）施工作业区域不得随意扩大范围和破坏周围，工程结束后，立即对施工井场进行恢复。</w:t>
            </w:r>
          </w:p>
          <w:p w14:paraId="76746EDC">
            <w:pPr>
              <w:keepNext w:val="0"/>
              <w:keepLines w:val="0"/>
              <w:suppressLineNumbers w:val="0"/>
              <w:spacing w:before="0" w:beforeAutospacing="0" w:after="0" w:afterAutospacing="0" w:line="360" w:lineRule="auto"/>
              <w:ind w:left="0" w:right="0" w:firstLine="480" w:firstLineChars="200"/>
              <w:jc w:val="left"/>
              <w:rPr>
                <w:rFonts w:hint="default"/>
                <w:color w:val="auto"/>
                <w:sz w:val="24"/>
              </w:rPr>
            </w:pPr>
            <w:r>
              <w:rPr>
                <w:rFonts w:hint="default"/>
                <w:color w:val="auto"/>
                <w:sz w:val="24"/>
              </w:rPr>
              <w:t>（4）加强施工人员的环保意识，不随意破坏农田。</w:t>
            </w:r>
          </w:p>
          <w:p w14:paraId="2085E806">
            <w:pPr>
              <w:keepNext w:val="0"/>
              <w:keepLines w:val="0"/>
              <w:suppressLineNumbers w:val="0"/>
              <w:spacing w:before="0" w:beforeAutospacing="0" w:after="0" w:afterAutospacing="0" w:line="360" w:lineRule="auto"/>
              <w:ind w:left="0" w:right="0" w:firstLine="470" w:firstLineChars="196"/>
              <w:outlineLvl w:val="0"/>
              <w:rPr>
                <w:rFonts w:hint="default"/>
                <w:color w:val="auto"/>
                <w:sz w:val="24"/>
              </w:rPr>
            </w:pPr>
            <w:r>
              <w:rPr>
                <w:rFonts w:hint="eastAsia"/>
                <w:color w:val="auto"/>
                <w:sz w:val="24"/>
                <w:lang w:val="en-US" w:eastAsia="zh-CN"/>
              </w:rPr>
              <w:t>5</w:t>
            </w:r>
            <w:r>
              <w:rPr>
                <w:rFonts w:hint="eastAsia"/>
                <w:color w:val="auto"/>
                <w:sz w:val="24"/>
              </w:rPr>
              <w:t>、生态恢复计划</w:t>
            </w:r>
            <w:bookmarkEnd w:id="19"/>
          </w:p>
          <w:p w14:paraId="59427018">
            <w:pPr>
              <w:keepNext w:val="0"/>
              <w:keepLines w:val="0"/>
              <w:suppressLineNumbers w:val="0"/>
              <w:spacing w:before="0" w:beforeAutospacing="0" w:after="0" w:afterAutospacing="0" w:line="360" w:lineRule="auto"/>
              <w:ind w:left="0" w:right="0" w:firstLine="480" w:firstLineChars="200"/>
              <w:rPr>
                <w:rFonts w:hint="default"/>
                <w:color w:val="auto"/>
                <w:sz w:val="24"/>
                <w:highlight w:val="yellow"/>
              </w:rPr>
            </w:pPr>
            <w:r>
              <w:rPr>
                <w:rFonts w:hint="eastAsia"/>
                <w:color w:val="auto"/>
                <w:sz w:val="24"/>
                <w:lang w:eastAsia="zh-CN"/>
              </w:rPr>
              <w:t>本工程</w:t>
            </w:r>
            <w:r>
              <w:rPr>
                <w:rFonts w:hint="eastAsia"/>
                <w:color w:val="auto"/>
                <w:sz w:val="24"/>
              </w:rPr>
              <w:t>均为临时占地，生物损失补偿措施为货币补偿和及时复垦。</w:t>
            </w:r>
            <w:r>
              <w:rPr>
                <w:rFonts w:hint="default"/>
                <w:color w:val="auto"/>
                <w:sz w:val="24"/>
              </w:rPr>
              <w:t>土地复垦对象为施工破坏的土</w:t>
            </w:r>
            <w:r>
              <w:rPr>
                <w:rFonts w:hint="default"/>
                <w:color w:val="auto"/>
                <w:sz w:val="24"/>
                <w:highlight w:val="none"/>
              </w:rPr>
              <w:t>地，</w:t>
            </w:r>
            <w:r>
              <w:rPr>
                <w:rFonts w:hint="eastAsia"/>
                <w:color w:val="auto"/>
                <w:sz w:val="24"/>
                <w:highlight w:val="none"/>
              </w:rPr>
              <w:t>若永久封井土地复垦面积为</w:t>
            </w:r>
            <w:r>
              <w:rPr>
                <w:rFonts w:hint="eastAsia"/>
                <w:color w:val="auto"/>
                <w:sz w:val="24"/>
                <w:highlight w:val="none"/>
                <w:lang w:val="en-US" w:eastAsia="zh-CN"/>
              </w:rPr>
              <w:t>16709</w:t>
            </w:r>
            <w:r>
              <w:rPr>
                <w:rFonts w:hint="eastAsia"/>
                <w:color w:val="auto"/>
                <w:sz w:val="24"/>
                <w:highlight w:val="none"/>
              </w:rPr>
              <w:t>m</w:t>
            </w:r>
            <w:r>
              <w:rPr>
                <w:rFonts w:hint="eastAsia"/>
                <w:color w:val="auto"/>
                <w:sz w:val="24"/>
                <w:highlight w:val="none"/>
                <w:vertAlign w:val="superscript"/>
              </w:rPr>
              <w:t>2</w:t>
            </w:r>
            <w:r>
              <w:rPr>
                <w:rFonts w:hint="eastAsia"/>
                <w:color w:val="auto"/>
                <w:sz w:val="24"/>
                <w:highlight w:val="none"/>
              </w:rPr>
              <w:t>，若转产能井，则均保留井场（单个井场面积约2000m</w:t>
            </w:r>
            <w:r>
              <w:rPr>
                <w:rFonts w:hint="eastAsia"/>
                <w:color w:val="auto"/>
                <w:sz w:val="24"/>
                <w:highlight w:val="none"/>
                <w:vertAlign w:val="superscript"/>
              </w:rPr>
              <w:t>2</w:t>
            </w:r>
            <w:r>
              <w:rPr>
                <w:rFonts w:hint="eastAsia"/>
                <w:color w:val="auto"/>
                <w:sz w:val="24"/>
                <w:highlight w:val="none"/>
              </w:rPr>
              <w:t>）和进场道路，则土地复垦面积为</w:t>
            </w:r>
            <w:r>
              <w:rPr>
                <w:rFonts w:hint="eastAsia"/>
                <w:color w:val="auto"/>
                <w:sz w:val="24"/>
                <w:highlight w:val="none"/>
                <w:lang w:val="en-US" w:eastAsia="zh-CN"/>
              </w:rPr>
              <w:t>5195</w:t>
            </w:r>
            <w:r>
              <w:rPr>
                <w:rFonts w:hint="eastAsia"/>
                <w:color w:val="auto"/>
                <w:sz w:val="24"/>
                <w:highlight w:val="none"/>
              </w:rPr>
              <w:t>m</w:t>
            </w:r>
            <w:r>
              <w:rPr>
                <w:rFonts w:hint="eastAsia"/>
                <w:color w:val="auto"/>
                <w:sz w:val="24"/>
                <w:highlight w:val="none"/>
                <w:vertAlign w:val="superscript"/>
              </w:rPr>
              <w:t>2</w:t>
            </w:r>
            <w:r>
              <w:rPr>
                <w:rFonts w:hint="eastAsia"/>
                <w:color w:val="auto"/>
                <w:sz w:val="24"/>
                <w:highlight w:val="none"/>
              </w:rPr>
              <w:t>。生态恢复计划</w:t>
            </w:r>
            <w:r>
              <w:rPr>
                <w:rFonts w:hint="default"/>
                <w:color w:val="auto"/>
                <w:sz w:val="24"/>
                <w:highlight w:val="none"/>
              </w:rPr>
              <w:t>见下表。</w:t>
            </w:r>
          </w:p>
          <w:p w14:paraId="651F9963">
            <w:pPr>
              <w:keepNext w:val="0"/>
              <w:keepLines w:val="0"/>
              <w:suppressLineNumbers w:val="0"/>
              <w:autoSpaceDE w:val="0"/>
              <w:autoSpaceDN w:val="0"/>
              <w:adjustRightInd w:val="0"/>
              <w:spacing w:before="0" w:beforeAutospacing="0" w:after="0" w:afterAutospacing="0"/>
              <w:ind w:left="0" w:right="0" w:firstLine="482" w:firstLineChars="200"/>
              <w:jc w:val="center"/>
              <w:rPr>
                <w:rFonts w:hint="default"/>
                <w:b/>
                <w:color w:val="auto"/>
                <w:kern w:val="0"/>
                <w:sz w:val="24"/>
                <w:szCs w:val="21"/>
              </w:rPr>
            </w:pPr>
            <w:r>
              <w:rPr>
                <w:rFonts w:hint="default"/>
                <w:b/>
                <w:color w:val="auto"/>
                <w:kern w:val="0"/>
                <w:sz w:val="24"/>
                <w:szCs w:val="21"/>
              </w:rPr>
              <w:t>表5-5</w:t>
            </w:r>
            <w:r>
              <w:rPr>
                <w:rFonts w:hint="eastAsia"/>
                <w:b/>
                <w:color w:val="auto"/>
                <w:kern w:val="0"/>
                <w:sz w:val="24"/>
                <w:szCs w:val="21"/>
              </w:rPr>
              <w:t xml:space="preserve"> 项目</w:t>
            </w:r>
            <w:r>
              <w:rPr>
                <w:rFonts w:hint="default"/>
                <w:b/>
                <w:color w:val="auto"/>
                <w:kern w:val="0"/>
                <w:sz w:val="24"/>
                <w:szCs w:val="21"/>
              </w:rPr>
              <w:t>生态恢复计划一览表</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101"/>
              <w:gridCol w:w="1802"/>
              <w:gridCol w:w="1952"/>
              <w:gridCol w:w="2071"/>
              <w:gridCol w:w="1278"/>
            </w:tblGrid>
            <w:tr w14:paraId="6C2B646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71" w:type="pct"/>
                  <w:noWrap w:val="0"/>
                  <w:tcMar>
                    <w:left w:w="0" w:type="dxa"/>
                    <w:right w:w="0" w:type="dxa"/>
                  </w:tcMar>
                  <w:vAlign w:val="center"/>
                </w:tcPr>
                <w:p w14:paraId="4B6133AF">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环境现状</w:t>
                  </w:r>
                </w:p>
              </w:tc>
              <w:tc>
                <w:tcPr>
                  <w:tcW w:w="1098" w:type="pct"/>
                  <w:noWrap w:val="0"/>
                  <w:tcMar>
                    <w:left w:w="0" w:type="dxa"/>
                    <w:right w:w="0" w:type="dxa"/>
                  </w:tcMar>
                  <w:vAlign w:val="center"/>
                </w:tcPr>
                <w:p w14:paraId="3C939210">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生态措施</w:t>
                  </w:r>
                </w:p>
              </w:tc>
              <w:tc>
                <w:tcPr>
                  <w:tcW w:w="1189" w:type="pct"/>
                  <w:noWrap w:val="0"/>
                  <w:vAlign w:val="center"/>
                </w:tcPr>
                <w:p w14:paraId="5378AC4D">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恢复物种</w:t>
                  </w:r>
                </w:p>
              </w:tc>
              <w:tc>
                <w:tcPr>
                  <w:tcW w:w="1262" w:type="pct"/>
                  <w:noWrap w:val="0"/>
                  <w:vAlign w:val="center"/>
                </w:tcPr>
                <w:p w14:paraId="329E86D2">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恢复效果</w:t>
                  </w:r>
                </w:p>
              </w:tc>
              <w:tc>
                <w:tcPr>
                  <w:tcW w:w="778" w:type="pct"/>
                  <w:noWrap w:val="0"/>
                  <w:vAlign w:val="center"/>
                </w:tcPr>
                <w:p w14:paraId="22C2F998">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恢复时间</w:t>
                  </w:r>
                </w:p>
              </w:tc>
            </w:tr>
            <w:tr w14:paraId="0053369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101" w:type="dxa"/>
                  <w:noWrap w:val="0"/>
                  <w:tcMar>
                    <w:left w:w="0" w:type="dxa"/>
                    <w:right w:w="0" w:type="dxa"/>
                  </w:tcMar>
                  <w:vAlign w:val="center"/>
                </w:tcPr>
                <w:p w14:paraId="26697734">
                  <w:pPr>
                    <w:keepNext w:val="0"/>
                    <w:keepLines w:val="0"/>
                    <w:suppressLineNumbers w:val="0"/>
                    <w:spacing w:before="0" w:beforeAutospacing="0" w:after="0" w:afterAutospacing="0"/>
                    <w:ind w:left="0" w:right="0"/>
                    <w:jc w:val="center"/>
                    <w:rPr>
                      <w:rFonts w:hint="eastAsia" w:eastAsia="宋体"/>
                      <w:color w:val="auto"/>
                      <w:kern w:val="2"/>
                      <w:sz w:val="21"/>
                      <w:szCs w:val="21"/>
                      <w:lang w:val="en-US" w:eastAsia="zh-CN" w:bidi="ar-SA"/>
                    </w:rPr>
                  </w:pPr>
                  <w:r>
                    <w:rPr>
                      <w:rFonts w:hint="eastAsia"/>
                      <w:color w:val="auto"/>
                      <w:szCs w:val="21"/>
                      <w:lang w:eastAsia="zh-CN"/>
                    </w:rPr>
                    <w:t>农用地</w:t>
                  </w:r>
                </w:p>
              </w:tc>
              <w:tc>
                <w:tcPr>
                  <w:tcW w:w="1802" w:type="dxa"/>
                  <w:noWrap w:val="0"/>
                  <w:tcMar>
                    <w:left w:w="0" w:type="dxa"/>
                    <w:right w:w="0" w:type="dxa"/>
                  </w:tcMar>
                  <w:vAlign w:val="center"/>
                </w:tcPr>
                <w:p w14:paraId="5F383398">
                  <w:pPr>
                    <w:keepNext w:val="0"/>
                    <w:keepLines w:val="0"/>
                    <w:suppressLineNumbers w:val="0"/>
                    <w:spacing w:before="0" w:beforeAutospacing="0" w:after="0" w:afterAutospacing="0"/>
                    <w:ind w:left="0" w:right="0"/>
                    <w:jc w:val="center"/>
                    <w:rPr>
                      <w:rFonts w:hint="default"/>
                      <w:color w:val="auto"/>
                      <w:kern w:val="2"/>
                      <w:sz w:val="21"/>
                      <w:szCs w:val="21"/>
                      <w:lang w:val="en-US" w:eastAsia="zh-CN" w:bidi="ar-SA"/>
                    </w:rPr>
                  </w:pPr>
                  <w:r>
                    <w:rPr>
                      <w:rFonts w:hint="default"/>
                      <w:color w:val="auto"/>
                      <w:szCs w:val="21"/>
                    </w:rPr>
                    <w:t>覆土、平整、</w:t>
                  </w:r>
                  <w:r>
                    <w:rPr>
                      <w:rFonts w:hint="eastAsia"/>
                      <w:color w:val="auto"/>
                      <w:szCs w:val="21"/>
                    </w:rPr>
                    <w:t>种植当季农作物</w:t>
                  </w:r>
                </w:p>
              </w:tc>
              <w:tc>
                <w:tcPr>
                  <w:tcW w:w="1952" w:type="dxa"/>
                  <w:noWrap w:val="0"/>
                  <w:tcMar>
                    <w:left w:w="0" w:type="dxa"/>
                    <w:right w:w="0" w:type="dxa"/>
                  </w:tcMar>
                  <w:vAlign w:val="center"/>
                </w:tcPr>
                <w:p w14:paraId="6060EE99">
                  <w:pPr>
                    <w:keepNext w:val="0"/>
                    <w:keepLines w:val="0"/>
                    <w:suppressLineNumbers w:val="0"/>
                    <w:spacing w:before="0" w:beforeAutospacing="0" w:after="0" w:afterAutospacing="0"/>
                    <w:ind w:left="0" w:right="0"/>
                    <w:jc w:val="center"/>
                    <w:rPr>
                      <w:rFonts w:hint="eastAsia" w:eastAsia="宋体"/>
                      <w:color w:val="auto"/>
                      <w:kern w:val="2"/>
                      <w:sz w:val="21"/>
                      <w:szCs w:val="21"/>
                      <w:lang w:val="en-US" w:eastAsia="zh-CN" w:bidi="ar-SA"/>
                    </w:rPr>
                  </w:pPr>
                  <w:r>
                    <w:rPr>
                      <w:rFonts w:hint="eastAsia"/>
                      <w:color w:val="auto"/>
                      <w:szCs w:val="21"/>
                    </w:rPr>
                    <w:t>当季农作物</w:t>
                  </w:r>
                </w:p>
              </w:tc>
              <w:tc>
                <w:tcPr>
                  <w:tcW w:w="1262" w:type="pct"/>
                  <w:noWrap w:val="0"/>
                  <w:tcMar>
                    <w:left w:w="0" w:type="dxa"/>
                    <w:right w:w="0" w:type="dxa"/>
                  </w:tcMar>
                  <w:vAlign w:val="center"/>
                </w:tcPr>
                <w:p w14:paraId="4BB54B47">
                  <w:pPr>
                    <w:keepNext w:val="0"/>
                    <w:keepLines w:val="0"/>
                    <w:suppressLineNumbers w:val="0"/>
                    <w:spacing w:before="0" w:beforeAutospacing="0" w:after="0" w:afterAutospacing="0"/>
                    <w:ind w:left="0" w:right="0"/>
                    <w:jc w:val="left"/>
                    <w:rPr>
                      <w:rFonts w:hint="default"/>
                      <w:color w:val="auto"/>
                      <w:szCs w:val="21"/>
                    </w:rPr>
                  </w:pPr>
                  <w:r>
                    <w:rPr>
                      <w:rFonts w:hint="default"/>
                      <w:color w:val="auto"/>
                      <w:szCs w:val="21"/>
                    </w:rPr>
                    <w:t>恢复临时占地原生态功能，土地复垦率100%</w:t>
                  </w:r>
                </w:p>
              </w:tc>
              <w:tc>
                <w:tcPr>
                  <w:tcW w:w="778" w:type="pct"/>
                  <w:noWrap w:val="0"/>
                  <w:vAlign w:val="center"/>
                </w:tcPr>
                <w:p w14:paraId="2570E54B">
                  <w:pPr>
                    <w:keepNext w:val="0"/>
                    <w:keepLines w:val="0"/>
                    <w:suppressLineNumbers w:val="0"/>
                    <w:spacing w:before="0" w:beforeAutospacing="0" w:after="0" w:afterAutospacing="0"/>
                    <w:ind w:left="0" w:right="0"/>
                    <w:jc w:val="center"/>
                    <w:rPr>
                      <w:rFonts w:hint="eastAsia" w:eastAsia="宋体"/>
                      <w:color w:val="auto"/>
                      <w:szCs w:val="21"/>
                      <w:lang w:eastAsia="zh-CN"/>
                    </w:rPr>
                  </w:pPr>
                  <w:r>
                    <w:rPr>
                      <w:rFonts w:hint="default"/>
                      <w:color w:val="auto"/>
                      <w:szCs w:val="21"/>
                    </w:rPr>
                    <w:t>202</w:t>
                  </w:r>
                  <w:r>
                    <w:rPr>
                      <w:rFonts w:hint="eastAsia"/>
                      <w:color w:val="auto"/>
                      <w:szCs w:val="21"/>
                      <w:lang w:val="en-US" w:eastAsia="zh-CN"/>
                    </w:rPr>
                    <w:t>6</w:t>
                  </w:r>
                  <w:r>
                    <w:rPr>
                      <w:rFonts w:hint="default"/>
                      <w:color w:val="auto"/>
                      <w:szCs w:val="21"/>
                    </w:rPr>
                    <w:t>~202</w:t>
                  </w:r>
                  <w:r>
                    <w:rPr>
                      <w:rFonts w:hint="eastAsia"/>
                      <w:color w:val="auto"/>
                      <w:szCs w:val="21"/>
                      <w:lang w:val="en-US" w:eastAsia="zh-CN"/>
                    </w:rPr>
                    <w:t>7</w:t>
                  </w:r>
                </w:p>
              </w:tc>
            </w:tr>
          </w:tbl>
          <w:p w14:paraId="61286B34">
            <w:pPr>
              <w:keepNext w:val="0"/>
              <w:keepLines w:val="0"/>
              <w:suppressLineNumbers w:val="0"/>
              <w:spacing w:before="0" w:beforeAutospacing="0" w:after="0" w:afterAutospacing="0" w:line="360" w:lineRule="auto"/>
              <w:ind w:left="0" w:right="0" w:firstLine="482" w:firstLineChars="200"/>
              <w:rPr>
                <w:rFonts w:hint="default"/>
                <w:color w:val="auto"/>
                <w:sz w:val="24"/>
                <w:szCs w:val="32"/>
              </w:rPr>
            </w:pPr>
            <w:r>
              <w:rPr>
                <w:rFonts w:hint="eastAsia"/>
                <w:b/>
                <w:color w:val="auto"/>
                <w:sz w:val="24"/>
                <w:szCs w:val="32"/>
              </w:rPr>
              <w:t>七</w:t>
            </w:r>
            <w:r>
              <w:rPr>
                <w:rFonts w:hint="default"/>
                <w:b/>
                <w:color w:val="auto"/>
                <w:sz w:val="24"/>
                <w:szCs w:val="32"/>
              </w:rPr>
              <w:t>、事故风险分析</w:t>
            </w:r>
          </w:p>
          <w:p w14:paraId="26B82B15">
            <w:pPr>
              <w:keepNext w:val="0"/>
              <w:keepLines w:val="0"/>
              <w:suppressLineNumbers w:val="0"/>
              <w:spacing w:before="0" w:beforeAutospacing="0" w:after="0" w:afterAutospacing="0" w:line="360" w:lineRule="auto"/>
              <w:ind w:left="0" w:right="0" w:firstLine="480" w:firstLineChars="200"/>
              <w:rPr>
                <w:rFonts w:hint="default"/>
                <w:bCs/>
                <w:color w:val="auto"/>
                <w:sz w:val="24"/>
                <w:szCs w:val="32"/>
              </w:rPr>
            </w:pPr>
            <w:r>
              <w:rPr>
                <w:rFonts w:hint="default"/>
                <w:bCs/>
                <w:color w:val="auto"/>
                <w:sz w:val="24"/>
                <w:szCs w:val="32"/>
              </w:rPr>
              <w:t>（1）大气环境风险防范措施</w:t>
            </w:r>
          </w:p>
          <w:p w14:paraId="236070F6">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eastAsia" w:ascii="宋体" w:hAnsi="宋体" w:cs="宋体"/>
                <w:color w:val="auto"/>
                <w:sz w:val="24"/>
                <w:szCs w:val="32"/>
              </w:rPr>
              <w:t>①</w:t>
            </w:r>
            <w:r>
              <w:rPr>
                <w:rFonts w:hint="default"/>
                <w:color w:val="auto"/>
                <w:sz w:val="24"/>
                <w:szCs w:val="32"/>
              </w:rPr>
              <w:t>钻探工程井控措施</w:t>
            </w:r>
          </w:p>
          <w:p w14:paraId="4CAA5300">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default"/>
                <w:color w:val="auto"/>
                <w:sz w:val="24"/>
                <w:szCs w:val="32"/>
              </w:rPr>
              <w:t>钻井过程中严格按照《石油天然气工业健康、安全与环境管理体系》</w:t>
            </w:r>
            <w:r>
              <w:rPr>
                <w:rFonts w:hint="eastAsia"/>
                <w:color w:val="auto"/>
                <w:sz w:val="24"/>
                <w:szCs w:val="32"/>
              </w:rPr>
              <w:t>（</w:t>
            </w:r>
            <w:r>
              <w:rPr>
                <w:rFonts w:hint="default"/>
                <w:color w:val="auto"/>
                <w:sz w:val="24"/>
                <w:szCs w:val="32"/>
              </w:rPr>
              <w:t>SY/T 6276-2014</w:t>
            </w:r>
            <w:r>
              <w:rPr>
                <w:rFonts w:hint="eastAsia"/>
                <w:color w:val="auto"/>
                <w:sz w:val="24"/>
                <w:szCs w:val="32"/>
              </w:rPr>
              <w:t>）</w:t>
            </w:r>
            <w:r>
              <w:rPr>
                <w:rFonts w:hint="default"/>
                <w:color w:val="auto"/>
                <w:sz w:val="24"/>
                <w:szCs w:val="32"/>
              </w:rPr>
              <w:t>、《石油天然气钻井作业健康、安全与环境管理导则》</w:t>
            </w:r>
            <w:r>
              <w:rPr>
                <w:rFonts w:hint="eastAsia"/>
                <w:color w:val="auto"/>
                <w:sz w:val="24"/>
              </w:rPr>
              <w:t>（</w:t>
            </w:r>
            <w:r>
              <w:rPr>
                <w:rFonts w:hint="default"/>
                <w:color w:val="auto"/>
                <w:sz w:val="24"/>
              </w:rPr>
              <w:t>Q/SY 1053-2010</w:t>
            </w:r>
            <w:r>
              <w:rPr>
                <w:rFonts w:hint="eastAsia"/>
                <w:color w:val="auto"/>
                <w:sz w:val="24"/>
              </w:rPr>
              <w:t>）</w:t>
            </w:r>
            <w:r>
              <w:rPr>
                <w:rFonts w:hint="eastAsia"/>
                <w:color w:val="auto"/>
                <w:sz w:val="24"/>
                <w:szCs w:val="32"/>
              </w:rPr>
              <w:t>、</w:t>
            </w:r>
            <w:r>
              <w:rPr>
                <w:rFonts w:hint="default"/>
                <w:color w:val="auto"/>
                <w:sz w:val="24"/>
                <w:szCs w:val="32"/>
              </w:rPr>
              <w:t>《</w:t>
            </w:r>
            <w:r>
              <w:rPr>
                <w:rFonts w:hint="eastAsia"/>
                <w:color w:val="auto"/>
                <w:sz w:val="24"/>
                <w:szCs w:val="32"/>
              </w:rPr>
              <w:t>石油天然气钻井井控技术规范</w:t>
            </w:r>
            <w:r>
              <w:rPr>
                <w:rFonts w:hint="default"/>
                <w:color w:val="auto"/>
                <w:sz w:val="24"/>
                <w:szCs w:val="32"/>
              </w:rPr>
              <w:t>》（GB/T 31033-2014）、《</w:t>
            </w:r>
            <w:r>
              <w:rPr>
                <w:rFonts w:hint="eastAsia"/>
                <w:color w:val="auto"/>
                <w:sz w:val="24"/>
                <w:szCs w:val="32"/>
              </w:rPr>
              <w:t>硫化氢环境钻井场所作业安全规范</w:t>
            </w:r>
            <w:r>
              <w:rPr>
                <w:rFonts w:hint="default"/>
                <w:color w:val="auto"/>
                <w:sz w:val="24"/>
                <w:szCs w:val="32"/>
              </w:rPr>
              <w:t>》（SY/T5087-20</w:t>
            </w:r>
            <w:r>
              <w:rPr>
                <w:rFonts w:hint="eastAsia"/>
                <w:color w:val="auto"/>
                <w:sz w:val="24"/>
                <w:szCs w:val="32"/>
              </w:rPr>
              <w:t>17</w:t>
            </w:r>
            <w:r>
              <w:rPr>
                <w:rFonts w:hint="default"/>
                <w:color w:val="auto"/>
                <w:sz w:val="24"/>
                <w:szCs w:val="32"/>
              </w:rPr>
              <w:t>）等行业相关规范和《钻井设计》的要求进行工程控制，在工艺设备硬件上防止井喷事故。</w:t>
            </w:r>
          </w:p>
          <w:p w14:paraId="66B7FAF5">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eastAsia"/>
                <w:color w:val="auto"/>
                <w:sz w:val="24"/>
                <w:szCs w:val="32"/>
              </w:rPr>
              <w:t>主要有以下几方面：</w:t>
            </w:r>
          </w:p>
          <w:p w14:paraId="18A53806">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default"/>
                <w:color w:val="auto"/>
                <w:sz w:val="24"/>
                <w:szCs w:val="32"/>
              </w:rPr>
              <w:t>a</w:t>
            </w:r>
            <w:r>
              <w:rPr>
                <w:rFonts w:hint="eastAsia"/>
                <w:color w:val="auto"/>
                <w:sz w:val="24"/>
                <w:szCs w:val="32"/>
              </w:rPr>
              <w:t>井喷风险井控防范措施</w:t>
            </w:r>
          </w:p>
          <w:p w14:paraId="521F9FD3">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eastAsia"/>
                <w:color w:val="auto"/>
                <w:sz w:val="24"/>
                <w:szCs w:val="32"/>
              </w:rPr>
              <w:t>利用防喷装置控制井口压力来预防井喷。</w:t>
            </w:r>
          </w:p>
          <w:p w14:paraId="276970CC">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eastAsia"/>
                <w:color w:val="auto"/>
                <w:sz w:val="24"/>
                <w:szCs w:val="32"/>
              </w:rPr>
              <w:t>当出现井涌现象时，可临时关闭防喷器，争取时间循环泥浆，消除气侵，或调配重泥浆压井，预防井喷。</w:t>
            </w:r>
          </w:p>
          <w:p w14:paraId="65232584">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eastAsia"/>
                <w:color w:val="auto"/>
                <w:sz w:val="24"/>
                <w:szCs w:val="32"/>
              </w:rPr>
              <w:t>当用重泥浆压井仍然不能阻止井喷时，需要继续关闭防喷气器，同时打开和防喷器相连的排液管，外排油气，以降低井口承受压力，进一步用重泥浆压井，此时可以防止井喷失控。</w:t>
            </w:r>
          </w:p>
          <w:p w14:paraId="6EF8169D">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default"/>
                <w:color w:val="auto"/>
                <w:sz w:val="24"/>
                <w:szCs w:val="32"/>
              </w:rPr>
              <w:t>b</w:t>
            </w:r>
            <w:r>
              <w:rPr>
                <w:rFonts w:hint="eastAsia"/>
                <w:color w:val="auto"/>
                <w:sz w:val="24"/>
                <w:szCs w:val="32"/>
              </w:rPr>
              <w:t>固井作业井喷防范措施</w:t>
            </w:r>
          </w:p>
          <w:p w14:paraId="78BB4917">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eastAsia"/>
                <w:color w:val="auto"/>
                <w:sz w:val="24"/>
                <w:szCs w:val="32"/>
              </w:rPr>
              <w:t>通井期间应处理好钻井液性能，符合固井设计要求，坚持平衡压力固井，确保钻井液和水泥浆液</w:t>
            </w:r>
            <w:r>
              <w:rPr>
                <w:rFonts w:hint="eastAsia"/>
                <w:color w:val="auto"/>
                <w:sz w:val="24"/>
                <w:szCs w:val="32"/>
                <w:highlight w:val="none"/>
              </w:rPr>
              <w:t>柱压力</w:t>
            </w:r>
            <w:r>
              <w:rPr>
                <w:rFonts w:hint="eastAsia"/>
                <w:color w:val="auto"/>
                <w:sz w:val="24"/>
                <w:szCs w:val="32"/>
              </w:rPr>
              <w:t>压稳油、水层。</w:t>
            </w:r>
          </w:p>
          <w:p w14:paraId="49081745">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eastAsia"/>
                <w:color w:val="auto"/>
                <w:sz w:val="24"/>
                <w:szCs w:val="32"/>
              </w:rPr>
              <w:t>下套管前检查好井控系统，更换半封防喷器芯子，与套管尺寸一致，并按井控规定试压合格；下尾管作业前准备好防喷单根。</w:t>
            </w:r>
          </w:p>
          <w:p w14:paraId="5EE0EEA1">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eastAsia"/>
                <w:color w:val="auto"/>
                <w:sz w:val="24"/>
                <w:szCs w:val="32"/>
              </w:rPr>
              <w:t>下套管前，应换装与套管尺寸相同的半封闸板。固井全过程应保持井内压力平衡，防止固井作业中因井漏、候凝期间因水泥浆失重造成井内压力平衡被破坏而导致的井喷。</w:t>
            </w:r>
          </w:p>
          <w:p w14:paraId="3FC520AC">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eastAsia"/>
                <w:color w:val="auto"/>
                <w:sz w:val="24"/>
                <w:szCs w:val="32"/>
              </w:rPr>
              <w:t>下套管过程中，应专人负责观察钻井液出口、钻井液循环罐液面变化情况，如有异常，要及时按程序汇报与处理。</w:t>
            </w:r>
          </w:p>
          <w:p w14:paraId="650FBD0D">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eastAsia"/>
                <w:color w:val="auto"/>
                <w:sz w:val="24"/>
                <w:szCs w:val="32"/>
              </w:rPr>
              <w:t>在确定国内固井水泥生产厂家后，对生产厂家的制造工艺和质量控制进行审核，确定制造商的水泥的批次规模和产量，对合格批次水泥从制造到使用点进行全程跟踪。另外，对多产层等关键的井段采用进口水泥，确保更稳定的质量和可预测的性能。</w:t>
            </w:r>
          </w:p>
          <w:p w14:paraId="75B21C98">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eastAsia"/>
                <w:color w:val="auto"/>
                <w:sz w:val="24"/>
                <w:szCs w:val="32"/>
              </w:rPr>
              <w:t>尾管悬挂器与尾管顶部封隔器结合使用，以确保尾管的固井质量和防止产层气体上窜。</w:t>
            </w:r>
          </w:p>
          <w:p w14:paraId="7EF83ED3">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default"/>
                <w:color w:val="auto"/>
                <w:sz w:val="24"/>
                <w:szCs w:val="32"/>
              </w:rPr>
              <w:t>c</w:t>
            </w:r>
            <w:r>
              <w:rPr>
                <w:rFonts w:hint="eastAsia"/>
                <w:color w:val="auto"/>
                <w:sz w:val="24"/>
                <w:szCs w:val="32"/>
              </w:rPr>
              <w:t>测井过程井喷风险防范</w:t>
            </w:r>
          </w:p>
          <w:p w14:paraId="7141B898">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eastAsia"/>
                <w:color w:val="auto"/>
                <w:sz w:val="24"/>
                <w:szCs w:val="32"/>
              </w:rPr>
              <w:t>测井作业人员充分了解钻井防喷器顶部法兰连接规范。</w:t>
            </w:r>
          </w:p>
          <w:p w14:paraId="54A882D6">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eastAsia"/>
                <w:color w:val="auto"/>
                <w:sz w:val="24"/>
                <w:szCs w:val="32"/>
              </w:rPr>
              <w:t>电缆防喷管底部法兰与钻井防喷器顶部法兰连接密封可靠；防喷管中应配备测井仪器的防落装置；电缆防喷装置满足井口控压要求并试压。</w:t>
            </w:r>
          </w:p>
          <w:p w14:paraId="22AAA54B">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eastAsia"/>
                <w:color w:val="auto"/>
                <w:sz w:val="24"/>
                <w:szCs w:val="32"/>
              </w:rPr>
              <w:t>电测时发生溢流应尽快起出井内电缆；如果条件不允许，则立即剪断电缆，按空井溢流关井操作程序关井，不允许用关闭环形防喷器的方法继续起电缆。若是钻具传输测井，则剪断电缆</w:t>
            </w:r>
            <w:r>
              <w:rPr>
                <w:rFonts w:hint="eastAsia"/>
                <w:color w:val="auto"/>
                <w:sz w:val="24"/>
                <w:szCs w:val="32"/>
                <w:highlight w:val="none"/>
              </w:rPr>
              <w:t>按起</w:t>
            </w:r>
            <w:r>
              <w:rPr>
                <w:rFonts w:hint="eastAsia"/>
                <w:color w:val="auto"/>
                <w:sz w:val="24"/>
                <w:szCs w:val="32"/>
              </w:rPr>
              <w:t>下钻中发生溢流进行处理。</w:t>
            </w:r>
          </w:p>
          <w:p w14:paraId="0D78770F">
            <w:pPr>
              <w:keepNext w:val="0"/>
              <w:keepLines w:val="0"/>
              <w:suppressLineNumbers w:val="0"/>
              <w:spacing w:before="0" w:beforeAutospacing="0" w:after="0" w:afterAutospacing="0" w:line="360" w:lineRule="auto"/>
              <w:ind w:left="0" w:right="0" w:firstLine="480" w:firstLineChars="200"/>
              <w:rPr>
                <w:rFonts w:hint="eastAsia"/>
                <w:color w:val="auto"/>
                <w:sz w:val="24"/>
                <w:szCs w:val="32"/>
              </w:rPr>
            </w:pPr>
            <w:r>
              <w:rPr>
                <w:rFonts w:hint="default"/>
                <w:color w:val="auto"/>
                <w:sz w:val="24"/>
                <w:szCs w:val="32"/>
              </w:rPr>
              <w:t>d</w:t>
            </w:r>
            <w:r>
              <w:rPr>
                <w:rFonts w:hint="eastAsia"/>
                <w:color w:val="auto"/>
                <w:sz w:val="24"/>
                <w:szCs w:val="32"/>
              </w:rPr>
              <w:t>防火、防爆措施</w:t>
            </w:r>
          </w:p>
          <w:p w14:paraId="4EF04A52">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default"/>
                <w:color w:val="auto"/>
                <w:sz w:val="24"/>
                <w:szCs w:val="32"/>
              </w:rPr>
              <w:t>发电房摆放按</w:t>
            </w:r>
            <w:r>
              <w:rPr>
                <w:rFonts w:hint="eastAsia"/>
                <w:color w:val="auto"/>
                <w:sz w:val="24"/>
                <w:szCs w:val="32"/>
              </w:rPr>
              <w:t>《石油天然气钻井、开发、储运防火防爆安全生产技术规程》（</w:t>
            </w:r>
            <w:r>
              <w:rPr>
                <w:rFonts w:hint="default"/>
                <w:color w:val="auto"/>
                <w:sz w:val="24"/>
                <w:szCs w:val="32"/>
              </w:rPr>
              <w:t>SY/T 5225</w:t>
            </w:r>
            <w:r>
              <w:rPr>
                <w:rFonts w:hint="eastAsia"/>
                <w:color w:val="auto"/>
                <w:sz w:val="24"/>
                <w:szCs w:val="32"/>
              </w:rPr>
              <w:t>-2019）</w:t>
            </w:r>
            <w:r>
              <w:rPr>
                <w:rFonts w:hint="default"/>
                <w:color w:val="auto"/>
                <w:sz w:val="24"/>
                <w:szCs w:val="32"/>
              </w:rPr>
              <w:t>中的相应规定执行。井场电器设备、照明器具及输电线路的安装应符合</w:t>
            </w:r>
            <w:r>
              <w:rPr>
                <w:rFonts w:hint="eastAsia"/>
                <w:color w:val="auto"/>
                <w:sz w:val="24"/>
                <w:szCs w:val="32"/>
              </w:rPr>
              <w:t>技术规程</w:t>
            </w:r>
            <w:r>
              <w:rPr>
                <w:rFonts w:hint="default"/>
                <w:color w:val="auto"/>
                <w:sz w:val="24"/>
                <w:szCs w:val="32"/>
              </w:rPr>
              <w:t>中的相应规定。柴油机排气管应无破漏和积炭，并有冷却灭火装置。</w:t>
            </w:r>
          </w:p>
          <w:p w14:paraId="4EE0FAFB">
            <w:pPr>
              <w:keepNext w:val="0"/>
              <w:keepLines w:val="0"/>
              <w:suppressLineNumbers w:val="0"/>
              <w:spacing w:before="0" w:beforeAutospacing="0" w:after="0" w:afterAutospacing="0" w:line="360" w:lineRule="auto"/>
              <w:ind w:left="0" w:right="0" w:firstLine="480" w:firstLineChars="200"/>
              <w:rPr>
                <w:rFonts w:hint="eastAsia"/>
                <w:color w:val="auto"/>
                <w:sz w:val="24"/>
                <w:szCs w:val="32"/>
              </w:rPr>
            </w:pPr>
            <w:r>
              <w:rPr>
                <w:rFonts w:hint="default"/>
                <w:color w:val="auto"/>
                <w:sz w:val="24"/>
                <w:szCs w:val="32"/>
              </w:rPr>
              <w:t>e</w:t>
            </w:r>
            <w:r>
              <w:rPr>
                <w:rFonts w:hint="eastAsia"/>
                <w:color w:val="auto"/>
                <w:sz w:val="24"/>
                <w:szCs w:val="32"/>
              </w:rPr>
              <w:t>防</w:t>
            </w:r>
            <w:r>
              <w:rPr>
                <w:rFonts w:hint="default"/>
                <w:color w:val="auto"/>
                <w:sz w:val="24"/>
                <w:szCs w:val="32"/>
              </w:rPr>
              <w:t>H</w:t>
            </w:r>
            <w:r>
              <w:rPr>
                <w:rFonts w:hint="default"/>
                <w:color w:val="auto"/>
                <w:sz w:val="24"/>
                <w:szCs w:val="32"/>
                <w:vertAlign w:val="subscript"/>
              </w:rPr>
              <w:t>2</w:t>
            </w:r>
            <w:r>
              <w:rPr>
                <w:rFonts w:hint="default"/>
                <w:color w:val="auto"/>
                <w:sz w:val="24"/>
                <w:szCs w:val="32"/>
              </w:rPr>
              <w:t>S</w:t>
            </w:r>
            <w:r>
              <w:rPr>
                <w:rFonts w:hint="eastAsia"/>
                <w:color w:val="auto"/>
                <w:sz w:val="24"/>
                <w:szCs w:val="32"/>
              </w:rPr>
              <w:t>措施</w:t>
            </w:r>
          </w:p>
          <w:p w14:paraId="2E46E541">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default"/>
                <w:color w:val="auto"/>
                <w:sz w:val="24"/>
                <w:szCs w:val="32"/>
              </w:rPr>
              <w:t>虽然本工程所在区域所钻井相同层位未发现H</w:t>
            </w:r>
            <w:r>
              <w:rPr>
                <w:rFonts w:hint="default"/>
                <w:color w:val="auto"/>
                <w:sz w:val="24"/>
                <w:szCs w:val="32"/>
                <w:vertAlign w:val="subscript"/>
              </w:rPr>
              <w:t>2</w:t>
            </w:r>
            <w:r>
              <w:rPr>
                <w:rFonts w:hint="default"/>
                <w:color w:val="auto"/>
                <w:sz w:val="24"/>
                <w:szCs w:val="32"/>
              </w:rPr>
              <w:t>S等有毒有害气体，但考虑到本工程所穿地层H</w:t>
            </w:r>
            <w:r>
              <w:rPr>
                <w:rFonts w:hint="default"/>
                <w:color w:val="auto"/>
                <w:sz w:val="24"/>
                <w:szCs w:val="32"/>
                <w:vertAlign w:val="subscript"/>
              </w:rPr>
              <w:t>2</w:t>
            </w:r>
            <w:r>
              <w:rPr>
                <w:rFonts w:hint="default"/>
                <w:color w:val="auto"/>
                <w:sz w:val="24"/>
                <w:szCs w:val="32"/>
              </w:rPr>
              <w:t>S含量的不确定性，</w:t>
            </w:r>
            <w:r>
              <w:rPr>
                <w:rFonts w:hint="eastAsia"/>
                <w:color w:val="auto"/>
                <w:sz w:val="24"/>
                <w:szCs w:val="32"/>
                <w:lang w:eastAsia="zh-CN"/>
              </w:rPr>
              <w:t>本工程</w:t>
            </w:r>
            <w:r>
              <w:rPr>
                <w:rFonts w:hint="default"/>
                <w:color w:val="auto"/>
                <w:sz w:val="24"/>
                <w:szCs w:val="32"/>
              </w:rPr>
              <w:t>仍参照执行</w:t>
            </w:r>
            <w:r>
              <w:rPr>
                <w:rFonts w:hint="eastAsia"/>
                <w:color w:val="auto"/>
                <w:sz w:val="24"/>
                <w:szCs w:val="32"/>
              </w:rPr>
              <w:t>《硫化氢环境钻井场所作业安全规范》（SY/T5087-2017）</w:t>
            </w:r>
            <w:r>
              <w:rPr>
                <w:rFonts w:hint="default"/>
                <w:color w:val="auto"/>
                <w:sz w:val="24"/>
                <w:szCs w:val="32"/>
              </w:rPr>
              <w:t>行业规范中规定的防H</w:t>
            </w:r>
            <w:r>
              <w:rPr>
                <w:rFonts w:hint="default"/>
                <w:color w:val="auto"/>
                <w:sz w:val="24"/>
                <w:szCs w:val="32"/>
                <w:vertAlign w:val="subscript"/>
              </w:rPr>
              <w:t>2</w:t>
            </w:r>
            <w:r>
              <w:rPr>
                <w:rFonts w:hint="default"/>
                <w:color w:val="auto"/>
                <w:sz w:val="24"/>
                <w:szCs w:val="32"/>
              </w:rPr>
              <w:t>S措施：在井架上、井场盛行风入口处等地应设置风向标，一旦发生紧急情况，作业人员可向上风方向疏散。钻台上下、振动筛、循环罐等气体易聚积的场所设置固定式气体报警装置</w:t>
            </w:r>
            <w:r>
              <w:rPr>
                <w:rFonts w:hint="eastAsia"/>
                <w:color w:val="auto"/>
                <w:sz w:val="24"/>
                <w:szCs w:val="32"/>
              </w:rPr>
              <w:t>，并</w:t>
            </w:r>
            <w:r>
              <w:rPr>
                <w:rFonts w:hint="default"/>
                <w:color w:val="auto"/>
                <w:sz w:val="24"/>
                <w:szCs w:val="32"/>
              </w:rPr>
              <w:t>按规定配备</w:t>
            </w:r>
            <w:r>
              <w:rPr>
                <w:rFonts w:hint="eastAsia"/>
                <w:color w:val="auto"/>
                <w:sz w:val="24"/>
                <w:szCs w:val="32"/>
              </w:rPr>
              <w:t>便携式</w:t>
            </w:r>
            <w:r>
              <w:rPr>
                <w:rFonts w:hint="default"/>
                <w:color w:val="auto"/>
                <w:sz w:val="24"/>
                <w:szCs w:val="32"/>
              </w:rPr>
              <w:t>有毒有害气体检测仪和防护器具，做到人人会使用、会维护、会检查，同时安装防爆排风扇以驱散工作场所弥漫的有害、可燃气体。</w:t>
            </w:r>
          </w:p>
          <w:p w14:paraId="151427B7">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eastAsia" w:ascii="宋体" w:hAnsi="宋体"/>
                <w:color w:val="auto"/>
                <w:sz w:val="24"/>
                <w:szCs w:val="32"/>
              </w:rPr>
              <w:t>②</w:t>
            </w:r>
            <w:r>
              <w:rPr>
                <w:rFonts w:hint="default"/>
                <w:color w:val="auto"/>
                <w:sz w:val="24"/>
                <w:szCs w:val="32"/>
              </w:rPr>
              <w:t>原油泄漏事故防治措施</w:t>
            </w:r>
          </w:p>
          <w:p w14:paraId="6FF62551">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lang w:eastAsia="zh-CN"/>
              </w:rPr>
              <w:t>本工程</w:t>
            </w:r>
            <w:r>
              <w:rPr>
                <w:rFonts w:hint="default"/>
                <w:color w:val="auto"/>
                <w:sz w:val="24"/>
              </w:rPr>
              <w:t>储</w:t>
            </w:r>
            <w:r>
              <w:rPr>
                <w:rFonts w:hint="eastAsia"/>
                <w:color w:val="auto"/>
                <w:sz w:val="24"/>
              </w:rPr>
              <w:t>液</w:t>
            </w:r>
            <w:r>
              <w:rPr>
                <w:rFonts w:hint="default"/>
                <w:color w:val="auto"/>
                <w:sz w:val="24"/>
              </w:rPr>
              <w:t>罐区设置</w:t>
            </w:r>
            <w:r>
              <w:rPr>
                <w:rFonts w:hint="eastAsia"/>
                <w:color w:val="auto"/>
                <w:sz w:val="24"/>
              </w:rPr>
              <w:t>20cm高</w:t>
            </w:r>
            <w:r>
              <w:rPr>
                <w:rFonts w:hint="default"/>
                <w:color w:val="auto"/>
                <w:sz w:val="24"/>
              </w:rPr>
              <w:t>围堰，围堰内铺设防渗膜，可以有效收集储</w:t>
            </w:r>
            <w:r>
              <w:rPr>
                <w:rFonts w:hint="eastAsia"/>
                <w:color w:val="auto"/>
                <w:sz w:val="24"/>
              </w:rPr>
              <w:t>液</w:t>
            </w:r>
            <w:r>
              <w:rPr>
                <w:rFonts w:hint="default"/>
                <w:color w:val="auto"/>
                <w:sz w:val="24"/>
              </w:rPr>
              <w:t>罐</w:t>
            </w:r>
            <w:r>
              <w:rPr>
                <w:rFonts w:hint="eastAsia"/>
                <w:color w:val="auto"/>
                <w:sz w:val="24"/>
              </w:rPr>
              <w:t>泄漏</w:t>
            </w:r>
            <w:r>
              <w:rPr>
                <w:rFonts w:hint="default"/>
                <w:color w:val="auto"/>
                <w:sz w:val="24"/>
              </w:rPr>
              <w:t>原油。</w:t>
            </w:r>
          </w:p>
          <w:p w14:paraId="59DB53D2">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eastAsia" w:ascii="宋体" w:hAnsi="宋体" w:cs="宋体"/>
                <w:color w:val="auto"/>
                <w:sz w:val="24"/>
                <w:szCs w:val="32"/>
              </w:rPr>
              <w:t>③</w:t>
            </w:r>
            <w:r>
              <w:rPr>
                <w:rFonts w:hint="eastAsia"/>
                <w:color w:val="auto"/>
                <w:sz w:val="24"/>
                <w:szCs w:val="32"/>
              </w:rPr>
              <w:t>试油过程原油输送管线防控措施</w:t>
            </w:r>
          </w:p>
          <w:p w14:paraId="7F0BA4F6">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eastAsia"/>
                <w:color w:val="auto"/>
                <w:sz w:val="24"/>
                <w:szCs w:val="32"/>
              </w:rPr>
              <w:t>管线敷设前，应加强对管材和焊接质量的检查，严禁使用不合格产品。对焊接质量严格检验，防止焊接缺陷造成泄漏事故的发生。</w:t>
            </w:r>
          </w:p>
          <w:p w14:paraId="0B0F563A">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eastAsia"/>
                <w:color w:val="auto"/>
                <w:sz w:val="24"/>
                <w:szCs w:val="32"/>
              </w:rPr>
              <w:t>输油管线下方铺设防油防渗布，一旦管线泄漏可有效收集泄漏的原油，并定期检查管道防渗布是否完整，在发生泄漏事故时能够及时处理；</w:t>
            </w:r>
          </w:p>
          <w:p w14:paraId="2CC0A839">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eastAsia"/>
                <w:color w:val="auto"/>
                <w:sz w:val="24"/>
                <w:szCs w:val="32"/>
              </w:rPr>
              <w:t>若发生泄漏：在管道发生断裂、漏油事故时，按顺序停泵或关井。抢修队根据现场情况及时抢修，做好安全防范工作，把损失控制在最小范围内。</w:t>
            </w:r>
          </w:p>
          <w:p w14:paraId="68EDD206">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default"/>
                <w:color w:val="auto"/>
                <w:sz w:val="24"/>
                <w:szCs w:val="32"/>
              </w:rPr>
              <w:t>收泄漏原油：将防渗布收集的泄漏原油回收，若泄漏扩大，防渗布不能完全收集泄漏原油，首先限制地表污染的扩大。油受重力和地形的控制，会流向低洼地带，应尽量防止泄漏石油移动。在现场挖土安装集油装置，利用防爆型油泵或隔膜泵将泄漏的油品抽入桶内或槽车内进行收集回收，同时交通运输组调集足够数量的油罐车到达现场。</w:t>
            </w:r>
            <w:r>
              <w:rPr>
                <w:rFonts w:hint="default"/>
                <w:color w:val="auto"/>
                <w:sz w:val="24"/>
              </w:rPr>
              <w:t>造成</w:t>
            </w:r>
            <w:r>
              <w:rPr>
                <w:rFonts w:hint="eastAsia"/>
                <w:color w:val="auto"/>
                <w:sz w:val="24"/>
                <w:lang w:eastAsia="zh-CN"/>
              </w:rPr>
              <w:t>地</w:t>
            </w:r>
            <w:r>
              <w:rPr>
                <w:rFonts w:hint="default"/>
                <w:color w:val="auto"/>
                <w:sz w:val="24"/>
              </w:rPr>
              <w:t>污染建设单位应根据《污染地块土壤环境管理办法（试行）》（中华人民共和国</w:t>
            </w:r>
            <w:r>
              <w:rPr>
                <w:rFonts w:hint="default"/>
                <w:color w:val="auto"/>
                <w:sz w:val="24"/>
                <w:highlight w:val="none"/>
              </w:rPr>
              <w:t>环境保护部</w:t>
            </w:r>
            <w:r>
              <w:rPr>
                <w:rFonts w:hint="default"/>
                <w:color w:val="auto"/>
                <w:sz w:val="24"/>
              </w:rPr>
              <w:t>令 第42号）确定责任权属，对污染地块开展环境调查与风险评估，根据风险评估报告开展相应工作。</w:t>
            </w:r>
          </w:p>
          <w:p w14:paraId="507CE894">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eastAsia" w:ascii="宋体" w:hAnsi="宋体" w:cs="宋体"/>
                <w:color w:val="auto"/>
                <w:sz w:val="24"/>
                <w:szCs w:val="32"/>
              </w:rPr>
              <w:t>④</w:t>
            </w:r>
            <w:r>
              <w:rPr>
                <w:rFonts w:hint="eastAsia"/>
                <w:color w:val="auto"/>
                <w:sz w:val="24"/>
                <w:szCs w:val="32"/>
              </w:rPr>
              <w:t>柴油储罐环境风险防范措施</w:t>
            </w:r>
          </w:p>
          <w:p w14:paraId="385048DF">
            <w:pPr>
              <w:keepNext w:val="0"/>
              <w:keepLines w:val="0"/>
              <w:suppressLineNumbers w:val="0"/>
              <w:adjustRightInd w:val="0"/>
              <w:spacing w:before="0" w:beforeAutospacing="0" w:after="0" w:afterAutospacing="0" w:line="360" w:lineRule="auto"/>
              <w:ind w:left="0" w:right="0" w:firstLine="480" w:firstLineChars="200"/>
              <w:rPr>
                <w:rFonts w:hint="default"/>
                <w:color w:val="auto"/>
                <w:sz w:val="24"/>
              </w:rPr>
            </w:pPr>
            <w:r>
              <w:rPr>
                <w:rFonts w:hint="default"/>
                <w:color w:val="auto"/>
                <w:sz w:val="24"/>
              </w:rPr>
              <w:t>泄漏防范措施：柴油罐区设置防渗膜，并设置</w:t>
            </w:r>
            <w:r>
              <w:rPr>
                <w:rFonts w:hint="eastAsia"/>
                <w:color w:val="auto"/>
                <w:sz w:val="24"/>
              </w:rPr>
              <w:t>20cm高</w:t>
            </w:r>
            <w:r>
              <w:rPr>
                <w:rFonts w:hint="default"/>
                <w:color w:val="auto"/>
                <w:sz w:val="24"/>
              </w:rPr>
              <w:t>围堰，有效收集柴油罐泄漏液体。</w:t>
            </w:r>
          </w:p>
          <w:p w14:paraId="7C4463FD">
            <w:pPr>
              <w:keepNext w:val="0"/>
              <w:keepLines w:val="0"/>
              <w:suppressLineNumbers w:val="0"/>
              <w:adjustRightInd w:val="0"/>
              <w:spacing w:before="0" w:beforeAutospacing="0" w:after="0" w:afterAutospacing="0" w:line="360" w:lineRule="auto"/>
              <w:ind w:left="0" w:right="0" w:firstLine="480" w:firstLineChars="200"/>
              <w:rPr>
                <w:rFonts w:hint="default"/>
                <w:color w:val="auto"/>
                <w:sz w:val="24"/>
              </w:rPr>
            </w:pPr>
            <w:r>
              <w:rPr>
                <w:rFonts w:hint="eastAsia"/>
                <w:color w:val="auto"/>
                <w:sz w:val="24"/>
              </w:rPr>
              <w:t>燃料管理：</w:t>
            </w:r>
            <w:r>
              <w:rPr>
                <w:rFonts w:hint="eastAsia"/>
                <w:color w:val="auto"/>
                <w:sz w:val="24"/>
                <w:lang w:eastAsia="zh-CN"/>
              </w:rPr>
              <w:t>根据</w:t>
            </w:r>
            <w:r>
              <w:rPr>
                <w:rFonts w:hint="eastAsia"/>
                <w:color w:val="auto"/>
                <w:sz w:val="24"/>
              </w:rPr>
              <w:t>各种油品性能加以安全控制；采用通风等方法，去除油品蒸汽；加强检测，将油品蒸汽控制在爆炸下</w:t>
            </w:r>
            <w:r>
              <w:rPr>
                <w:rFonts w:hint="eastAsia"/>
                <w:color w:val="auto"/>
                <w:sz w:val="24"/>
                <w:highlight w:val="none"/>
              </w:rPr>
              <w:t>限之</w:t>
            </w:r>
            <w:r>
              <w:rPr>
                <w:rFonts w:hint="eastAsia"/>
                <w:color w:val="auto"/>
                <w:sz w:val="24"/>
              </w:rPr>
              <w:t>内。</w:t>
            </w:r>
          </w:p>
          <w:p w14:paraId="41BBA399">
            <w:pPr>
              <w:keepNext w:val="0"/>
              <w:keepLines w:val="0"/>
              <w:suppressLineNumbers w:val="0"/>
              <w:adjustRightInd w:val="0"/>
              <w:spacing w:before="0" w:beforeAutospacing="0" w:after="0" w:afterAutospacing="0" w:line="360" w:lineRule="auto"/>
              <w:ind w:left="0" w:right="0" w:firstLine="480" w:firstLineChars="200"/>
              <w:rPr>
                <w:rFonts w:hint="default"/>
                <w:color w:val="auto"/>
                <w:sz w:val="24"/>
              </w:rPr>
            </w:pPr>
            <w:r>
              <w:rPr>
                <w:rFonts w:hint="eastAsia"/>
                <w:color w:val="auto"/>
                <w:sz w:val="24"/>
              </w:rPr>
              <w:t>火源管理：防止摩擦、撞击等机械引火源；控制高温物体着火源，化学及电器着火源。</w:t>
            </w:r>
          </w:p>
          <w:p w14:paraId="288A1D01">
            <w:pPr>
              <w:keepNext w:val="0"/>
              <w:keepLines w:val="0"/>
              <w:suppressLineNumbers w:val="0"/>
              <w:adjustRightInd w:val="0"/>
              <w:spacing w:before="0" w:beforeAutospacing="0" w:after="0" w:afterAutospacing="0" w:line="360" w:lineRule="auto"/>
              <w:ind w:left="0" w:right="0" w:firstLine="480" w:firstLineChars="200"/>
              <w:rPr>
                <w:rFonts w:hint="default"/>
                <w:color w:val="auto"/>
                <w:sz w:val="24"/>
              </w:rPr>
            </w:pPr>
            <w:r>
              <w:rPr>
                <w:rFonts w:hint="eastAsia"/>
                <w:color w:val="auto"/>
                <w:sz w:val="24"/>
              </w:rPr>
              <w:t>储油设备安全管理：根据国家相关规定，对设备进行分级；</w:t>
            </w:r>
            <w:r>
              <w:rPr>
                <w:rFonts w:hint="eastAsia"/>
                <w:color w:val="auto"/>
                <w:sz w:val="24"/>
                <w:lang w:eastAsia="zh-CN"/>
              </w:rPr>
              <w:t>根据</w:t>
            </w:r>
            <w:r>
              <w:rPr>
                <w:rFonts w:hint="eastAsia"/>
                <w:color w:val="auto"/>
                <w:sz w:val="24"/>
              </w:rPr>
              <w:t>分级要求确定检查频率并记录保存；建立完善的消防系统。</w:t>
            </w:r>
          </w:p>
          <w:p w14:paraId="7D6F9637">
            <w:pPr>
              <w:keepNext w:val="0"/>
              <w:keepLines w:val="0"/>
              <w:suppressLineNumbers w:val="0"/>
              <w:adjustRightInd w:val="0"/>
              <w:spacing w:before="0" w:beforeAutospacing="0" w:after="0" w:afterAutospacing="0" w:line="360" w:lineRule="auto"/>
              <w:ind w:left="0" w:right="0" w:firstLine="480" w:firstLineChars="200"/>
              <w:rPr>
                <w:rFonts w:hint="default"/>
                <w:color w:val="auto"/>
                <w:sz w:val="24"/>
              </w:rPr>
            </w:pPr>
            <w:r>
              <w:rPr>
                <w:rFonts w:hint="eastAsia"/>
                <w:color w:val="auto"/>
                <w:sz w:val="24"/>
              </w:rPr>
              <w:t>防爆：油罐顶设安全膜等防爆装置；防爆检测和报警系统。</w:t>
            </w:r>
          </w:p>
          <w:p w14:paraId="6046C3A4">
            <w:pPr>
              <w:keepNext w:val="0"/>
              <w:keepLines w:val="0"/>
              <w:suppressLineNumbers w:val="0"/>
              <w:adjustRightInd w:val="0"/>
              <w:spacing w:before="0" w:beforeAutospacing="0" w:after="0" w:afterAutospacing="0" w:line="360" w:lineRule="auto"/>
              <w:ind w:left="0" w:right="0" w:firstLine="480" w:firstLineChars="200"/>
              <w:rPr>
                <w:rFonts w:hint="eastAsia"/>
                <w:color w:val="auto"/>
                <w:sz w:val="24"/>
              </w:rPr>
            </w:pPr>
            <w:r>
              <w:rPr>
                <w:rFonts w:hint="eastAsia"/>
                <w:color w:val="auto"/>
                <w:sz w:val="24"/>
              </w:rPr>
              <w:t>抗静电：油罐设备接地要良好，要设永久性接地装置，油罐内禁止安装金属突出物；作业人员要穿戴抗静工作服和导电性能好的工作鞋等。</w:t>
            </w:r>
          </w:p>
          <w:p w14:paraId="60A86E30">
            <w:pPr>
              <w:keepNext w:val="0"/>
              <w:keepLines w:val="0"/>
              <w:suppressLineNumbers w:val="0"/>
              <w:adjustRightInd w:val="0"/>
              <w:spacing w:before="0" w:beforeAutospacing="0" w:after="0" w:afterAutospacing="0" w:line="360" w:lineRule="auto"/>
              <w:ind w:left="0" w:right="0" w:firstLine="480" w:firstLineChars="200"/>
              <w:rPr>
                <w:rFonts w:hint="default"/>
                <w:color w:val="auto"/>
                <w:sz w:val="24"/>
              </w:rPr>
            </w:pPr>
            <w:r>
              <w:rPr>
                <w:rFonts w:hint="eastAsia"/>
                <w:color w:val="auto"/>
                <w:sz w:val="24"/>
              </w:rPr>
              <w:t>另外，柴油储罐设置在井场主导风向下风向，与井口的距离不得小于50m。在井架上、井场路口等处设置风向标，以便发生事故时人员能迅速向上风向疏散。</w:t>
            </w:r>
          </w:p>
          <w:p w14:paraId="079B23EE">
            <w:pPr>
              <w:keepNext w:val="0"/>
              <w:keepLines w:val="0"/>
              <w:suppressLineNumbers w:val="0"/>
              <w:spacing w:before="0" w:beforeAutospacing="0" w:after="0" w:afterAutospacing="0" w:line="360" w:lineRule="auto"/>
              <w:ind w:left="0" w:right="0" w:firstLine="480" w:firstLineChars="200"/>
              <w:rPr>
                <w:rFonts w:hint="default"/>
                <w:bCs/>
                <w:color w:val="auto"/>
                <w:sz w:val="24"/>
                <w:szCs w:val="32"/>
              </w:rPr>
            </w:pPr>
            <w:r>
              <w:rPr>
                <w:rFonts w:hint="default"/>
                <w:bCs/>
                <w:color w:val="auto"/>
                <w:sz w:val="24"/>
                <w:szCs w:val="32"/>
              </w:rPr>
              <w:t>（2）地下水环境风险防范</w:t>
            </w:r>
          </w:p>
          <w:p w14:paraId="27BD4AEC">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eastAsia" w:ascii="宋体" w:hAnsi="宋体" w:cs="宋体"/>
                <w:color w:val="auto"/>
                <w:sz w:val="24"/>
                <w:szCs w:val="32"/>
              </w:rPr>
              <w:t>①</w:t>
            </w:r>
            <w:r>
              <w:rPr>
                <w:rFonts w:hint="eastAsia"/>
                <w:color w:val="auto"/>
                <w:sz w:val="24"/>
                <w:szCs w:val="32"/>
                <w:highlight w:val="none"/>
              </w:rPr>
              <w:t>井漏</w:t>
            </w:r>
            <w:r>
              <w:rPr>
                <w:rFonts w:hint="eastAsia"/>
                <w:color w:val="auto"/>
                <w:sz w:val="24"/>
                <w:szCs w:val="32"/>
              </w:rPr>
              <w:t>防范措施</w:t>
            </w:r>
          </w:p>
          <w:p w14:paraId="3AE9A813">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eastAsia"/>
                <w:color w:val="auto"/>
                <w:sz w:val="24"/>
                <w:szCs w:val="32"/>
              </w:rPr>
              <w:t>在钻井过程中对井漏应坚持预防为主的原则，主要包括避开复杂地质环境、选用和维持较低的井筒内钻井介质压力、提高地层承压能力等防范措施：</w:t>
            </w:r>
          </w:p>
          <w:p w14:paraId="38D5F1F3">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default"/>
                <w:color w:val="auto"/>
                <w:sz w:val="24"/>
                <w:szCs w:val="32"/>
              </w:rPr>
              <w:t>a通过地质勘探合理选址</w:t>
            </w:r>
          </w:p>
          <w:p w14:paraId="2796ED89">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default"/>
                <w:color w:val="auto"/>
                <w:sz w:val="24"/>
                <w:szCs w:val="32"/>
              </w:rPr>
              <w:t>业主单位应结合区域水文地质资料，合理选择井眼位置，从井位选择上降低钻井工程风险。</w:t>
            </w:r>
          </w:p>
          <w:p w14:paraId="274FF101">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default"/>
                <w:color w:val="auto"/>
                <w:sz w:val="24"/>
                <w:szCs w:val="32"/>
              </w:rPr>
              <w:t>b降低井下环空压耗</w:t>
            </w:r>
          </w:p>
          <w:p w14:paraId="4313F9DA">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default"/>
                <w:color w:val="auto"/>
                <w:sz w:val="24"/>
                <w:szCs w:val="32"/>
              </w:rPr>
              <w:t>在保证钻井介质（水基钻井泥浆）能携带钻屑的前提下，尽可能降低钻井介质</w:t>
            </w:r>
            <w:r>
              <w:rPr>
                <w:rFonts w:hint="default"/>
                <w:color w:val="auto"/>
                <w:sz w:val="24"/>
                <w:szCs w:val="32"/>
                <w:highlight w:val="none"/>
              </w:rPr>
              <w:t>粘度</w:t>
            </w:r>
            <w:r>
              <w:rPr>
                <w:rFonts w:hint="default"/>
                <w:color w:val="auto"/>
                <w:sz w:val="24"/>
                <w:szCs w:val="32"/>
              </w:rPr>
              <w:t>，提高泥饼质量，防止因井壁泥饼较厚起环空间隙较小，导致环空压耗增大。</w:t>
            </w:r>
          </w:p>
          <w:p w14:paraId="44F02719">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default"/>
                <w:color w:val="auto"/>
                <w:sz w:val="24"/>
                <w:szCs w:val="32"/>
              </w:rPr>
              <w:t>c在钻井过程中，应严格按照正确的程序操作进行钻井，禁止违规操作，并及时下套管封固井身。</w:t>
            </w:r>
          </w:p>
          <w:p w14:paraId="7F32A934">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eastAsia" w:ascii="宋体" w:hAnsi="宋体" w:cs="宋体"/>
                <w:color w:val="auto"/>
                <w:sz w:val="24"/>
                <w:szCs w:val="32"/>
              </w:rPr>
              <w:t>②</w:t>
            </w:r>
            <w:r>
              <w:rPr>
                <w:rFonts w:hint="eastAsia"/>
                <w:color w:val="auto"/>
                <w:sz w:val="24"/>
                <w:szCs w:val="32"/>
              </w:rPr>
              <w:t>地下水防止串层措施</w:t>
            </w:r>
          </w:p>
          <w:p w14:paraId="6EE6434C">
            <w:pPr>
              <w:keepNext w:val="0"/>
              <w:keepLines w:val="0"/>
              <w:suppressLineNumbers w:val="0"/>
              <w:spacing w:before="0" w:beforeAutospacing="0" w:after="0" w:afterAutospacing="0" w:line="360" w:lineRule="auto"/>
              <w:ind w:left="0" w:right="0" w:firstLine="480" w:firstLineChars="200"/>
              <w:rPr>
                <w:rFonts w:hint="eastAsia"/>
                <w:color w:val="auto"/>
                <w:sz w:val="24"/>
                <w:szCs w:val="32"/>
              </w:rPr>
            </w:pPr>
            <w:r>
              <w:rPr>
                <w:rFonts w:hint="eastAsia"/>
                <w:color w:val="auto"/>
                <w:sz w:val="24"/>
                <w:szCs w:val="32"/>
              </w:rPr>
              <w:t>a钻井过程中使用双层套管，表层套管和油层套管固井水泥浆均返至井口，确保安全封闭此深度内的潜水层和承压水层，同时封固地表疏松地层，为井口控制和后续完井采用预应力固井创造条件。</w:t>
            </w:r>
          </w:p>
          <w:p w14:paraId="60728970">
            <w:pPr>
              <w:keepNext w:val="0"/>
              <w:keepLines w:val="0"/>
              <w:suppressLineNumbers w:val="0"/>
              <w:spacing w:before="0" w:beforeAutospacing="0" w:after="0" w:afterAutospacing="0" w:line="360" w:lineRule="auto"/>
              <w:ind w:left="0" w:right="0" w:firstLine="480" w:firstLineChars="200"/>
              <w:rPr>
                <w:rFonts w:hint="eastAsia"/>
                <w:color w:val="auto"/>
                <w:sz w:val="24"/>
                <w:szCs w:val="32"/>
              </w:rPr>
            </w:pPr>
            <w:r>
              <w:rPr>
                <w:rFonts w:hint="eastAsia"/>
                <w:color w:val="auto"/>
                <w:sz w:val="24"/>
                <w:szCs w:val="32"/>
              </w:rPr>
              <w:t>b钻井过程中的固井措施，一方面加固井壁，同时也有分隔地层的作用，使各个不相联通的地层分隔开来，保持其原有的循环</w:t>
            </w:r>
            <w:r>
              <w:rPr>
                <w:rFonts w:hint="eastAsia"/>
                <w:color w:val="auto"/>
                <w:sz w:val="24"/>
                <w:szCs w:val="32"/>
                <w:highlight w:val="none"/>
              </w:rPr>
              <w:t>运移道路</w:t>
            </w:r>
            <w:r>
              <w:rPr>
                <w:rFonts w:hint="eastAsia"/>
                <w:color w:val="auto"/>
                <w:sz w:val="24"/>
                <w:szCs w:val="32"/>
              </w:rPr>
              <w:t>。</w:t>
            </w:r>
          </w:p>
          <w:p w14:paraId="1AF4074A">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eastAsia"/>
                <w:color w:val="auto"/>
                <w:sz w:val="24"/>
                <w:szCs w:val="32"/>
              </w:rPr>
              <w:t>c在钻井施工过程中根据地层地质结构及含水层位的不同，采取下不同深度的表层套管，一般下套管至1600m左右并注入水泥封固，确保表层套管能完全封隔含水层。而且，钻井施工过程中，不只是有表层套管，还会下技术套管、生产套管，并且每层套管和井壁之间会用水泥封固，防止地下水串层。</w:t>
            </w:r>
          </w:p>
          <w:p w14:paraId="01102DA6">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eastAsia" w:ascii="宋体" w:hAnsi="宋体" w:cs="宋体"/>
                <w:color w:val="auto"/>
                <w:sz w:val="24"/>
                <w:szCs w:val="32"/>
              </w:rPr>
              <w:t>③</w:t>
            </w:r>
            <w:r>
              <w:rPr>
                <w:rFonts w:hint="eastAsia"/>
                <w:color w:val="auto"/>
                <w:sz w:val="24"/>
                <w:szCs w:val="32"/>
              </w:rPr>
              <w:t>分区防渗措施</w:t>
            </w:r>
          </w:p>
          <w:p w14:paraId="7C2BE2A6">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eastAsia"/>
                <w:color w:val="auto"/>
                <w:sz w:val="24"/>
                <w:szCs w:val="32"/>
              </w:rPr>
              <w:t>在钻井过程中应当严格按照钻井程序进行。在钻进过程中和泥浆的使用过程中做好监督管理，做好工作人员的教育培训，保证泥浆的正常使用。</w:t>
            </w:r>
          </w:p>
          <w:p w14:paraId="0849DB36">
            <w:pPr>
              <w:keepNext w:val="0"/>
              <w:keepLines w:val="0"/>
              <w:suppressLineNumbers w:val="0"/>
              <w:spacing w:before="0" w:beforeAutospacing="0" w:after="0" w:afterAutospacing="0" w:line="360" w:lineRule="auto"/>
              <w:ind w:left="0" w:right="0" w:firstLine="480" w:firstLineChars="200"/>
              <w:rPr>
                <w:rFonts w:hint="eastAsia"/>
                <w:color w:val="auto"/>
                <w:sz w:val="24"/>
                <w:szCs w:val="32"/>
              </w:rPr>
            </w:pPr>
            <w:r>
              <w:rPr>
                <w:rFonts w:hint="eastAsia"/>
                <w:color w:val="auto"/>
                <w:sz w:val="24"/>
                <w:szCs w:val="32"/>
              </w:rPr>
              <w:t>对钻井平台和泥浆不落地工艺区、柴油罐区、钻井液材料场周围的地面做好分区防渗措施，从而避免泥浆泄漏、柴油泄漏带来的风险。在钻井施工时，制定出正常、异常或紧急状态下的操作手册和维修手册，并对操作、维修人员进行培训，持证上岗，避免因严重操作失误而造成的事故。</w:t>
            </w:r>
          </w:p>
          <w:p w14:paraId="53A3BC31">
            <w:pPr>
              <w:keepNext w:val="0"/>
              <w:keepLines w:val="0"/>
              <w:suppressLineNumbers w:val="0"/>
              <w:spacing w:before="0" w:beforeAutospacing="0" w:after="0" w:afterAutospacing="0" w:line="360" w:lineRule="auto"/>
              <w:ind w:left="0" w:right="0" w:firstLine="480" w:firstLineChars="200"/>
              <w:rPr>
                <w:rFonts w:hint="eastAsia"/>
                <w:color w:val="auto"/>
                <w:sz w:val="24"/>
                <w:szCs w:val="32"/>
              </w:rPr>
            </w:pPr>
            <w:r>
              <w:rPr>
                <w:rFonts w:hint="eastAsia"/>
                <w:color w:val="auto"/>
                <w:sz w:val="24"/>
                <w:szCs w:val="32"/>
              </w:rPr>
              <w:t>（3）地表水环境风险防范措施</w:t>
            </w:r>
          </w:p>
          <w:p w14:paraId="2D714EFC">
            <w:pPr>
              <w:keepNext w:val="0"/>
              <w:keepLines w:val="0"/>
              <w:suppressLineNumbers w:val="0"/>
              <w:spacing w:before="0" w:beforeAutospacing="0" w:after="0" w:afterAutospacing="0" w:line="360" w:lineRule="auto"/>
              <w:ind w:left="0" w:right="0" w:firstLine="480" w:firstLineChars="200"/>
              <w:rPr>
                <w:rFonts w:hint="eastAsia" w:eastAsia="宋体"/>
                <w:color w:val="auto"/>
                <w:sz w:val="24"/>
                <w:szCs w:val="32"/>
                <w:lang w:eastAsia="zh-CN"/>
              </w:rPr>
            </w:pPr>
            <w:r>
              <w:rPr>
                <w:rFonts w:hint="eastAsia"/>
                <w:color w:val="auto"/>
                <w:sz w:val="24"/>
                <w:szCs w:val="32"/>
                <w:lang w:eastAsia="zh-CN"/>
              </w:rPr>
              <w:t>本工程周边无地表水</w:t>
            </w:r>
          </w:p>
          <w:p w14:paraId="6BC2DD21">
            <w:pPr>
              <w:keepNext w:val="0"/>
              <w:keepLines w:val="0"/>
              <w:suppressLineNumbers w:val="0"/>
              <w:spacing w:before="0" w:beforeAutospacing="0" w:after="0" w:afterAutospacing="0" w:line="360" w:lineRule="auto"/>
              <w:ind w:left="0" w:right="0" w:firstLine="480" w:firstLineChars="200"/>
              <w:rPr>
                <w:rFonts w:hint="eastAsia"/>
                <w:color w:val="auto"/>
                <w:sz w:val="24"/>
                <w:szCs w:val="32"/>
              </w:rPr>
            </w:pPr>
            <w:r>
              <w:rPr>
                <w:rFonts w:hint="eastAsia"/>
                <w:color w:val="auto"/>
                <w:sz w:val="24"/>
                <w:szCs w:val="32"/>
              </w:rPr>
              <w:t>（4）其他防范措施</w:t>
            </w:r>
          </w:p>
          <w:p w14:paraId="450525AB">
            <w:pPr>
              <w:keepNext w:val="0"/>
              <w:keepLines w:val="0"/>
              <w:suppressLineNumbers w:val="0"/>
              <w:spacing w:before="0" w:beforeAutospacing="0" w:after="0" w:afterAutospacing="0" w:line="360" w:lineRule="auto"/>
              <w:ind w:left="0" w:right="0" w:firstLine="480" w:firstLineChars="200"/>
              <w:rPr>
                <w:rFonts w:hint="eastAsia"/>
                <w:color w:val="auto"/>
                <w:sz w:val="24"/>
                <w:szCs w:val="32"/>
              </w:rPr>
            </w:pPr>
            <w:r>
              <w:rPr>
                <w:rFonts w:hint="eastAsia"/>
                <w:color w:val="auto"/>
                <w:sz w:val="24"/>
                <w:szCs w:val="32"/>
              </w:rPr>
              <w:t>在事故状态下，由泥浆罐（2</w:t>
            </w:r>
            <w:r>
              <w:rPr>
                <w:rFonts w:hint="default"/>
                <w:color w:val="auto"/>
                <w:sz w:val="24"/>
                <w:szCs w:val="32"/>
              </w:rPr>
              <w:t>×</w:t>
            </w:r>
            <w:r>
              <w:rPr>
                <w:rFonts w:hint="eastAsia"/>
                <w:color w:val="auto"/>
                <w:sz w:val="24"/>
                <w:szCs w:val="32"/>
              </w:rPr>
              <w:t>4</w:t>
            </w:r>
            <w:r>
              <w:rPr>
                <w:rFonts w:hint="default"/>
                <w:color w:val="auto"/>
                <w:sz w:val="24"/>
                <w:szCs w:val="32"/>
              </w:rPr>
              <w:t>0m</w:t>
            </w:r>
            <w:r>
              <w:rPr>
                <w:rFonts w:hint="default"/>
                <w:color w:val="auto"/>
                <w:sz w:val="24"/>
                <w:szCs w:val="32"/>
                <w:vertAlign w:val="superscript"/>
              </w:rPr>
              <w:t>3</w:t>
            </w:r>
            <w:r>
              <w:rPr>
                <w:rFonts w:hint="eastAsia"/>
                <w:color w:val="auto"/>
                <w:sz w:val="24"/>
                <w:szCs w:val="32"/>
              </w:rPr>
              <w:t>）和钻井废水收集罐（</w:t>
            </w:r>
            <w:r>
              <w:rPr>
                <w:rFonts w:hint="default"/>
                <w:color w:val="auto"/>
                <w:sz w:val="24"/>
                <w:szCs w:val="32"/>
              </w:rPr>
              <w:t>3×30m</w:t>
            </w:r>
            <w:r>
              <w:rPr>
                <w:rFonts w:hint="default"/>
                <w:color w:val="auto"/>
                <w:sz w:val="24"/>
                <w:szCs w:val="32"/>
                <w:vertAlign w:val="superscript"/>
              </w:rPr>
              <w:t>3</w:t>
            </w:r>
            <w:r>
              <w:rPr>
                <w:rFonts w:hint="eastAsia"/>
                <w:color w:val="auto"/>
                <w:sz w:val="24"/>
                <w:szCs w:val="32"/>
              </w:rPr>
              <w:t>）以及循环罐（6</w:t>
            </w:r>
            <w:r>
              <w:rPr>
                <w:rFonts w:hint="default"/>
                <w:color w:val="auto"/>
                <w:sz w:val="24"/>
                <w:szCs w:val="32"/>
              </w:rPr>
              <w:t>×</w:t>
            </w:r>
            <w:r>
              <w:rPr>
                <w:rFonts w:hint="eastAsia"/>
                <w:color w:val="auto"/>
                <w:sz w:val="24"/>
                <w:szCs w:val="32"/>
              </w:rPr>
              <w:t>4</w:t>
            </w:r>
            <w:r>
              <w:rPr>
                <w:rFonts w:hint="default"/>
                <w:color w:val="auto"/>
                <w:sz w:val="24"/>
                <w:szCs w:val="32"/>
              </w:rPr>
              <w:t>0m</w:t>
            </w:r>
            <w:r>
              <w:rPr>
                <w:rFonts w:hint="default"/>
                <w:color w:val="auto"/>
                <w:sz w:val="24"/>
                <w:szCs w:val="32"/>
                <w:vertAlign w:val="superscript"/>
              </w:rPr>
              <w:t>3</w:t>
            </w:r>
            <w:r>
              <w:rPr>
                <w:rFonts w:hint="eastAsia"/>
                <w:color w:val="auto"/>
                <w:sz w:val="24"/>
                <w:szCs w:val="32"/>
              </w:rPr>
              <w:t>）组成应急储存设施，以满足事故状态下收集泄漏物料、污染消防水和污染雨水的需要。</w:t>
            </w:r>
          </w:p>
          <w:p w14:paraId="4C7AD8DF">
            <w:pPr>
              <w:keepNext w:val="0"/>
              <w:keepLines w:val="0"/>
              <w:suppressLineNumbers w:val="0"/>
              <w:spacing w:before="0" w:beforeAutospacing="0" w:after="0" w:afterAutospacing="0" w:line="360" w:lineRule="auto"/>
              <w:ind w:left="0" w:right="0" w:firstLine="482" w:firstLineChars="200"/>
              <w:rPr>
                <w:rFonts w:hint="eastAsia"/>
                <w:b/>
                <w:color w:val="auto"/>
                <w:sz w:val="24"/>
                <w:szCs w:val="32"/>
              </w:rPr>
            </w:pPr>
            <w:r>
              <w:rPr>
                <w:rFonts w:hint="eastAsia"/>
                <w:b/>
                <w:color w:val="auto"/>
                <w:sz w:val="24"/>
                <w:szCs w:val="32"/>
              </w:rPr>
              <w:t>4、分析结论</w:t>
            </w:r>
          </w:p>
          <w:p w14:paraId="38FF3BC9">
            <w:pPr>
              <w:keepNext w:val="0"/>
              <w:keepLines w:val="0"/>
              <w:suppressLineNumbers w:val="0"/>
              <w:spacing w:before="0" w:beforeAutospacing="0" w:after="0" w:afterAutospacing="0" w:line="360" w:lineRule="auto"/>
              <w:ind w:left="0" w:right="0" w:firstLine="480" w:firstLineChars="200"/>
              <w:rPr>
                <w:rFonts w:hint="eastAsia"/>
                <w:color w:val="auto"/>
                <w:sz w:val="24"/>
                <w:szCs w:val="32"/>
              </w:rPr>
            </w:pPr>
            <w:r>
              <w:rPr>
                <w:rFonts w:hint="eastAsia"/>
                <w:color w:val="auto"/>
                <w:sz w:val="24"/>
                <w:szCs w:val="32"/>
              </w:rPr>
              <w:t>勘探井建设过程环境风险事故中，影响范围较广的风险事故主要为井喷及井喷引起的火灾、爆炸等。在认真落实工程采用的安全环境措施及评价所提出的措施和对策后，工程事故对周围影响处于可接受水平。</w:t>
            </w:r>
          </w:p>
          <w:p w14:paraId="79B0A7D1">
            <w:pPr>
              <w:keepNext w:val="0"/>
              <w:keepLines w:val="0"/>
              <w:suppressLineNumbers w:val="0"/>
              <w:spacing w:before="0" w:beforeAutospacing="0" w:after="0" w:afterAutospacing="0" w:line="360" w:lineRule="auto"/>
              <w:ind w:left="0" w:right="0" w:firstLine="482" w:firstLineChars="200"/>
              <w:rPr>
                <w:rFonts w:hint="default"/>
                <w:b/>
                <w:color w:val="auto"/>
                <w:sz w:val="24"/>
                <w:szCs w:val="32"/>
              </w:rPr>
            </w:pPr>
            <w:r>
              <w:rPr>
                <w:rFonts w:hint="eastAsia"/>
                <w:b/>
                <w:color w:val="auto"/>
                <w:sz w:val="24"/>
                <w:szCs w:val="32"/>
              </w:rPr>
              <w:t>5</w:t>
            </w:r>
            <w:r>
              <w:rPr>
                <w:rFonts w:hint="default"/>
                <w:b/>
                <w:color w:val="auto"/>
                <w:sz w:val="24"/>
                <w:szCs w:val="32"/>
              </w:rPr>
              <w:t>、应急计划</w:t>
            </w:r>
          </w:p>
          <w:p w14:paraId="36847F95">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eastAsia"/>
                <w:color w:val="auto"/>
                <w:sz w:val="24"/>
                <w:szCs w:val="32"/>
              </w:rPr>
              <w:t>油井勘探在工程施工过程中，应针对</w:t>
            </w:r>
            <w:r>
              <w:rPr>
                <w:rFonts w:hint="eastAsia"/>
                <w:color w:val="auto"/>
                <w:sz w:val="24"/>
                <w:szCs w:val="32"/>
                <w:lang w:eastAsia="zh-CN"/>
              </w:rPr>
              <w:t>本工程</w:t>
            </w:r>
            <w:r>
              <w:rPr>
                <w:rFonts w:hint="eastAsia"/>
                <w:color w:val="auto"/>
                <w:sz w:val="24"/>
                <w:szCs w:val="32"/>
              </w:rPr>
              <w:t>的特点，以及建设、运营过程中可能发生的事故风险，结合当地的自然条件、环境状况、地理位置，以及依托条件，制定相应的事故现场处置应急方案，特别是对于环境保护目标等敏感区，确保在突发事故发生后，能及时采取应急处理措施，减少风险事故造成的损失。</w:t>
            </w:r>
            <w:r>
              <w:rPr>
                <w:rFonts w:hint="eastAsia"/>
                <w:color w:val="auto"/>
                <w:sz w:val="24"/>
                <w:szCs w:val="32"/>
                <w:lang w:val="en-US" w:eastAsia="zh-CN"/>
              </w:rPr>
              <w:t>企业需制定环境风险应急预案。</w:t>
            </w:r>
          </w:p>
          <w:p w14:paraId="0E550340">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eastAsia"/>
                <w:color w:val="auto"/>
                <w:sz w:val="24"/>
                <w:szCs w:val="32"/>
              </w:rPr>
              <w:t>应急预案主要内容见下表。</w:t>
            </w:r>
          </w:p>
          <w:p w14:paraId="152C3CA8">
            <w:pPr>
              <w:keepNext w:val="0"/>
              <w:keepLines w:val="0"/>
              <w:suppressLineNumbers w:val="0"/>
              <w:autoSpaceDE w:val="0"/>
              <w:autoSpaceDN w:val="0"/>
              <w:adjustRightInd w:val="0"/>
              <w:spacing w:before="0" w:beforeAutospacing="0" w:after="0" w:afterAutospacing="0"/>
              <w:ind w:left="0" w:right="0" w:firstLine="482" w:firstLineChars="200"/>
              <w:jc w:val="center"/>
              <w:rPr>
                <w:rFonts w:hint="default"/>
                <w:b/>
                <w:color w:val="auto"/>
                <w:kern w:val="0"/>
                <w:sz w:val="24"/>
              </w:rPr>
            </w:pPr>
            <w:r>
              <w:rPr>
                <w:rFonts w:hint="default"/>
                <w:b/>
                <w:color w:val="auto"/>
                <w:kern w:val="0"/>
                <w:sz w:val="24"/>
              </w:rPr>
              <w:t>表</w:t>
            </w:r>
            <w:r>
              <w:rPr>
                <w:rFonts w:hint="eastAsia"/>
                <w:b/>
                <w:color w:val="auto"/>
                <w:kern w:val="0"/>
                <w:sz w:val="24"/>
              </w:rPr>
              <w:t>5</w:t>
            </w:r>
            <w:r>
              <w:rPr>
                <w:rFonts w:hint="default"/>
                <w:b/>
                <w:color w:val="auto"/>
                <w:kern w:val="0"/>
                <w:sz w:val="24"/>
              </w:rPr>
              <w:t>-</w:t>
            </w:r>
            <w:r>
              <w:rPr>
                <w:rFonts w:hint="eastAsia"/>
                <w:b/>
                <w:color w:val="auto"/>
                <w:kern w:val="0"/>
                <w:sz w:val="24"/>
                <w:lang w:val="en-US" w:eastAsia="zh-CN"/>
              </w:rPr>
              <w:t>6</w:t>
            </w:r>
            <w:r>
              <w:rPr>
                <w:rFonts w:hint="eastAsia"/>
                <w:b/>
                <w:color w:val="auto"/>
                <w:kern w:val="0"/>
                <w:sz w:val="24"/>
              </w:rPr>
              <w:t xml:space="preserve"> </w:t>
            </w:r>
            <w:r>
              <w:rPr>
                <w:rFonts w:hint="default"/>
                <w:b/>
                <w:color w:val="auto"/>
                <w:kern w:val="0"/>
                <w:sz w:val="24"/>
              </w:rPr>
              <w:t>应急预案内容</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33"/>
              <w:gridCol w:w="2177"/>
              <w:gridCol w:w="5294"/>
            </w:tblGrid>
            <w:tr w14:paraId="33DABF6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47" w:type="pct"/>
                  <w:noWrap w:val="0"/>
                  <w:vAlign w:val="center"/>
                </w:tcPr>
                <w:p w14:paraId="1F2456E1">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序号</w:t>
                  </w:r>
                </w:p>
              </w:tc>
              <w:tc>
                <w:tcPr>
                  <w:tcW w:w="1327" w:type="pct"/>
                  <w:noWrap w:val="0"/>
                  <w:vAlign w:val="center"/>
                </w:tcPr>
                <w:p w14:paraId="2CF2CC39">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项目</w:t>
                  </w:r>
                </w:p>
              </w:tc>
              <w:tc>
                <w:tcPr>
                  <w:tcW w:w="3226" w:type="pct"/>
                  <w:noWrap w:val="0"/>
                  <w:vAlign w:val="center"/>
                </w:tcPr>
                <w:p w14:paraId="5B8906B7">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内容及要求</w:t>
                  </w:r>
                </w:p>
              </w:tc>
            </w:tr>
            <w:tr w14:paraId="763C02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47" w:type="pct"/>
                  <w:noWrap w:val="0"/>
                  <w:vAlign w:val="center"/>
                </w:tcPr>
                <w:p w14:paraId="03F824B7">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1</w:t>
                  </w:r>
                </w:p>
              </w:tc>
              <w:tc>
                <w:tcPr>
                  <w:tcW w:w="1327" w:type="pct"/>
                  <w:noWrap w:val="0"/>
                  <w:vAlign w:val="center"/>
                </w:tcPr>
                <w:p w14:paraId="68750CAB">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应急计划区</w:t>
                  </w:r>
                </w:p>
              </w:tc>
              <w:tc>
                <w:tcPr>
                  <w:tcW w:w="3226" w:type="pct"/>
                  <w:noWrap w:val="0"/>
                  <w:vAlign w:val="center"/>
                </w:tcPr>
                <w:p w14:paraId="63B0C64D">
                  <w:pPr>
                    <w:keepNext w:val="0"/>
                    <w:keepLines w:val="0"/>
                    <w:suppressLineNumbers w:val="0"/>
                    <w:spacing w:before="0" w:beforeAutospacing="0" w:after="0" w:afterAutospacing="0"/>
                    <w:ind w:left="0" w:right="0"/>
                    <w:textAlignment w:val="center"/>
                    <w:rPr>
                      <w:rFonts w:hint="default"/>
                      <w:color w:val="auto"/>
                      <w:szCs w:val="21"/>
                    </w:rPr>
                  </w:pPr>
                  <w:r>
                    <w:rPr>
                      <w:rFonts w:hint="default"/>
                      <w:color w:val="auto"/>
                      <w:szCs w:val="21"/>
                    </w:rPr>
                    <w:t>井口，输油管线，储液罐。</w:t>
                  </w:r>
                </w:p>
              </w:tc>
            </w:tr>
            <w:tr w14:paraId="7BE379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79" w:hRule="atLeast"/>
              </w:trPr>
              <w:tc>
                <w:tcPr>
                  <w:tcW w:w="447" w:type="pct"/>
                  <w:noWrap w:val="0"/>
                  <w:vAlign w:val="center"/>
                </w:tcPr>
                <w:p w14:paraId="354914F6">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2</w:t>
                  </w:r>
                </w:p>
              </w:tc>
              <w:tc>
                <w:tcPr>
                  <w:tcW w:w="1327" w:type="pct"/>
                  <w:noWrap w:val="0"/>
                  <w:vAlign w:val="center"/>
                </w:tcPr>
                <w:p w14:paraId="73D9255D">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应急组织机构、人员</w:t>
                  </w:r>
                </w:p>
              </w:tc>
              <w:tc>
                <w:tcPr>
                  <w:tcW w:w="3226" w:type="pct"/>
                  <w:noWrap w:val="0"/>
                  <w:vAlign w:val="center"/>
                </w:tcPr>
                <w:p w14:paraId="04B50022">
                  <w:pPr>
                    <w:keepNext w:val="0"/>
                    <w:keepLines w:val="0"/>
                    <w:suppressLineNumbers w:val="0"/>
                    <w:spacing w:before="0" w:beforeAutospacing="0" w:after="0" w:afterAutospacing="0"/>
                    <w:ind w:left="0" w:right="0"/>
                    <w:textAlignment w:val="center"/>
                    <w:rPr>
                      <w:rFonts w:hint="default"/>
                      <w:color w:val="auto"/>
                      <w:szCs w:val="21"/>
                    </w:rPr>
                  </w:pPr>
                  <w:r>
                    <w:rPr>
                      <w:rFonts w:hint="default"/>
                      <w:color w:val="auto"/>
                      <w:szCs w:val="21"/>
                    </w:rPr>
                    <w:t>实施三级应急</w:t>
                  </w:r>
                  <w:r>
                    <w:rPr>
                      <w:rFonts w:hint="eastAsia"/>
                      <w:color w:val="auto"/>
                      <w:szCs w:val="21"/>
                      <w:lang w:eastAsia="zh-CN"/>
                    </w:rPr>
                    <w:t>组织</w:t>
                  </w:r>
                  <w:r>
                    <w:rPr>
                      <w:rFonts w:hint="default"/>
                      <w:color w:val="auto"/>
                      <w:szCs w:val="21"/>
                    </w:rPr>
                    <w:t>机构，各级别主要负责人为应急计划、协调第一人，应急人员必须为培训上岗熟练工；区域应急组织结构由当地政府、相关行业专家、卫生安全相关单位组成，并由当地政府进行统一调度。</w:t>
                  </w:r>
                </w:p>
              </w:tc>
            </w:tr>
            <w:tr w14:paraId="514886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4" w:hRule="atLeast"/>
              </w:trPr>
              <w:tc>
                <w:tcPr>
                  <w:tcW w:w="447" w:type="pct"/>
                  <w:noWrap w:val="0"/>
                  <w:vAlign w:val="center"/>
                </w:tcPr>
                <w:p w14:paraId="63348E78">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3</w:t>
                  </w:r>
                </w:p>
              </w:tc>
              <w:tc>
                <w:tcPr>
                  <w:tcW w:w="1327" w:type="pct"/>
                  <w:noWrap w:val="0"/>
                  <w:vAlign w:val="center"/>
                </w:tcPr>
                <w:p w14:paraId="25B6AD7A">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预案分级响应条件</w:t>
                  </w:r>
                </w:p>
              </w:tc>
              <w:tc>
                <w:tcPr>
                  <w:tcW w:w="3226" w:type="pct"/>
                  <w:noWrap w:val="0"/>
                  <w:vAlign w:val="center"/>
                </w:tcPr>
                <w:p w14:paraId="1662F83B">
                  <w:pPr>
                    <w:keepNext w:val="0"/>
                    <w:keepLines w:val="0"/>
                    <w:suppressLineNumbers w:val="0"/>
                    <w:spacing w:before="0" w:beforeAutospacing="0" w:after="0" w:afterAutospacing="0"/>
                    <w:ind w:left="0" w:right="0"/>
                    <w:textAlignment w:val="center"/>
                    <w:rPr>
                      <w:rFonts w:hint="default"/>
                      <w:color w:val="auto"/>
                      <w:szCs w:val="21"/>
                    </w:rPr>
                  </w:pPr>
                  <w:r>
                    <w:rPr>
                      <w:rFonts w:hint="default"/>
                      <w:color w:val="auto"/>
                      <w:szCs w:val="21"/>
                    </w:rPr>
                    <w:t>根据事故的严重程度制定相应级别的应急预案，以及适合相应情况的处理措施。</w:t>
                  </w:r>
                </w:p>
              </w:tc>
            </w:tr>
            <w:tr w14:paraId="583B03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7" w:type="pct"/>
                  <w:noWrap w:val="0"/>
                  <w:vAlign w:val="center"/>
                </w:tcPr>
                <w:p w14:paraId="778085CB">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4</w:t>
                  </w:r>
                </w:p>
              </w:tc>
              <w:tc>
                <w:tcPr>
                  <w:tcW w:w="1327" w:type="pct"/>
                  <w:noWrap w:val="0"/>
                  <w:vAlign w:val="center"/>
                </w:tcPr>
                <w:p w14:paraId="29448BE0">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应急救援保障</w:t>
                  </w:r>
                </w:p>
              </w:tc>
              <w:tc>
                <w:tcPr>
                  <w:tcW w:w="3226" w:type="pct"/>
                  <w:noWrap w:val="0"/>
                  <w:vAlign w:val="center"/>
                </w:tcPr>
                <w:p w14:paraId="64C6FC24">
                  <w:pPr>
                    <w:keepNext w:val="0"/>
                    <w:keepLines w:val="0"/>
                    <w:suppressLineNumbers w:val="0"/>
                    <w:spacing w:before="0" w:beforeAutospacing="0" w:after="0" w:afterAutospacing="0"/>
                    <w:ind w:left="0" w:right="0"/>
                    <w:textAlignment w:val="center"/>
                    <w:rPr>
                      <w:rFonts w:hint="default"/>
                      <w:color w:val="auto"/>
                      <w:szCs w:val="21"/>
                    </w:rPr>
                  </w:pPr>
                  <w:r>
                    <w:rPr>
                      <w:rFonts w:hint="default"/>
                      <w:color w:val="auto"/>
                      <w:szCs w:val="21"/>
                    </w:rPr>
                    <w:t>应急设施，设备与器材等。</w:t>
                  </w:r>
                </w:p>
              </w:tc>
            </w:tr>
            <w:tr w14:paraId="113720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97" w:hRule="atLeast"/>
              </w:trPr>
              <w:tc>
                <w:tcPr>
                  <w:tcW w:w="447" w:type="pct"/>
                  <w:noWrap w:val="0"/>
                  <w:vAlign w:val="center"/>
                </w:tcPr>
                <w:p w14:paraId="279789A2">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5</w:t>
                  </w:r>
                </w:p>
              </w:tc>
              <w:tc>
                <w:tcPr>
                  <w:tcW w:w="1327" w:type="pct"/>
                  <w:noWrap w:val="0"/>
                  <w:vAlign w:val="center"/>
                </w:tcPr>
                <w:p w14:paraId="6569CED0">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报警、通讯联络方式</w:t>
                  </w:r>
                </w:p>
              </w:tc>
              <w:tc>
                <w:tcPr>
                  <w:tcW w:w="3226" w:type="pct"/>
                  <w:noWrap w:val="0"/>
                  <w:vAlign w:val="center"/>
                </w:tcPr>
                <w:p w14:paraId="2CE32538">
                  <w:pPr>
                    <w:keepNext w:val="0"/>
                    <w:keepLines w:val="0"/>
                    <w:suppressLineNumbers w:val="0"/>
                    <w:spacing w:before="0" w:beforeAutospacing="0" w:after="0" w:afterAutospacing="0"/>
                    <w:ind w:left="0" w:right="0"/>
                    <w:textAlignment w:val="center"/>
                    <w:rPr>
                      <w:rFonts w:hint="default"/>
                      <w:color w:val="auto"/>
                      <w:szCs w:val="21"/>
                    </w:rPr>
                  </w:pPr>
                  <w:r>
                    <w:rPr>
                      <w:rFonts w:hint="default"/>
                      <w:color w:val="auto"/>
                      <w:szCs w:val="21"/>
                    </w:rPr>
                    <w:t>逐一细化应急状态下各主要负责单位的</w:t>
                  </w:r>
                  <w:r>
                    <w:rPr>
                      <w:rFonts w:hint="default"/>
                      <w:color w:val="auto"/>
                      <w:szCs w:val="21"/>
                      <w:highlight w:val="none"/>
                    </w:rPr>
                    <w:t>报警通讯</w:t>
                  </w:r>
                  <w:r>
                    <w:rPr>
                      <w:rFonts w:hint="default"/>
                      <w:color w:val="auto"/>
                      <w:szCs w:val="21"/>
                    </w:rPr>
                    <w:t>方式、地点、电话号码以及相关配套的交通保障、管制、消防联络方法，涉及跨区域的还应与相关区域</w:t>
                  </w:r>
                  <w:r>
                    <w:rPr>
                      <w:rFonts w:hint="default"/>
                      <w:color w:val="auto"/>
                      <w:szCs w:val="21"/>
                      <w:highlight w:val="none"/>
                    </w:rPr>
                    <w:t>环境保护部</w:t>
                  </w:r>
                  <w:r>
                    <w:rPr>
                      <w:rFonts w:hint="default"/>
                      <w:color w:val="auto"/>
                      <w:szCs w:val="21"/>
                    </w:rPr>
                    <w:t>门和上级环保部门保持联系，及时通报事故处理情况，以获得区域性支援。</w:t>
                  </w:r>
                </w:p>
              </w:tc>
            </w:tr>
            <w:tr w14:paraId="05FCC9F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8" w:hRule="atLeast"/>
              </w:trPr>
              <w:tc>
                <w:tcPr>
                  <w:tcW w:w="447" w:type="pct"/>
                  <w:noWrap w:val="0"/>
                  <w:vAlign w:val="center"/>
                </w:tcPr>
                <w:p w14:paraId="02BE21A3">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6</w:t>
                  </w:r>
                </w:p>
              </w:tc>
              <w:tc>
                <w:tcPr>
                  <w:tcW w:w="1327" w:type="pct"/>
                  <w:noWrap w:val="0"/>
                  <w:vAlign w:val="center"/>
                </w:tcPr>
                <w:p w14:paraId="2600A73C">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应急环境监测、抢险、救援及控制措施</w:t>
                  </w:r>
                </w:p>
              </w:tc>
              <w:tc>
                <w:tcPr>
                  <w:tcW w:w="3226" w:type="pct"/>
                  <w:noWrap w:val="0"/>
                  <w:vAlign w:val="center"/>
                </w:tcPr>
                <w:p w14:paraId="127D801C">
                  <w:pPr>
                    <w:keepNext w:val="0"/>
                    <w:keepLines w:val="0"/>
                    <w:suppressLineNumbers w:val="0"/>
                    <w:spacing w:before="0" w:beforeAutospacing="0" w:after="0" w:afterAutospacing="0"/>
                    <w:ind w:left="0" w:right="0"/>
                    <w:textAlignment w:val="center"/>
                    <w:rPr>
                      <w:rFonts w:hint="default"/>
                      <w:color w:val="auto"/>
                      <w:szCs w:val="21"/>
                    </w:rPr>
                  </w:pPr>
                  <w:r>
                    <w:rPr>
                      <w:rFonts w:hint="default"/>
                      <w:color w:val="auto"/>
                      <w:szCs w:val="21"/>
                    </w:rPr>
                    <w:t>由专业队伍负责对事故现场进行侦查监测，对事故性质、参数与后果进行评估，为指挥部门提供决策依据</w:t>
                  </w:r>
                </w:p>
              </w:tc>
            </w:tr>
            <w:tr w14:paraId="61AEFB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6" w:hRule="atLeast"/>
              </w:trPr>
              <w:tc>
                <w:tcPr>
                  <w:tcW w:w="447" w:type="pct"/>
                  <w:noWrap w:val="0"/>
                  <w:vAlign w:val="center"/>
                </w:tcPr>
                <w:p w14:paraId="42F49E58">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7</w:t>
                  </w:r>
                </w:p>
              </w:tc>
              <w:tc>
                <w:tcPr>
                  <w:tcW w:w="1327" w:type="pct"/>
                  <w:noWrap w:val="0"/>
                  <w:tcMar>
                    <w:left w:w="0" w:type="dxa"/>
                    <w:right w:w="0" w:type="dxa"/>
                  </w:tcMar>
                  <w:vAlign w:val="center"/>
                </w:tcPr>
                <w:p w14:paraId="79631514">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应急</w:t>
                  </w:r>
                  <w:r>
                    <w:rPr>
                      <w:rFonts w:hint="eastAsia"/>
                      <w:color w:val="auto"/>
                      <w:szCs w:val="21"/>
                      <w:lang w:eastAsia="zh-CN"/>
                    </w:rPr>
                    <w:t>监测</w:t>
                  </w:r>
                  <w:r>
                    <w:rPr>
                      <w:rFonts w:hint="default"/>
                      <w:color w:val="auto"/>
                      <w:szCs w:val="21"/>
                    </w:rPr>
                    <w:t>、防护措施、清除泄漏措施和器材</w:t>
                  </w:r>
                </w:p>
              </w:tc>
              <w:tc>
                <w:tcPr>
                  <w:tcW w:w="3226" w:type="pct"/>
                  <w:noWrap w:val="0"/>
                  <w:vAlign w:val="center"/>
                </w:tcPr>
                <w:p w14:paraId="1B7FC0B3">
                  <w:pPr>
                    <w:keepNext w:val="0"/>
                    <w:keepLines w:val="0"/>
                    <w:suppressLineNumbers w:val="0"/>
                    <w:spacing w:before="0" w:beforeAutospacing="0" w:after="0" w:afterAutospacing="0"/>
                    <w:ind w:left="0" w:right="0"/>
                    <w:textAlignment w:val="center"/>
                    <w:rPr>
                      <w:rFonts w:hint="default"/>
                      <w:color w:val="auto"/>
                      <w:szCs w:val="21"/>
                    </w:rPr>
                  </w:pPr>
                  <w:r>
                    <w:rPr>
                      <w:rFonts w:hint="default"/>
                      <w:color w:val="auto"/>
                      <w:szCs w:val="21"/>
                    </w:rPr>
                    <w:t>事故现场、油井邻近区域、控制防火区域，控制和清除污染措施及相应设备的数量、使用方法、使用人员</w:t>
                  </w:r>
                </w:p>
              </w:tc>
            </w:tr>
            <w:tr w14:paraId="47D62F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0" w:hRule="atLeast"/>
              </w:trPr>
              <w:tc>
                <w:tcPr>
                  <w:tcW w:w="447" w:type="pct"/>
                  <w:noWrap w:val="0"/>
                  <w:vAlign w:val="center"/>
                </w:tcPr>
                <w:p w14:paraId="7227C66A">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8</w:t>
                  </w:r>
                </w:p>
              </w:tc>
              <w:tc>
                <w:tcPr>
                  <w:tcW w:w="1327" w:type="pct"/>
                  <w:noWrap w:val="0"/>
                  <w:vAlign w:val="center"/>
                </w:tcPr>
                <w:p w14:paraId="2960225E">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人员紧急撤离、疏散，应急剂量控制、撤离组织计划</w:t>
                  </w:r>
                </w:p>
              </w:tc>
              <w:tc>
                <w:tcPr>
                  <w:tcW w:w="3226" w:type="pct"/>
                  <w:noWrap w:val="0"/>
                  <w:vAlign w:val="center"/>
                </w:tcPr>
                <w:p w14:paraId="69082909">
                  <w:pPr>
                    <w:keepNext w:val="0"/>
                    <w:keepLines w:val="0"/>
                    <w:suppressLineNumbers w:val="0"/>
                    <w:spacing w:before="0" w:beforeAutospacing="0" w:after="0" w:afterAutospacing="0"/>
                    <w:ind w:left="0" w:right="0"/>
                    <w:textAlignment w:val="center"/>
                    <w:rPr>
                      <w:rFonts w:hint="default"/>
                      <w:color w:val="auto"/>
                      <w:szCs w:val="21"/>
                    </w:rPr>
                  </w:pPr>
                  <w:r>
                    <w:rPr>
                      <w:rFonts w:hint="default"/>
                      <w:color w:val="auto"/>
                      <w:szCs w:val="21"/>
                    </w:rPr>
                    <w:t>事故现场、油井邻近区、受事故影响的区域人员及公众对毒物应急剂量控制规定，撤离组织计划及救护，医疗救护与公众健康。</w:t>
                  </w:r>
                </w:p>
              </w:tc>
            </w:tr>
            <w:tr w14:paraId="6533D1A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24" w:hRule="atLeast"/>
              </w:trPr>
              <w:tc>
                <w:tcPr>
                  <w:tcW w:w="447" w:type="pct"/>
                  <w:noWrap w:val="0"/>
                  <w:vAlign w:val="center"/>
                </w:tcPr>
                <w:p w14:paraId="61A8320C">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9</w:t>
                  </w:r>
                </w:p>
              </w:tc>
              <w:tc>
                <w:tcPr>
                  <w:tcW w:w="1327" w:type="pct"/>
                  <w:noWrap w:val="0"/>
                  <w:vAlign w:val="center"/>
                </w:tcPr>
                <w:p w14:paraId="7E526513">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事故应急救援关闭程序与恢复措施</w:t>
                  </w:r>
                </w:p>
              </w:tc>
              <w:tc>
                <w:tcPr>
                  <w:tcW w:w="3226" w:type="pct"/>
                  <w:noWrap w:val="0"/>
                  <w:vAlign w:val="center"/>
                </w:tcPr>
                <w:p w14:paraId="6F8AE9AA">
                  <w:pPr>
                    <w:keepNext w:val="0"/>
                    <w:keepLines w:val="0"/>
                    <w:suppressLineNumbers w:val="0"/>
                    <w:spacing w:before="0" w:beforeAutospacing="0" w:after="0" w:afterAutospacing="0"/>
                    <w:ind w:left="0" w:right="0"/>
                    <w:textAlignment w:val="center"/>
                    <w:rPr>
                      <w:rFonts w:hint="default"/>
                      <w:color w:val="auto"/>
                      <w:szCs w:val="21"/>
                    </w:rPr>
                  </w:pPr>
                  <w:r>
                    <w:rPr>
                      <w:rFonts w:hint="default"/>
                      <w:color w:val="auto"/>
                      <w:szCs w:val="21"/>
                    </w:rPr>
                    <w:t>规定应急状态终止程序</w:t>
                  </w:r>
                </w:p>
                <w:p w14:paraId="4EAE7248">
                  <w:pPr>
                    <w:keepNext w:val="0"/>
                    <w:keepLines w:val="0"/>
                    <w:suppressLineNumbers w:val="0"/>
                    <w:spacing w:before="0" w:beforeAutospacing="0" w:after="0" w:afterAutospacing="0"/>
                    <w:ind w:left="0" w:right="0"/>
                    <w:textAlignment w:val="center"/>
                    <w:rPr>
                      <w:rFonts w:hint="default"/>
                      <w:color w:val="auto"/>
                      <w:szCs w:val="21"/>
                    </w:rPr>
                  </w:pPr>
                  <w:r>
                    <w:rPr>
                      <w:rFonts w:hint="default"/>
                      <w:color w:val="auto"/>
                      <w:szCs w:val="21"/>
                    </w:rPr>
                    <w:t>事故现场</w:t>
                  </w:r>
                  <w:r>
                    <w:rPr>
                      <w:rFonts w:hint="eastAsia"/>
                      <w:color w:val="auto"/>
                      <w:szCs w:val="21"/>
                      <w:lang w:eastAsia="zh-CN"/>
                    </w:rPr>
                    <w:t>事后</w:t>
                  </w:r>
                  <w:r>
                    <w:rPr>
                      <w:rFonts w:hint="default"/>
                      <w:color w:val="auto"/>
                      <w:szCs w:val="21"/>
                    </w:rPr>
                    <w:t>处理，恢复措施</w:t>
                  </w:r>
                </w:p>
                <w:p w14:paraId="6CFE6B3E">
                  <w:pPr>
                    <w:keepNext w:val="0"/>
                    <w:keepLines w:val="0"/>
                    <w:suppressLineNumbers w:val="0"/>
                    <w:spacing w:before="0" w:beforeAutospacing="0" w:after="0" w:afterAutospacing="0"/>
                    <w:ind w:left="0" w:right="0"/>
                    <w:textAlignment w:val="center"/>
                    <w:rPr>
                      <w:rFonts w:hint="default"/>
                      <w:color w:val="auto"/>
                      <w:szCs w:val="21"/>
                    </w:rPr>
                  </w:pPr>
                  <w:r>
                    <w:rPr>
                      <w:rFonts w:hint="default"/>
                      <w:color w:val="auto"/>
                      <w:szCs w:val="21"/>
                    </w:rPr>
                    <w:t>邻近区域解除事故警戒及善后恢复措施</w:t>
                  </w:r>
                </w:p>
                <w:p w14:paraId="3057F55D">
                  <w:pPr>
                    <w:keepNext w:val="0"/>
                    <w:keepLines w:val="0"/>
                    <w:suppressLineNumbers w:val="0"/>
                    <w:spacing w:before="0" w:beforeAutospacing="0" w:after="0" w:afterAutospacing="0"/>
                    <w:ind w:left="0" w:right="0"/>
                    <w:textAlignment w:val="center"/>
                    <w:rPr>
                      <w:rFonts w:hint="default"/>
                      <w:color w:val="auto"/>
                      <w:szCs w:val="21"/>
                    </w:rPr>
                  </w:pPr>
                  <w:r>
                    <w:rPr>
                      <w:rFonts w:hint="eastAsia"/>
                      <w:color w:val="auto"/>
                      <w:szCs w:val="21"/>
                      <w:highlight w:val="none"/>
                      <w:lang w:eastAsia="zh-CN"/>
                    </w:rPr>
                    <w:t>制订</w:t>
                  </w:r>
                  <w:r>
                    <w:rPr>
                      <w:rFonts w:hint="default"/>
                      <w:color w:val="auto"/>
                      <w:szCs w:val="21"/>
                    </w:rPr>
                    <w:t>有关的环境恢复措施</w:t>
                  </w:r>
                </w:p>
                <w:p w14:paraId="21B07F51">
                  <w:pPr>
                    <w:keepNext w:val="0"/>
                    <w:keepLines w:val="0"/>
                    <w:suppressLineNumbers w:val="0"/>
                    <w:spacing w:before="0" w:beforeAutospacing="0" w:after="0" w:afterAutospacing="0"/>
                    <w:ind w:left="0" w:right="0"/>
                    <w:textAlignment w:val="center"/>
                    <w:rPr>
                      <w:rFonts w:hint="default"/>
                      <w:color w:val="auto"/>
                      <w:szCs w:val="21"/>
                    </w:rPr>
                  </w:pPr>
                  <w:r>
                    <w:rPr>
                      <w:rFonts w:hint="default"/>
                      <w:color w:val="auto"/>
                      <w:szCs w:val="21"/>
                    </w:rPr>
                    <w:t>组织专业人员对事故后的环境变化进行监测，对事故应急措施的环境可行性进行后影响评价</w:t>
                  </w:r>
                </w:p>
              </w:tc>
            </w:tr>
            <w:tr w14:paraId="654FAC6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447" w:type="pct"/>
                  <w:noWrap w:val="0"/>
                  <w:vAlign w:val="center"/>
                </w:tcPr>
                <w:p w14:paraId="3B1A4674">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10</w:t>
                  </w:r>
                </w:p>
              </w:tc>
              <w:tc>
                <w:tcPr>
                  <w:tcW w:w="1327" w:type="pct"/>
                  <w:noWrap w:val="0"/>
                  <w:vAlign w:val="center"/>
                </w:tcPr>
                <w:p w14:paraId="4DF747F3">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应急培训计划</w:t>
                  </w:r>
                </w:p>
              </w:tc>
              <w:tc>
                <w:tcPr>
                  <w:tcW w:w="3226" w:type="pct"/>
                  <w:noWrap w:val="0"/>
                  <w:vAlign w:val="center"/>
                </w:tcPr>
                <w:p w14:paraId="5EAA93A5">
                  <w:pPr>
                    <w:keepNext w:val="0"/>
                    <w:keepLines w:val="0"/>
                    <w:suppressLineNumbers w:val="0"/>
                    <w:spacing w:before="0" w:beforeAutospacing="0" w:after="0" w:afterAutospacing="0"/>
                    <w:ind w:left="0" w:right="0"/>
                    <w:textAlignment w:val="center"/>
                    <w:rPr>
                      <w:rFonts w:hint="default"/>
                      <w:color w:val="auto"/>
                      <w:szCs w:val="21"/>
                    </w:rPr>
                  </w:pPr>
                  <w:r>
                    <w:rPr>
                      <w:rFonts w:hint="default"/>
                      <w:color w:val="auto"/>
                      <w:szCs w:val="21"/>
                    </w:rPr>
                    <w:t>应急计划制定后，平时安排人员培训与演练</w:t>
                  </w:r>
                </w:p>
              </w:tc>
            </w:tr>
            <w:tr w14:paraId="05836CD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447" w:type="pct"/>
                  <w:noWrap w:val="0"/>
                  <w:vAlign w:val="center"/>
                </w:tcPr>
                <w:p w14:paraId="4775754D">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11</w:t>
                  </w:r>
                </w:p>
              </w:tc>
              <w:tc>
                <w:tcPr>
                  <w:tcW w:w="1327" w:type="pct"/>
                  <w:noWrap w:val="0"/>
                  <w:vAlign w:val="center"/>
                </w:tcPr>
                <w:p w14:paraId="1FAA23CA">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公众教育和信息</w:t>
                  </w:r>
                </w:p>
              </w:tc>
              <w:tc>
                <w:tcPr>
                  <w:tcW w:w="3226" w:type="pct"/>
                  <w:noWrap w:val="0"/>
                  <w:vAlign w:val="center"/>
                </w:tcPr>
                <w:p w14:paraId="65823C7D">
                  <w:pPr>
                    <w:keepNext w:val="0"/>
                    <w:keepLines w:val="0"/>
                    <w:suppressLineNumbers w:val="0"/>
                    <w:spacing w:before="0" w:beforeAutospacing="0" w:after="0" w:afterAutospacing="0"/>
                    <w:ind w:left="0" w:right="0"/>
                    <w:textAlignment w:val="center"/>
                    <w:rPr>
                      <w:rFonts w:hint="default"/>
                      <w:color w:val="auto"/>
                      <w:szCs w:val="21"/>
                    </w:rPr>
                  </w:pPr>
                  <w:r>
                    <w:rPr>
                      <w:rFonts w:hint="default"/>
                      <w:color w:val="auto"/>
                      <w:szCs w:val="21"/>
                    </w:rPr>
                    <w:t>对油井邻近地区开展公众教育、培训和发布有关信息</w:t>
                  </w:r>
                </w:p>
              </w:tc>
            </w:tr>
          </w:tbl>
          <w:p w14:paraId="2B30A6EC">
            <w:pPr>
              <w:keepNext w:val="0"/>
              <w:keepLines w:val="0"/>
              <w:suppressLineNumbers w:val="0"/>
              <w:spacing w:before="0" w:beforeAutospacing="0" w:after="0" w:afterAutospacing="0" w:line="360" w:lineRule="auto"/>
              <w:ind w:left="0" w:right="0"/>
              <w:rPr>
                <w:rFonts w:hint="eastAsia"/>
                <w:bCs/>
                <w:color w:val="auto"/>
                <w:spacing w:val="10"/>
                <w:szCs w:val="21"/>
              </w:rPr>
            </w:pPr>
          </w:p>
        </w:tc>
      </w:tr>
      <w:tr w14:paraId="33BE6C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26" w:hRule="atLeast"/>
          <w:jc w:val="center"/>
        </w:trPr>
        <w:tc>
          <w:tcPr>
            <w:tcW w:w="477" w:type="dxa"/>
            <w:noWrap w:val="0"/>
            <w:tcMar>
              <w:left w:w="28" w:type="dxa"/>
              <w:right w:w="28" w:type="dxa"/>
            </w:tcMar>
            <w:vAlign w:val="center"/>
          </w:tcPr>
          <w:p w14:paraId="5C42D875">
            <w:pPr>
              <w:keepNext w:val="0"/>
              <w:keepLines w:val="0"/>
              <w:suppressLineNumbers w:val="0"/>
              <w:adjustRightInd w:val="0"/>
              <w:snapToGrid w:val="0"/>
              <w:spacing w:before="0" w:beforeAutospacing="0" w:after="0" w:afterAutospacing="0"/>
              <w:ind w:left="0" w:right="0"/>
              <w:jc w:val="center"/>
              <w:rPr>
                <w:rFonts w:hint="default"/>
                <w:b/>
                <w:bCs/>
                <w:color w:val="auto"/>
                <w:spacing w:val="10"/>
                <w:sz w:val="24"/>
              </w:rPr>
            </w:pPr>
            <w:r>
              <w:rPr>
                <w:rFonts w:hint="default"/>
                <w:b/>
                <w:bCs/>
                <w:color w:val="auto"/>
                <w:spacing w:val="10"/>
                <w:sz w:val="24"/>
              </w:rPr>
              <w:t>运营期生态环境保护措施</w:t>
            </w:r>
          </w:p>
        </w:tc>
        <w:tc>
          <w:tcPr>
            <w:tcW w:w="8420" w:type="dxa"/>
            <w:noWrap w:val="0"/>
            <w:vAlign w:val="center"/>
          </w:tcPr>
          <w:p w14:paraId="298F7828">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eastAsia"/>
                <w:color w:val="auto"/>
                <w:sz w:val="24"/>
                <w:szCs w:val="32"/>
              </w:rPr>
              <w:t>无运营期</w:t>
            </w:r>
          </w:p>
        </w:tc>
      </w:tr>
      <w:tr w14:paraId="69C483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477" w:type="dxa"/>
            <w:noWrap w:val="0"/>
            <w:tcMar>
              <w:left w:w="28" w:type="dxa"/>
              <w:right w:w="28" w:type="dxa"/>
            </w:tcMar>
            <w:vAlign w:val="center"/>
          </w:tcPr>
          <w:p w14:paraId="13412FA5">
            <w:pPr>
              <w:keepNext w:val="0"/>
              <w:keepLines w:val="0"/>
              <w:suppressLineNumbers w:val="0"/>
              <w:adjustRightInd w:val="0"/>
              <w:snapToGrid w:val="0"/>
              <w:spacing w:before="0" w:beforeAutospacing="0" w:after="0" w:afterAutospacing="0"/>
              <w:ind w:left="0" w:right="0"/>
              <w:jc w:val="center"/>
              <w:rPr>
                <w:rFonts w:hint="default"/>
                <w:b/>
                <w:bCs/>
                <w:color w:val="auto"/>
                <w:spacing w:val="10"/>
                <w:sz w:val="24"/>
              </w:rPr>
            </w:pPr>
            <w:r>
              <w:rPr>
                <w:rFonts w:hint="default"/>
                <w:b/>
                <w:bCs/>
                <w:color w:val="auto"/>
                <w:spacing w:val="10"/>
                <w:sz w:val="24"/>
              </w:rPr>
              <w:t>其他</w:t>
            </w:r>
          </w:p>
        </w:tc>
        <w:tc>
          <w:tcPr>
            <w:tcW w:w="8420" w:type="dxa"/>
            <w:noWrap w:val="0"/>
            <w:vAlign w:val="top"/>
          </w:tcPr>
          <w:p w14:paraId="06B263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b/>
                <w:color w:val="auto"/>
                <w:sz w:val="24"/>
                <w:szCs w:val="32"/>
                <w:lang w:val="en-GB"/>
              </w:rPr>
            </w:pPr>
            <w:r>
              <w:rPr>
                <w:rFonts w:hint="default"/>
                <w:b/>
                <w:color w:val="auto"/>
                <w:sz w:val="24"/>
                <w:szCs w:val="32"/>
                <w:lang w:val="en-GB"/>
              </w:rPr>
              <w:t>环境管理</w:t>
            </w:r>
          </w:p>
          <w:p w14:paraId="1F8CDA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sz w:val="24"/>
                <w:szCs w:val="32"/>
                <w:lang w:val="en-GB"/>
              </w:rPr>
            </w:pPr>
            <w:r>
              <w:rPr>
                <w:rFonts w:hint="eastAsia"/>
                <w:color w:val="auto"/>
                <w:sz w:val="24"/>
                <w:szCs w:val="32"/>
                <w:lang w:val="en-GB" w:eastAsia="zh-CN"/>
              </w:rPr>
              <w:t>本工程</w:t>
            </w:r>
            <w:r>
              <w:rPr>
                <w:rFonts w:hint="default"/>
                <w:color w:val="auto"/>
                <w:sz w:val="24"/>
                <w:szCs w:val="32"/>
                <w:lang w:val="en-GB"/>
              </w:rPr>
              <w:t>由中国石油天然气股份有限公司华北油田巴彦勘探开发分公司投资建设，环境管理执行机构为公司安全环保处，设有专职的环保专职人员，负责公司的环境保护管理及监督工作。其主要职能是：掌握全公司的环境状况，统计分析污染物排放情况，研究治理对策，组织指导各单位环境监测工作，协调处理有关污染事故和污染纠纷，监督检查项目的</w:t>
            </w:r>
            <w:r>
              <w:rPr>
                <w:rFonts w:hint="eastAsia"/>
                <w:color w:val="auto"/>
                <w:sz w:val="24"/>
                <w:szCs w:val="32"/>
                <w:lang w:val="en-GB"/>
              </w:rPr>
              <w:t>“</w:t>
            </w:r>
            <w:r>
              <w:rPr>
                <w:rFonts w:hint="default"/>
                <w:color w:val="auto"/>
                <w:sz w:val="24"/>
                <w:szCs w:val="32"/>
                <w:lang w:val="en-GB"/>
              </w:rPr>
              <w:t>三同时</w:t>
            </w:r>
            <w:r>
              <w:rPr>
                <w:rFonts w:hint="eastAsia"/>
                <w:color w:val="auto"/>
                <w:sz w:val="24"/>
                <w:szCs w:val="32"/>
                <w:lang w:val="en-GB"/>
              </w:rPr>
              <w:t>”</w:t>
            </w:r>
            <w:r>
              <w:rPr>
                <w:rFonts w:hint="default"/>
                <w:color w:val="auto"/>
                <w:sz w:val="24"/>
                <w:szCs w:val="32"/>
                <w:lang w:val="en-GB"/>
              </w:rPr>
              <w:t>制度执行情况及参与环保设施的竣工验收工作等，已形成一套完整可行的环境管理计划，并起到了既发展生产，又保护环境的作用。</w:t>
            </w:r>
          </w:p>
          <w:p w14:paraId="2E336B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sz w:val="24"/>
                <w:szCs w:val="32"/>
                <w:lang w:val="en-GB"/>
              </w:rPr>
            </w:pPr>
            <w:r>
              <w:rPr>
                <w:rFonts w:hint="default"/>
                <w:color w:val="auto"/>
                <w:sz w:val="24"/>
                <w:szCs w:val="32"/>
                <w:lang w:val="en-GB"/>
              </w:rPr>
              <w:t>1、环境管理依据及执行标准</w:t>
            </w:r>
          </w:p>
          <w:p w14:paraId="4088C7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sz w:val="24"/>
                <w:szCs w:val="32"/>
                <w:lang w:val="en-GB"/>
              </w:rPr>
            </w:pPr>
            <w:r>
              <w:rPr>
                <w:rFonts w:hint="default"/>
                <w:color w:val="auto"/>
                <w:sz w:val="24"/>
                <w:szCs w:val="32"/>
                <w:lang w:val="en-GB"/>
              </w:rPr>
              <w:t>环境管理依据包括《中华人民共和国环境保护法</w:t>
            </w:r>
            <w:r>
              <w:rPr>
                <w:rFonts w:hint="eastAsia"/>
                <w:color w:val="auto"/>
                <w:sz w:val="24"/>
                <w:szCs w:val="32"/>
                <w:lang w:val="en-GB" w:eastAsia="zh-CN"/>
              </w:rPr>
              <w:t>》《</w:t>
            </w:r>
            <w:r>
              <w:rPr>
                <w:rFonts w:hint="default"/>
                <w:color w:val="auto"/>
                <w:sz w:val="24"/>
                <w:szCs w:val="32"/>
                <w:lang w:val="en-GB"/>
              </w:rPr>
              <w:t>中华人民共和国土地管理法</w:t>
            </w:r>
            <w:r>
              <w:rPr>
                <w:rFonts w:hint="eastAsia"/>
                <w:color w:val="auto"/>
                <w:sz w:val="24"/>
                <w:szCs w:val="32"/>
                <w:lang w:val="en-GB" w:eastAsia="zh-CN"/>
              </w:rPr>
              <w:t>》《</w:t>
            </w:r>
            <w:r>
              <w:rPr>
                <w:rFonts w:hint="default"/>
                <w:color w:val="auto"/>
                <w:sz w:val="24"/>
                <w:szCs w:val="32"/>
                <w:lang w:val="en-GB"/>
              </w:rPr>
              <w:t>建设项目环境保护管理条例》、</w:t>
            </w:r>
            <w:r>
              <w:rPr>
                <w:rFonts w:hint="eastAsia"/>
                <w:color w:val="auto"/>
                <w:sz w:val="24"/>
                <w:szCs w:val="32"/>
                <w:lang w:val="en-GB" w:eastAsia="zh-CN"/>
              </w:rPr>
              <w:t>国务院令《排污许可管理条例》、生态环境部《排污许可管理办法》</w:t>
            </w:r>
            <w:r>
              <w:rPr>
                <w:rFonts w:hint="default"/>
                <w:color w:val="auto"/>
                <w:sz w:val="24"/>
                <w:szCs w:val="32"/>
                <w:lang w:val="en-GB"/>
              </w:rPr>
              <w:t>地方政府和各级环保部门颁布的地方</w:t>
            </w:r>
            <w:r>
              <w:rPr>
                <w:rFonts w:hint="eastAsia"/>
                <w:color w:val="auto"/>
                <w:sz w:val="24"/>
                <w:szCs w:val="32"/>
                <w:lang w:val="en-GB" w:eastAsia="zh-CN"/>
              </w:rPr>
              <w:t>环保</w:t>
            </w:r>
            <w:r>
              <w:rPr>
                <w:rFonts w:hint="default"/>
                <w:color w:val="auto"/>
                <w:sz w:val="24"/>
                <w:szCs w:val="32"/>
                <w:lang w:val="en-GB"/>
              </w:rPr>
              <w:t>法规、公司制定的环境保护管理条例</w:t>
            </w:r>
            <w:r>
              <w:rPr>
                <w:rFonts w:hint="eastAsia"/>
                <w:color w:val="auto"/>
                <w:sz w:val="24"/>
                <w:szCs w:val="32"/>
                <w:lang w:val="en-GB" w:eastAsia="zh-CN"/>
              </w:rPr>
              <w:t>及其他</w:t>
            </w:r>
            <w:r>
              <w:rPr>
                <w:rFonts w:hint="default"/>
                <w:color w:val="auto"/>
                <w:sz w:val="24"/>
                <w:szCs w:val="32"/>
                <w:lang w:val="en-GB"/>
              </w:rPr>
              <w:t>环保法规。</w:t>
            </w:r>
          </w:p>
          <w:p w14:paraId="674FB9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sz w:val="24"/>
                <w:szCs w:val="32"/>
                <w:lang w:val="en-GB"/>
              </w:rPr>
            </w:pPr>
            <w:r>
              <w:rPr>
                <w:rFonts w:hint="default"/>
                <w:color w:val="auto"/>
                <w:sz w:val="24"/>
                <w:szCs w:val="32"/>
                <w:lang w:val="en-GB"/>
              </w:rPr>
              <w:t>2、开发勘探期环境管理</w:t>
            </w:r>
          </w:p>
          <w:p w14:paraId="297172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sz w:val="24"/>
                <w:szCs w:val="32"/>
                <w:lang w:val="en-GB"/>
              </w:rPr>
            </w:pPr>
            <w:r>
              <w:rPr>
                <w:rFonts w:hint="eastAsia" w:ascii="宋体" w:hAnsi="宋体" w:cs="宋体"/>
                <w:color w:val="auto"/>
                <w:sz w:val="24"/>
                <w:szCs w:val="32"/>
                <w:lang w:val="en-GB"/>
              </w:rPr>
              <w:t>①</w:t>
            </w:r>
            <w:r>
              <w:rPr>
                <w:rFonts w:hint="default"/>
                <w:color w:val="auto"/>
                <w:sz w:val="24"/>
                <w:szCs w:val="32"/>
                <w:lang w:val="en-GB"/>
              </w:rPr>
              <w:t>建立和实施施工作业队伍的QHSE管理体系。</w:t>
            </w:r>
          </w:p>
          <w:p w14:paraId="3B3A11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sz w:val="24"/>
                <w:szCs w:val="32"/>
                <w:lang w:val="en-GB"/>
              </w:rPr>
            </w:pPr>
            <w:r>
              <w:rPr>
                <w:rFonts w:hint="eastAsia" w:ascii="宋体" w:hAnsi="宋体" w:cs="宋体"/>
                <w:color w:val="auto"/>
                <w:sz w:val="24"/>
                <w:szCs w:val="32"/>
                <w:lang w:val="en-GB"/>
              </w:rPr>
              <w:t>②</w:t>
            </w:r>
            <w:r>
              <w:rPr>
                <w:rFonts w:hint="default"/>
                <w:color w:val="auto"/>
                <w:sz w:val="24"/>
                <w:szCs w:val="32"/>
                <w:lang w:val="en-GB"/>
              </w:rPr>
              <w:t>对开发建设全过程进行环保措施和环保工程的监督和检查。</w:t>
            </w:r>
          </w:p>
          <w:p w14:paraId="5D5BF2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sz w:val="24"/>
                <w:szCs w:val="32"/>
                <w:lang w:val="en-GB"/>
              </w:rPr>
            </w:pPr>
            <w:r>
              <w:rPr>
                <w:rFonts w:hint="eastAsia" w:ascii="宋体" w:hAnsi="宋体" w:cs="宋体"/>
                <w:color w:val="auto"/>
                <w:sz w:val="24"/>
                <w:szCs w:val="32"/>
                <w:lang w:val="en-GB"/>
              </w:rPr>
              <w:t>③</w:t>
            </w:r>
            <w:r>
              <w:rPr>
                <w:rFonts w:hint="default"/>
                <w:color w:val="auto"/>
                <w:sz w:val="24"/>
                <w:szCs w:val="32"/>
                <w:lang w:val="en-GB"/>
              </w:rPr>
              <w:t>实行开发勘探期环境监理制度，将开发勘探期作业对环境造成的破坏降低到最低限度。</w:t>
            </w:r>
          </w:p>
          <w:p w14:paraId="2FE8EF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sz w:val="24"/>
                <w:szCs w:val="32"/>
                <w:lang w:val="en-GB"/>
              </w:rPr>
            </w:pPr>
            <w:r>
              <w:rPr>
                <w:rFonts w:hint="eastAsia" w:ascii="宋体" w:hAnsi="宋体" w:cs="宋体"/>
                <w:color w:val="auto"/>
                <w:sz w:val="24"/>
                <w:szCs w:val="32"/>
                <w:lang w:val="en-GB"/>
              </w:rPr>
              <w:t>④</w:t>
            </w:r>
            <w:r>
              <w:rPr>
                <w:rFonts w:hint="eastAsia"/>
                <w:color w:val="auto"/>
                <w:sz w:val="24"/>
                <w:szCs w:val="32"/>
                <w:lang w:val="en-GB"/>
              </w:rPr>
              <w:t>施工井场生态恢复，主要是对临时占地区域的生态修复。主要表现在临时道路、设备堆压、车辆碾压、施工人员踩踏等，待油气井勘探工程结束全部恢复原有土地类型。</w:t>
            </w:r>
          </w:p>
          <w:p w14:paraId="72E82A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sz w:val="24"/>
                <w:szCs w:val="32"/>
                <w:lang w:val="en-GB"/>
              </w:rPr>
            </w:pPr>
            <w:r>
              <w:rPr>
                <w:rFonts w:hint="eastAsia"/>
                <w:color w:val="auto"/>
                <w:sz w:val="24"/>
                <w:szCs w:val="32"/>
                <w:lang w:val="en-GB"/>
              </w:rPr>
              <w:t>3、环保设施竣工验收</w:t>
            </w:r>
          </w:p>
          <w:p w14:paraId="4E3597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sz w:val="24"/>
                <w:szCs w:val="32"/>
                <w:lang w:val="en-GB"/>
              </w:rPr>
            </w:pPr>
            <w:r>
              <w:rPr>
                <w:rFonts w:hint="default"/>
                <w:color w:val="auto"/>
                <w:sz w:val="24"/>
                <w:szCs w:val="32"/>
                <w:lang w:val="en-GB"/>
              </w:rPr>
              <w:t>勘探期结束后，建设单位应当按照</w:t>
            </w:r>
            <w:r>
              <w:rPr>
                <w:rFonts w:hint="eastAsia"/>
                <w:color w:val="auto"/>
                <w:sz w:val="24"/>
                <w:szCs w:val="32"/>
                <w:lang w:val="en-GB"/>
              </w:rPr>
              <w:t>《建设项目竣工环境保护验收暂行办法</w:t>
            </w:r>
            <w:r>
              <w:rPr>
                <w:rFonts w:hint="eastAsia"/>
                <w:color w:val="auto"/>
                <w:sz w:val="24"/>
                <w:szCs w:val="32"/>
                <w:lang w:val="en-US" w:eastAsia="zh-CN"/>
              </w:rPr>
              <w:t>2022</w:t>
            </w:r>
            <w:r>
              <w:rPr>
                <w:rFonts w:hint="eastAsia"/>
                <w:color w:val="auto"/>
                <w:sz w:val="24"/>
                <w:szCs w:val="32"/>
                <w:lang w:val="en-GB"/>
              </w:rPr>
              <w:t>》规定的程序和标准，组织对配套建设的环境保护设施进行验收，编制验收报告（</w:t>
            </w:r>
            <w:r>
              <w:rPr>
                <w:rFonts w:hint="default"/>
                <w:color w:val="auto"/>
                <w:sz w:val="24"/>
                <w:szCs w:val="32"/>
                <w:lang w:val="en-GB"/>
              </w:rPr>
              <w:t>主要内容包括对土壤、生态、植被的恢复，以及解决和落实有关资源的补偿问题</w:t>
            </w:r>
            <w:r>
              <w:rPr>
                <w:rFonts w:hint="eastAsia"/>
                <w:color w:val="auto"/>
                <w:sz w:val="24"/>
                <w:szCs w:val="32"/>
                <w:lang w:val="en-GB"/>
              </w:rPr>
              <w:t>），公开相关信息，</w:t>
            </w:r>
            <w:r>
              <w:rPr>
                <w:rFonts w:hint="eastAsia"/>
                <w:color w:val="auto"/>
                <w:sz w:val="24"/>
                <w:szCs w:val="32"/>
                <w:lang w:val="en-GB" w:eastAsia="zh-CN"/>
              </w:rPr>
              <w:t>接受社会监督</w:t>
            </w:r>
            <w:r>
              <w:rPr>
                <w:rFonts w:hint="eastAsia"/>
                <w:color w:val="auto"/>
                <w:sz w:val="24"/>
                <w:szCs w:val="32"/>
                <w:lang w:val="en-GB"/>
              </w:rPr>
              <w:t>。</w:t>
            </w:r>
          </w:p>
        </w:tc>
      </w:tr>
      <w:tr w14:paraId="211595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477" w:type="dxa"/>
            <w:noWrap w:val="0"/>
            <w:tcMar>
              <w:left w:w="28" w:type="dxa"/>
              <w:right w:w="28" w:type="dxa"/>
            </w:tcMar>
            <w:vAlign w:val="center"/>
          </w:tcPr>
          <w:p w14:paraId="05C7ECB9">
            <w:pPr>
              <w:keepNext w:val="0"/>
              <w:keepLines w:val="0"/>
              <w:suppressLineNumbers w:val="0"/>
              <w:adjustRightInd w:val="0"/>
              <w:snapToGrid w:val="0"/>
              <w:spacing w:before="0" w:beforeAutospacing="0" w:after="0" w:afterAutospacing="0"/>
              <w:ind w:left="0" w:right="0"/>
              <w:jc w:val="center"/>
              <w:rPr>
                <w:rFonts w:hint="default"/>
                <w:bCs/>
                <w:color w:val="auto"/>
                <w:spacing w:val="10"/>
                <w:szCs w:val="21"/>
              </w:rPr>
            </w:pPr>
            <w:r>
              <w:rPr>
                <w:rFonts w:hint="default"/>
                <w:b/>
                <w:bCs/>
                <w:color w:val="auto"/>
                <w:spacing w:val="10"/>
                <w:sz w:val="24"/>
              </w:rPr>
              <w:t>环保投资</w:t>
            </w:r>
          </w:p>
        </w:tc>
        <w:tc>
          <w:tcPr>
            <w:tcW w:w="8420" w:type="dxa"/>
            <w:noWrap w:val="0"/>
            <w:vAlign w:val="top"/>
          </w:tcPr>
          <w:p w14:paraId="54926172">
            <w:pPr>
              <w:keepNext w:val="0"/>
              <w:keepLines w:val="0"/>
              <w:suppressLineNumbers w:val="0"/>
              <w:spacing w:before="0" w:beforeAutospacing="0" w:after="0" w:afterAutospacing="0" w:line="360" w:lineRule="auto"/>
              <w:ind w:left="0" w:right="0" w:firstLine="480" w:firstLineChars="200"/>
              <w:rPr>
                <w:rFonts w:hint="eastAsia"/>
                <w:color w:val="auto"/>
                <w:sz w:val="24"/>
                <w:szCs w:val="32"/>
              </w:rPr>
            </w:pPr>
            <w:r>
              <w:rPr>
                <w:rFonts w:hint="eastAsia"/>
                <w:color w:val="auto"/>
                <w:sz w:val="24"/>
                <w:szCs w:val="32"/>
                <w:lang w:eastAsia="zh-CN"/>
              </w:rPr>
              <w:t>本工程</w:t>
            </w:r>
            <w:r>
              <w:rPr>
                <w:rFonts w:hint="eastAsia"/>
                <w:color w:val="auto"/>
                <w:sz w:val="24"/>
                <w:szCs w:val="32"/>
              </w:rPr>
              <w:t>总</w:t>
            </w:r>
            <w:r>
              <w:rPr>
                <w:rFonts w:hint="eastAsia"/>
                <w:color w:val="auto"/>
                <w:sz w:val="24"/>
                <w:szCs w:val="32"/>
                <w:lang w:eastAsia="zh-CN"/>
              </w:rPr>
              <w:t>投资</w:t>
            </w:r>
            <w:r>
              <w:rPr>
                <w:rFonts w:hint="eastAsia"/>
                <w:color w:val="auto"/>
                <w:sz w:val="24"/>
                <w:szCs w:val="32"/>
                <w:lang w:val="en-US" w:eastAsia="zh-CN"/>
              </w:rPr>
              <w:t>3762</w:t>
            </w:r>
            <w:r>
              <w:rPr>
                <w:rFonts w:hint="eastAsia"/>
                <w:color w:val="auto"/>
                <w:sz w:val="24"/>
                <w:szCs w:val="32"/>
              </w:rPr>
              <w:t>万元，其中环保投资1</w:t>
            </w:r>
            <w:r>
              <w:rPr>
                <w:rFonts w:hint="eastAsia"/>
                <w:color w:val="auto"/>
                <w:sz w:val="24"/>
                <w:szCs w:val="32"/>
                <w:lang w:val="en-US" w:eastAsia="zh-CN"/>
              </w:rPr>
              <w:t>2</w:t>
            </w:r>
            <w:r>
              <w:rPr>
                <w:rFonts w:hint="eastAsia"/>
                <w:color w:val="auto"/>
                <w:sz w:val="24"/>
                <w:szCs w:val="32"/>
              </w:rPr>
              <w:t>0万元，占总投资的</w:t>
            </w:r>
            <w:r>
              <w:rPr>
                <w:rFonts w:hint="eastAsia"/>
                <w:color w:val="auto"/>
                <w:sz w:val="24"/>
                <w:szCs w:val="32"/>
                <w:lang w:val="en-US" w:eastAsia="zh-CN"/>
              </w:rPr>
              <w:t>3.19</w:t>
            </w:r>
            <w:r>
              <w:rPr>
                <w:rFonts w:hint="eastAsia"/>
                <w:color w:val="auto"/>
                <w:sz w:val="24"/>
                <w:szCs w:val="32"/>
              </w:rPr>
              <w:t>%。各项生态环境保护措施投资估算情况见下表。</w:t>
            </w:r>
          </w:p>
          <w:p w14:paraId="77CEE096">
            <w:pPr>
              <w:keepNext w:val="0"/>
              <w:keepLines w:val="0"/>
              <w:suppressLineNumbers w:val="0"/>
              <w:autoSpaceDE w:val="0"/>
              <w:autoSpaceDN w:val="0"/>
              <w:adjustRightInd w:val="0"/>
              <w:spacing w:before="0" w:beforeAutospacing="0" w:after="0" w:afterAutospacing="0"/>
              <w:ind w:left="0" w:right="0"/>
              <w:jc w:val="center"/>
              <w:rPr>
                <w:rFonts w:hint="eastAsia"/>
                <w:b/>
                <w:color w:val="auto"/>
                <w:kern w:val="0"/>
                <w:sz w:val="24"/>
              </w:rPr>
            </w:pPr>
            <w:r>
              <w:rPr>
                <w:rFonts w:hint="default"/>
                <w:b/>
                <w:color w:val="auto"/>
                <w:kern w:val="0"/>
                <w:sz w:val="24"/>
              </w:rPr>
              <w:t>表</w:t>
            </w:r>
            <w:r>
              <w:rPr>
                <w:rFonts w:hint="eastAsia"/>
                <w:b/>
                <w:color w:val="auto"/>
                <w:kern w:val="0"/>
                <w:sz w:val="24"/>
              </w:rPr>
              <w:t>5</w:t>
            </w:r>
            <w:r>
              <w:rPr>
                <w:rFonts w:hint="default"/>
                <w:b/>
                <w:color w:val="auto"/>
                <w:kern w:val="0"/>
                <w:sz w:val="24"/>
              </w:rPr>
              <w:t>-</w:t>
            </w:r>
            <w:r>
              <w:rPr>
                <w:rFonts w:hint="eastAsia"/>
                <w:b/>
                <w:color w:val="auto"/>
                <w:kern w:val="0"/>
                <w:sz w:val="24"/>
                <w:lang w:val="en-US" w:eastAsia="zh-CN"/>
              </w:rPr>
              <w:t>7</w:t>
            </w:r>
            <w:r>
              <w:rPr>
                <w:rFonts w:hint="eastAsia"/>
                <w:b/>
                <w:color w:val="auto"/>
                <w:kern w:val="0"/>
                <w:sz w:val="24"/>
              </w:rPr>
              <w:t xml:space="preserve"> </w:t>
            </w:r>
            <w:r>
              <w:rPr>
                <w:rFonts w:hint="default"/>
                <w:b/>
                <w:color w:val="auto"/>
                <w:kern w:val="0"/>
                <w:sz w:val="24"/>
              </w:rPr>
              <w:t>生态环境保护措施投资估算一览表</w:t>
            </w:r>
          </w:p>
          <w:tbl>
            <w:tblPr>
              <w:tblStyle w:val="30"/>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14"/>
              <w:gridCol w:w="668"/>
              <w:gridCol w:w="1375"/>
              <w:gridCol w:w="4792"/>
              <w:gridCol w:w="855"/>
            </w:tblGrid>
            <w:tr w14:paraId="6B501C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313" w:type="pct"/>
                  <w:noWrap w:val="0"/>
                  <w:tcMar>
                    <w:left w:w="0" w:type="dxa"/>
                    <w:right w:w="0" w:type="dxa"/>
                  </w:tcMar>
                  <w:vAlign w:val="center"/>
                </w:tcPr>
                <w:p w14:paraId="3CFEDBAD">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时段</w:t>
                  </w:r>
                </w:p>
              </w:tc>
              <w:tc>
                <w:tcPr>
                  <w:tcW w:w="407" w:type="pct"/>
                  <w:noWrap w:val="0"/>
                  <w:tcMar>
                    <w:left w:w="0" w:type="dxa"/>
                    <w:right w:w="0" w:type="dxa"/>
                  </w:tcMar>
                  <w:vAlign w:val="center"/>
                </w:tcPr>
                <w:p w14:paraId="21F562AC">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类型</w:t>
                  </w:r>
                </w:p>
              </w:tc>
              <w:tc>
                <w:tcPr>
                  <w:tcW w:w="838" w:type="pct"/>
                  <w:noWrap w:val="0"/>
                  <w:vAlign w:val="center"/>
                </w:tcPr>
                <w:p w14:paraId="0FCD743B">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项目</w:t>
                  </w:r>
                </w:p>
              </w:tc>
              <w:tc>
                <w:tcPr>
                  <w:tcW w:w="2919" w:type="pct"/>
                  <w:noWrap w:val="0"/>
                  <w:vAlign w:val="center"/>
                </w:tcPr>
                <w:p w14:paraId="4785F44B">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污染防治措施</w:t>
                  </w:r>
                </w:p>
              </w:tc>
              <w:tc>
                <w:tcPr>
                  <w:tcW w:w="521" w:type="pct"/>
                  <w:noWrap w:val="0"/>
                  <w:vAlign w:val="center"/>
                </w:tcPr>
                <w:p w14:paraId="366F8594">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投资</w:t>
                  </w:r>
                </w:p>
                <w:p w14:paraId="1A931F23">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万元</w:t>
                  </w:r>
                </w:p>
              </w:tc>
            </w:tr>
            <w:tr w14:paraId="7ED18D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3" w:type="pct"/>
                  <w:vMerge w:val="restart"/>
                  <w:noWrap w:val="0"/>
                  <w:vAlign w:val="center"/>
                </w:tcPr>
                <w:p w14:paraId="1CB8176C">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勘探期</w:t>
                  </w:r>
                </w:p>
              </w:tc>
              <w:tc>
                <w:tcPr>
                  <w:tcW w:w="407" w:type="pct"/>
                  <w:vMerge w:val="restart"/>
                  <w:noWrap w:val="0"/>
                  <w:vAlign w:val="center"/>
                </w:tcPr>
                <w:p w14:paraId="1184B5B3">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废气</w:t>
                  </w:r>
                </w:p>
              </w:tc>
              <w:tc>
                <w:tcPr>
                  <w:tcW w:w="838" w:type="pct"/>
                  <w:noWrap w:val="0"/>
                  <w:vAlign w:val="center"/>
                </w:tcPr>
                <w:p w14:paraId="62187E97">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扬尘</w:t>
                  </w:r>
                </w:p>
              </w:tc>
              <w:tc>
                <w:tcPr>
                  <w:tcW w:w="2919" w:type="pct"/>
                  <w:noWrap w:val="0"/>
                  <w:vAlign w:val="center"/>
                </w:tcPr>
                <w:p w14:paraId="6329B1D1">
                  <w:pPr>
                    <w:keepNext w:val="0"/>
                    <w:keepLines w:val="0"/>
                    <w:suppressLineNumbers w:val="0"/>
                    <w:spacing w:before="0" w:beforeAutospacing="0" w:after="0" w:afterAutospacing="0"/>
                    <w:ind w:left="0" w:right="0"/>
                    <w:jc w:val="center"/>
                    <w:rPr>
                      <w:rFonts w:hint="eastAsia" w:eastAsia="宋体"/>
                      <w:color w:val="auto"/>
                      <w:szCs w:val="21"/>
                      <w:lang w:eastAsia="zh-CN"/>
                    </w:rPr>
                  </w:pPr>
                  <w:r>
                    <w:rPr>
                      <w:rFonts w:hint="default"/>
                      <w:color w:val="auto"/>
                      <w:szCs w:val="21"/>
                    </w:rPr>
                    <w:t>泼洒抑尘</w:t>
                  </w:r>
                  <w:r>
                    <w:rPr>
                      <w:rFonts w:hint="eastAsia"/>
                      <w:color w:val="auto"/>
                      <w:szCs w:val="21"/>
                    </w:rPr>
                    <w:t>，表层堆土上铺</w:t>
                  </w:r>
                  <w:r>
                    <w:rPr>
                      <w:rFonts w:hint="eastAsia"/>
                      <w:color w:val="auto"/>
                      <w:szCs w:val="21"/>
                      <w:lang w:eastAsia="zh-CN"/>
                    </w:rPr>
                    <w:t>盖土网</w:t>
                  </w:r>
                </w:p>
              </w:tc>
              <w:tc>
                <w:tcPr>
                  <w:tcW w:w="521" w:type="pct"/>
                  <w:noWrap w:val="0"/>
                  <w:vAlign w:val="center"/>
                </w:tcPr>
                <w:p w14:paraId="1D1AD3BC">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10</w:t>
                  </w:r>
                </w:p>
              </w:tc>
            </w:tr>
            <w:tr w14:paraId="443C09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313" w:type="pct"/>
                  <w:vMerge w:val="continue"/>
                  <w:noWrap w:val="0"/>
                  <w:vAlign w:val="center"/>
                </w:tcPr>
                <w:p w14:paraId="6ADDFB2E">
                  <w:pPr>
                    <w:keepNext w:val="0"/>
                    <w:keepLines w:val="0"/>
                    <w:suppressLineNumbers w:val="0"/>
                    <w:spacing w:before="0" w:beforeAutospacing="0" w:after="0" w:afterAutospacing="0"/>
                    <w:ind w:left="0" w:right="0"/>
                    <w:jc w:val="center"/>
                    <w:textAlignment w:val="center"/>
                    <w:rPr>
                      <w:rFonts w:hint="default"/>
                      <w:color w:val="auto"/>
                      <w:szCs w:val="21"/>
                    </w:rPr>
                  </w:pPr>
                </w:p>
              </w:tc>
              <w:tc>
                <w:tcPr>
                  <w:tcW w:w="407" w:type="pct"/>
                  <w:vMerge w:val="continue"/>
                  <w:noWrap w:val="0"/>
                  <w:vAlign w:val="center"/>
                </w:tcPr>
                <w:p w14:paraId="0DD71CE5">
                  <w:pPr>
                    <w:keepNext w:val="0"/>
                    <w:keepLines w:val="0"/>
                    <w:suppressLineNumbers w:val="0"/>
                    <w:spacing w:before="0" w:beforeAutospacing="0" w:after="0" w:afterAutospacing="0"/>
                    <w:ind w:left="0" w:right="0"/>
                    <w:jc w:val="center"/>
                    <w:textAlignment w:val="center"/>
                    <w:rPr>
                      <w:rFonts w:hint="default"/>
                      <w:color w:val="auto"/>
                      <w:szCs w:val="21"/>
                    </w:rPr>
                  </w:pPr>
                </w:p>
              </w:tc>
              <w:tc>
                <w:tcPr>
                  <w:tcW w:w="838" w:type="pct"/>
                  <w:noWrap w:val="0"/>
                  <w:vAlign w:val="center"/>
                </w:tcPr>
                <w:p w14:paraId="030453A7">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柴油发电机废气</w:t>
                  </w:r>
                </w:p>
              </w:tc>
              <w:tc>
                <w:tcPr>
                  <w:tcW w:w="2919" w:type="pct"/>
                  <w:noWrap w:val="0"/>
                  <w:vAlign w:val="center"/>
                </w:tcPr>
                <w:p w14:paraId="24151431">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轻质柴油，自带排气筒</w:t>
                  </w:r>
                </w:p>
              </w:tc>
              <w:tc>
                <w:tcPr>
                  <w:tcW w:w="521" w:type="pct"/>
                  <w:noWrap w:val="0"/>
                  <w:vAlign w:val="center"/>
                </w:tcPr>
                <w:p w14:paraId="0B89E1A0">
                  <w:pPr>
                    <w:keepNext w:val="0"/>
                    <w:keepLines w:val="0"/>
                    <w:suppressLineNumbers w:val="0"/>
                    <w:spacing w:before="0" w:beforeAutospacing="0" w:after="0" w:afterAutospacing="0"/>
                    <w:ind w:left="0" w:right="0"/>
                    <w:jc w:val="center"/>
                    <w:rPr>
                      <w:rFonts w:hint="eastAsia" w:eastAsia="宋体"/>
                      <w:color w:val="auto"/>
                      <w:szCs w:val="21"/>
                      <w:lang w:val="en-US" w:eastAsia="zh-CN"/>
                    </w:rPr>
                  </w:pPr>
                  <w:r>
                    <w:rPr>
                      <w:rFonts w:hint="eastAsia"/>
                      <w:color w:val="auto"/>
                      <w:szCs w:val="21"/>
                      <w:lang w:val="en-US" w:eastAsia="zh-CN"/>
                    </w:rPr>
                    <w:t>5</w:t>
                  </w:r>
                </w:p>
              </w:tc>
            </w:tr>
            <w:tr w14:paraId="0799C5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313" w:type="pct"/>
                  <w:vMerge w:val="continue"/>
                  <w:noWrap w:val="0"/>
                  <w:vAlign w:val="center"/>
                </w:tcPr>
                <w:p w14:paraId="3BDB0B97">
                  <w:pPr>
                    <w:keepNext w:val="0"/>
                    <w:keepLines w:val="0"/>
                    <w:suppressLineNumbers w:val="0"/>
                    <w:spacing w:before="0" w:beforeAutospacing="0" w:after="0" w:afterAutospacing="0"/>
                    <w:ind w:left="0" w:right="0"/>
                    <w:jc w:val="center"/>
                    <w:textAlignment w:val="center"/>
                    <w:rPr>
                      <w:rFonts w:hint="default"/>
                      <w:color w:val="auto"/>
                      <w:szCs w:val="21"/>
                    </w:rPr>
                  </w:pPr>
                </w:p>
              </w:tc>
              <w:tc>
                <w:tcPr>
                  <w:tcW w:w="407" w:type="pct"/>
                  <w:vMerge w:val="continue"/>
                  <w:noWrap w:val="0"/>
                  <w:vAlign w:val="center"/>
                </w:tcPr>
                <w:p w14:paraId="6D29BB66">
                  <w:pPr>
                    <w:keepNext w:val="0"/>
                    <w:keepLines w:val="0"/>
                    <w:suppressLineNumbers w:val="0"/>
                    <w:spacing w:before="0" w:beforeAutospacing="0" w:after="0" w:afterAutospacing="0"/>
                    <w:ind w:left="0" w:right="0"/>
                    <w:jc w:val="center"/>
                    <w:textAlignment w:val="center"/>
                    <w:rPr>
                      <w:rFonts w:hint="default"/>
                      <w:color w:val="auto"/>
                      <w:szCs w:val="21"/>
                    </w:rPr>
                  </w:pPr>
                </w:p>
              </w:tc>
              <w:tc>
                <w:tcPr>
                  <w:tcW w:w="838" w:type="pct"/>
                  <w:noWrap w:val="0"/>
                  <w:vAlign w:val="center"/>
                </w:tcPr>
                <w:p w14:paraId="65027E48">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柴油罐挥发</w:t>
                  </w:r>
                </w:p>
                <w:p w14:paraId="34C4548D">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废气</w:t>
                  </w:r>
                </w:p>
              </w:tc>
              <w:tc>
                <w:tcPr>
                  <w:tcW w:w="2919" w:type="pct"/>
                  <w:noWrap w:val="0"/>
                  <w:vAlign w:val="center"/>
                </w:tcPr>
                <w:p w14:paraId="74BE5B5A">
                  <w:pPr>
                    <w:keepNext w:val="0"/>
                    <w:keepLines w:val="0"/>
                    <w:suppressLineNumbers w:val="0"/>
                    <w:spacing w:before="0" w:beforeAutospacing="0" w:after="0" w:afterAutospacing="0"/>
                    <w:ind w:left="0" w:right="0"/>
                    <w:jc w:val="center"/>
                    <w:rPr>
                      <w:rFonts w:hint="default"/>
                      <w:color w:val="auto"/>
                      <w:szCs w:val="21"/>
                    </w:rPr>
                  </w:pPr>
                  <w:r>
                    <w:rPr>
                      <w:rFonts w:hint="eastAsia"/>
                      <w:bCs/>
                      <w:color w:val="auto"/>
                      <w:szCs w:val="21"/>
                    </w:rPr>
                    <w:t>采用防腐储罐，采用环密技术防止烃类泄漏及挥发；设置切断系统，对管线、阀门等进行定期的检查。</w:t>
                  </w:r>
                </w:p>
              </w:tc>
              <w:tc>
                <w:tcPr>
                  <w:tcW w:w="521" w:type="pct"/>
                  <w:noWrap w:val="0"/>
                  <w:vAlign w:val="center"/>
                </w:tcPr>
                <w:p w14:paraId="48DC999B">
                  <w:pPr>
                    <w:keepNext w:val="0"/>
                    <w:keepLines w:val="0"/>
                    <w:suppressLineNumbers w:val="0"/>
                    <w:spacing w:before="0" w:beforeAutospacing="0" w:after="0" w:afterAutospacing="0"/>
                    <w:ind w:left="0" w:right="0"/>
                    <w:jc w:val="center"/>
                    <w:rPr>
                      <w:rFonts w:hint="eastAsia"/>
                      <w:color w:val="auto"/>
                      <w:szCs w:val="21"/>
                      <w:lang w:val="en-US" w:eastAsia="zh-CN"/>
                    </w:rPr>
                  </w:pPr>
                  <w:r>
                    <w:rPr>
                      <w:rFonts w:hint="eastAsia"/>
                      <w:color w:val="auto"/>
                      <w:szCs w:val="21"/>
                    </w:rPr>
                    <w:t>2</w:t>
                  </w:r>
                </w:p>
              </w:tc>
            </w:tr>
            <w:tr w14:paraId="649735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313" w:type="pct"/>
                  <w:vMerge w:val="continue"/>
                  <w:noWrap w:val="0"/>
                  <w:vAlign w:val="center"/>
                </w:tcPr>
                <w:p w14:paraId="7ECC647A">
                  <w:pPr>
                    <w:keepNext w:val="0"/>
                    <w:keepLines w:val="0"/>
                    <w:suppressLineNumbers w:val="0"/>
                    <w:spacing w:before="0" w:beforeAutospacing="0" w:after="0" w:afterAutospacing="0"/>
                    <w:ind w:left="0" w:right="0"/>
                    <w:jc w:val="center"/>
                    <w:textAlignment w:val="center"/>
                    <w:rPr>
                      <w:rFonts w:hint="default"/>
                      <w:color w:val="auto"/>
                      <w:szCs w:val="21"/>
                    </w:rPr>
                  </w:pPr>
                </w:p>
              </w:tc>
              <w:tc>
                <w:tcPr>
                  <w:tcW w:w="407" w:type="pct"/>
                  <w:vMerge w:val="continue"/>
                  <w:noWrap w:val="0"/>
                  <w:vAlign w:val="center"/>
                </w:tcPr>
                <w:p w14:paraId="3F03F183">
                  <w:pPr>
                    <w:keepNext w:val="0"/>
                    <w:keepLines w:val="0"/>
                    <w:suppressLineNumbers w:val="0"/>
                    <w:spacing w:before="0" w:beforeAutospacing="0" w:after="0" w:afterAutospacing="0"/>
                    <w:ind w:left="0" w:right="0"/>
                    <w:jc w:val="center"/>
                    <w:textAlignment w:val="center"/>
                    <w:rPr>
                      <w:rFonts w:hint="default"/>
                      <w:color w:val="auto"/>
                      <w:szCs w:val="21"/>
                    </w:rPr>
                  </w:pPr>
                </w:p>
              </w:tc>
              <w:tc>
                <w:tcPr>
                  <w:tcW w:w="838" w:type="pct"/>
                  <w:noWrap w:val="0"/>
                  <w:tcMar>
                    <w:left w:w="0" w:type="dxa"/>
                    <w:right w:w="0" w:type="dxa"/>
                  </w:tcMar>
                  <w:vAlign w:val="center"/>
                </w:tcPr>
                <w:p w14:paraId="331FD0EF">
                  <w:pPr>
                    <w:keepNext w:val="0"/>
                    <w:keepLines w:val="0"/>
                    <w:suppressLineNumbers w:val="0"/>
                    <w:spacing w:before="0" w:beforeAutospacing="0" w:after="0" w:afterAutospacing="0"/>
                    <w:ind w:left="0" w:right="0"/>
                    <w:jc w:val="center"/>
                    <w:rPr>
                      <w:rFonts w:hint="eastAsia"/>
                      <w:color w:val="auto"/>
                      <w:szCs w:val="21"/>
                    </w:rPr>
                  </w:pPr>
                  <w:r>
                    <w:rPr>
                      <w:rFonts w:hint="default"/>
                      <w:color w:val="auto"/>
                      <w:szCs w:val="21"/>
                    </w:rPr>
                    <w:t>挥发烃类</w:t>
                  </w:r>
                </w:p>
                <w:p w14:paraId="46687B38">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废气</w:t>
                  </w:r>
                </w:p>
              </w:tc>
              <w:tc>
                <w:tcPr>
                  <w:tcW w:w="2919" w:type="pct"/>
                  <w:noWrap w:val="0"/>
                  <w:vAlign w:val="center"/>
                </w:tcPr>
                <w:p w14:paraId="601C435A">
                  <w:pPr>
                    <w:keepNext w:val="0"/>
                    <w:keepLines w:val="0"/>
                    <w:suppressLineNumbers w:val="0"/>
                    <w:spacing w:before="0" w:beforeAutospacing="0" w:after="0" w:afterAutospacing="0"/>
                    <w:ind w:left="0" w:right="0"/>
                    <w:jc w:val="center"/>
                    <w:rPr>
                      <w:rFonts w:hint="default"/>
                      <w:color w:val="auto"/>
                      <w:szCs w:val="21"/>
                    </w:rPr>
                  </w:pPr>
                  <w:r>
                    <w:rPr>
                      <w:rFonts w:hint="eastAsia"/>
                      <w:bCs/>
                      <w:color w:val="auto"/>
                      <w:szCs w:val="21"/>
                    </w:rPr>
                    <w:t>试油期采出液通过密闭管线进入储液罐，储液罐采用卧式高架防腐贮罐，采用环密技术，防止烃类泄漏。储液罐安装装车鹤管，装车采用浸没式。</w:t>
                  </w:r>
                </w:p>
              </w:tc>
              <w:tc>
                <w:tcPr>
                  <w:tcW w:w="521" w:type="pct"/>
                  <w:noWrap w:val="0"/>
                  <w:vAlign w:val="center"/>
                </w:tcPr>
                <w:p w14:paraId="78717177">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10</w:t>
                  </w:r>
                </w:p>
              </w:tc>
            </w:tr>
            <w:tr w14:paraId="775C3E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313" w:type="pct"/>
                  <w:vMerge w:val="continue"/>
                  <w:noWrap w:val="0"/>
                  <w:vAlign w:val="center"/>
                </w:tcPr>
                <w:p w14:paraId="2DB70F64">
                  <w:pPr>
                    <w:keepNext w:val="0"/>
                    <w:keepLines w:val="0"/>
                    <w:suppressLineNumbers w:val="0"/>
                    <w:spacing w:before="0" w:beforeAutospacing="0" w:after="0" w:afterAutospacing="0"/>
                    <w:ind w:left="0" w:right="0"/>
                    <w:jc w:val="center"/>
                    <w:textAlignment w:val="center"/>
                    <w:rPr>
                      <w:rFonts w:hint="default"/>
                      <w:color w:val="auto"/>
                      <w:szCs w:val="21"/>
                    </w:rPr>
                  </w:pPr>
                </w:p>
              </w:tc>
              <w:tc>
                <w:tcPr>
                  <w:tcW w:w="407" w:type="pct"/>
                  <w:vMerge w:val="continue"/>
                  <w:noWrap w:val="0"/>
                  <w:vAlign w:val="center"/>
                </w:tcPr>
                <w:p w14:paraId="6C61DD2A">
                  <w:pPr>
                    <w:keepNext w:val="0"/>
                    <w:keepLines w:val="0"/>
                    <w:suppressLineNumbers w:val="0"/>
                    <w:spacing w:before="0" w:beforeAutospacing="0" w:after="0" w:afterAutospacing="0"/>
                    <w:ind w:left="0" w:right="0"/>
                    <w:jc w:val="center"/>
                    <w:textAlignment w:val="center"/>
                    <w:rPr>
                      <w:rFonts w:hint="default"/>
                      <w:color w:val="auto"/>
                      <w:szCs w:val="21"/>
                    </w:rPr>
                  </w:pPr>
                </w:p>
              </w:tc>
              <w:tc>
                <w:tcPr>
                  <w:tcW w:w="838" w:type="pct"/>
                  <w:noWrap w:val="0"/>
                  <w:vAlign w:val="center"/>
                </w:tcPr>
                <w:p w14:paraId="682F2177">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伴生气</w:t>
                  </w:r>
                </w:p>
              </w:tc>
              <w:tc>
                <w:tcPr>
                  <w:tcW w:w="2919" w:type="pct"/>
                  <w:noWrap w:val="0"/>
                  <w:vAlign w:val="center"/>
                </w:tcPr>
                <w:p w14:paraId="2D7F41AD">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自动点火火炬燃烧</w:t>
                  </w:r>
                </w:p>
              </w:tc>
              <w:tc>
                <w:tcPr>
                  <w:tcW w:w="521" w:type="pct"/>
                  <w:noWrap w:val="0"/>
                  <w:vAlign w:val="center"/>
                </w:tcPr>
                <w:p w14:paraId="25A0CDA3">
                  <w:pPr>
                    <w:keepNext w:val="0"/>
                    <w:keepLines w:val="0"/>
                    <w:suppressLineNumbers w:val="0"/>
                    <w:spacing w:before="0" w:beforeAutospacing="0" w:after="0" w:afterAutospacing="0"/>
                    <w:ind w:left="0" w:right="0"/>
                    <w:jc w:val="center"/>
                    <w:rPr>
                      <w:rFonts w:hint="eastAsia" w:eastAsia="宋体"/>
                      <w:color w:val="auto"/>
                      <w:szCs w:val="21"/>
                      <w:lang w:val="en-US" w:eastAsia="zh-CN"/>
                    </w:rPr>
                  </w:pPr>
                  <w:r>
                    <w:rPr>
                      <w:rFonts w:hint="eastAsia"/>
                      <w:color w:val="auto"/>
                      <w:szCs w:val="21"/>
                      <w:lang w:val="en-US" w:eastAsia="zh-CN"/>
                    </w:rPr>
                    <w:t>2</w:t>
                  </w:r>
                </w:p>
              </w:tc>
            </w:tr>
            <w:tr w14:paraId="415A8B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1" w:hRule="atLeast"/>
              </w:trPr>
              <w:tc>
                <w:tcPr>
                  <w:tcW w:w="313" w:type="pct"/>
                  <w:vMerge w:val="continue"/>
                  <w:noWrap w:val="0"/>
                  <w:vAlign w:val="center"/>
                </w:tcPr>
                <w:p w14:paraId="0EDE86DC">
                  <w:pPr>
                    <w:keepNext w:val="0"/>
                    <w:keepLines w:val="0"/>
                    <w:suppressLineNumbers w:val="0"/>
                    <w:spacing w:before="0" w:beforeAutospacing="0" w:after="0" w:afterAutospacing="0"/>
                    <w:ind w:left="0" w:right="0"/>
                    <w:jc w:val="center"/>
                    <w:textAlignment w:val="center"/>
                    <w:rPr>
                      <w:rFonts w:hint="default"/>
                      <w:color w:val="auto"/>
                      <w:szCs w:val="21"/>
                    </w:rPr>
                  </w:pPr>
                </w:p>
              </w:tc>
              <w:tc>
                <w:tcPr>
                  <w:tcW w:w="407" w:type="pct"/>
                  <w:vMerge w:val="restart"/>
                  <w:noWrap w:val="0"/>
                  <w:vAlign w:val="center"/>
                </w:tcPr>
                <w:p w14:paraId="3DA69A19">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水污染物</w:t>
                  </w:r>
                </w:p>
              </w:tc>
              <w:tc>
                <w:tcPr>
                  <w:tcW w:w="838" w:type="pct"/>
                  <w:noWrap w:val="0"/>
                  <w:vAlign w:val="center"/>
                </w:tcPr>
                <w:p w14:paraId="504CF59C">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钻井废水</w:t>
                  </w:r>
                </w:p>
              </w:tc>
              <w:tc>
                <w:tcPr>
                  <w:tcW w:w="2919" w:type="pct"/>
                  <w:noWrap w:val="0"/>
                  <w:vAlign w:val="center"/>
                </w:tcPr>
                <w:p w14:paraId="1EB59543">
                  <w:pPr>
                    <w:keepNext w:val="0"/>
                    <w:keepLines w:val="0"/>
                    <w:suppressLineNumbers w:val="0"/>
                    <w:spacing w:before="0" w:beforeAutospacing="0" w:after="0" w:afterAutospacing="0"/>
                    <w:ind w:left="0" w:right="0"/>
                    <w:jc w:val="left"/>
                    <w:textAlignment w:val="center"/>
                    <w:rPr>
                      <w:rFonts w:hint="default"/>
                      <w:color w:val="auto"/>
                      <w:szCs w:val="21"/>
                    </w:rPr>
                  </w:pPr>
                  <w:r>
                    <w:rPr>
                      <w:rFonts w:hint="eastAsia"/>
                      <w:bCs/>
                      <w:color w:val="auto"/>
                      <w:szCs w:val="21"/>
                      <w:lang w:eastAsia="zh-CN"/>
                    </w:rPr>
                    <w:t>钻井泥浆委托路桥公司采用泥浆不落地工艺系统处理，分离出的钻井废水由罐车运至吉兰泰联合站采出水处理系统，处理达标后回注现役油气藏，不排放到外环境。</w:t>
                  </w:r>
                </w:p>
              </w:tc>
              <w:tc>
                <w:tcPr>
                  <w:tcW w:w="521" w:type="pct"/>
                  <w:noWrap w:val="0"/>
                  <w:vAlign w:val="center"/>
                </w:tcPr>
                <w:p w14:paraId="0CA58E9A">
                  <w:pPr>
                    <w:keepNext w:val="0"/>
                    <w:keepLines w:val="0"/>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eastAsia"/>
                      <w:color w:val="auto"/>
                      <w:szCs w:val="21"/>
                      <w:lang w:val="en-US" w:eastAsia="zh-CN"/>
                    </w:rPr>
                    <w:t>20</w:t>
                  </w:r>
                </w:p>
              </w:tc>
            </w:tr>
            <w:tr w14:paraId="529C64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3" w:type="pct"/>
                  <w:vMerge w:val="continue"/>
                  <w:noWrap w:val="0"/>
                  <w:vAlign w:val="center"/>
                </w:tcPr>
                <w:p w14:paraId="15CE4FF0">
                  <w:pPr>
                    <w:keepNext w:val="0"/>
                    <w:keepLines w:val="0"/>
                    <w:widowControl/>
                    <w:suppressLineNumbers w:val="0"/>
                    <w:spacing w:before="0" w:beforeAutospacing="0" w:after="0" w:afterAutospacing="0"/>
                    <w:ind w:left="0" w:right="0"/>
                    <w:jc w:val="left"/>
                    <w:rPr>
                      <w:rFonts w:hint="default"/>
                      <w:color w:val="auto"/>
                      <w:szCs w:val="21"/>
                    </w:rPr>
                  </w:pPr>
                </w:p>
              </w:tc>
              <w:tc>
                <w:tcPr>
                  <w:tcW w:w="407" w:type="pct"/>
                  <w:vMerge w:val="continue"/>
                  <w:noWrap w:val="0"/>
                  <w:vAlign w:val="center"/>
                </w:tcPr>
                <w:p w14:paraId="170BB21E">
                  <w:pPr>
                    <w:keepNext w:val="0"/>
                    <w:keepLines w:val="0"/>
                    <w:widowControl/>
                    <w:suppressLineNumbers w:val="0"/>
                    <w:spacing w:before="0" w:beforeAutospacing="0" w:after="0" w:afterAutospacing="0"/>
                    <w:ind w:left="0" w:right="0"/>
                    <w:jc w:val="left"/>
                    <w:rPr>
                      <w:rFonts w:hint="default"/>
                      <w:color w:val="auto"/>
                      <w:szCs w:val="21"/>
                    </w:rPr>
                  </w:pPr>
                </w:p>
              </w:tc>
              <w:tc>
                <w:tcPr>
                  <w:tcW w:w="838" w:type="pct"/>
                  <w:noWrap w:val="0"/>
                  <w:vAlign w:val="center"/>
                </w:tcPr>
                <w:p w14:paraId="4D772D4D">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生活</w:t>
                  </w:r>
                  <w:r>
                    <w:rPr>
                      <w:rFonts w:hint="eastAsia"/>
                      <w:color w:val="auto"/>
                      <w:szCs w:val="21"/>
                      <w:lang w:eastAsia="zh-CN"/>
                    </w:rPr>
                    <w:t>污</w:t>
                  </w:r>
                  <w:r>
                    <w:rPr>
                      <w:rFonts w:hint="default"/>
                      <w:color w:val="auto"/>
                      <w:szCs w:val="21"/>
                    </w:rPr>
                    <w:t>水</w:t>
                  </w:r>
                </w:p>
              </w:tc>
              <w:tc>
                <w:tcPr>
                  <w:tcW w:w="2919" w:type="pct"/>
                  <w:noWrap w:val="0"/>
                  <w:vAlign w:val="center"/>
                </w:tcPr>
                <w:p w14:paraId="5DBFF124">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生活污水</w:t>
                  </w:r>
                  <w:r>
                    <w:rPr>
                      <w:rFonts w:hint="eastAsia"/>
                      <w:color w:val="auto"/>
                      <w:szCs w:val="21"/>
                      <w:lang w:eastAsia="zh-CN"/>
                    </w:rPr>
                    <w:t>排入环保厕所</w:t>
                  </w:r>
                  <w:r>
                    <w:rPr>
                      <w:rFonts w:hint="default"/>
                      <w:color w:val="auto"/>
                      <w:szCs w:val="21"/>
                    </w:rPr>
                    <w:t>，</w:t>
                  </w:r>
                  <w:r>
                    <w:rPr>
                      <w:rFonts w:hint="eastAsia"/>
                      <w:color w:val="auto"/>
                      <w:szCs w:val="21"/>
                      <w:lang w:eastAsia="zh-CN"/>
                    </w:rPr>
                    <w:t>委托当地村民</w:t>
                  </w:r>
                  <w:r>
                    <w:rPr>
                      <w:rFonts w:hint="default"/>
                      <w:color w:val="auto"/>
                      <w:szCs w:val="21"/>
                    </w:rPr>
                    <w:t>定期清掏</w:t>
                  </w:r>
                </w:p>
              </w:tc>
              <w:tc>
                <w:tcPr>
                  <w:tcW w:w="521" w:type="pct"/>
                  <w:noWrap w:val="0"/>
                  <w:vAlign w:val="center"/>
                </w:tcPr>
                <w:p w14:paraId="1566CEED">
                  <w:pPr>
                    <w:keepNext w:val="0"/>
                    <w:keepLines w:val="0"/>
                    <w:suppressLineNumbers w:val="0"/>
                    <w:spacing w:before="0" w:beforeAutospacing="0" w:after="0" w:afterAutospacing="0"/>
                    <w:ind w:left="0" w:right="0"/>
                    <w:jc w:val="center"/>
                    <w:textAlignment w:val="center"/>
                    <w:rPr>
                      <w:rFonts w:hint="eastAsia" w:eastAsia="宋体"/>
                      <w:color w:val="auto"/>
                      <w:szCs w:val="21"/>
                      <w:lang w:val="en-US" w:eastAsia="zh-CN"/>
                    </w:rPr>
                  </w:pPr>
                  <w:r>
                    <w:rPr>
                      <w:rFonts w:hint="eastAsia"/>
                      <w:color w:val="auto"/>
                      <w:szCs w:val="21"/>
                      <w:lang w:val="en-US" w:eastAsia="zh-CN"/>
                    </w:rPr>
                    <w:t>2</w:t>
                  </w:r>
                </w:p>
              </w:tc>
            </w:tr>
            <w:tr w14:paraId="128639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313" w:type="pct"/>
                  <w:vMerge w:val="continue"/>
                  <w:noWrap w:val="0"/>
                  <w:vAlign w:val="center"/>
                </w:tcPr>
                <w:p w14:paraId="120DE131">
                  <w:pPr>
                    <w:keepNext w:val="0"/>
                    <w:keepLines w:val="0"/>
                    <w:widowControl/>
                    <w:suppressLineNumbers w:val="0"/>
                    <w:spacing w:before="0" w:beforeAutospacing="0" w:after="0" w:afterAutospacing="0"/>
                    <w:ind w:left="0" w:right="0"/>
                    <w:jc w:val="left"/>
                    <w:rPr>
                      <w:rFonts w:hint="default"/>
                      <w:color w:val="auto"/>
                      <w:szCs w:val="21"/>
                    </w:rPr>
                  </w:pPr>
                </w:p>
              </w:tc>
              <w:tc>
                <w:tcPr>
                  <w:tcW w:w="407" w:type="pct"/>
                  <w:noWrap w:val="0"/>
                  <w:tcMar>
                    <w:left w:w="0" w:type="dxa"/>
                    <w:right w:w="0" w:type="dxa"/>
                  </w:tcMar>
                  <w:vAlign w:val="center"/>
                </w:tcPr>
                <w:p w14:paraId="025F1A98">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噪声</w:t>
                  </w:r>
                </w:p>
              </w:tc>
              <w:tc>
                <w:tcPr>
                  <w:tcW w:w="838" w:type="pct"/>
                  <w:noWrap w:val="0"/>
                  <w:vAlign w:val="center"/>
                </w:tcPr>
                <w:p w14:paraId="43167066">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噪声治理</w:t>
                  </w:r>
                </w:p>
              </w:tc>
              <w:tc>
                <w:tcPr>
                  <w:tcW w:w="2919" w:type="pct"/>
                  <w:noWrap w:val="0"/>
                  <w:vAlign w:val="center"/>
                </w:tcPr>
                <w:p w14:paraId="5705EB7D">
                  <w:pPr>
                    <w:keepNext w:val="0"/>
                    <w:keepLines w:val="0"/>
                    <w:suppressLineNumbers w:val="0"/>
                    <w:spacing w:before="0" w:beforeAutospacing="0" w:after="0" w:afterAutospacing="0"/>
                    <w:ind w:left="0" w:right="0"/>
                    <w:jc w:val="center"/>
                    <w:textAlignment w:val="center"/>
                    <w:rPr>
                      <w:rFonts w:hint="default"/>
                      <w:color w:val="auto"/>
                      <w:szCs w:val="21"/>
                    </w:rPr>
                  </w:pPr>
                  <w:r>
                    <w:rPr>
                      <w:rFonts w:hint="eastAsia"/>
                      <w:color w:val="auto"/>
                      <w:szCs w:val="21"/>
                      <w:highlight w:val="none"/>
                    </w:rPr>
                    <w:t>使用</w:t>
                  </w:r>
                  <w:r>
                    <w:rPr>
                      <w:rFonts w:hint="eastAsia"/>
                      <w:color w:val="auto"/>
                      <w:szCs w:val="21"/>
                    </w:rPr>
                    <w:t>噪声较低的设备，柴油发电机组设置特殊的减振基础，安装消声装置</w:t>
                  </w:r>
                </w:p>
              </w:tc>
              <w:tc>
                <w:tcPr>
                  <w:tcW w:w="521" w:type="pct"/>
                  <w:noWrap w:val="0"/>
                  <w:vAlign w:val="center"/>
                </w:tcPr>
                <w:p w14:paraId="1019B222">
                  <w:pPr>
                    <w:keepNext w:val="0"/>
                    <w:keepLines w:val="0"/>
                    <w:suppressLineNumbers w:val="0"/>
                    <w:spacing w:before="0" w:beforeAutospacing="0" w:after="0" w:afterAutospacing="0"/>
                    <w:ind w:left="0" w:right="0"/>
                    <w:jc w:val="center"/>
                    <w:textAlignment w:val="center"/>
                    <w:rPr>
                      <w:rFonts w:hint="eastAsia" w:eastAsia="宋体"/>
                      <w:color w:val="auto"/>
                      <w:szCs w:val="21"/>
                      <w:lang w:val="en-US" w:eastAsia="zh-CN"/>
                    </w:rPr>
                  </w:pPr>
                  <w:r>
                    <w:rPr>
                      <w:rFonts w:hint="eastAsia"/>
                      <w:color w:val="auto"/>
                      <w:szCs w:val="21"/>
                      <w:lang w:val="en-US" w:eastAsia="zh-CN"/>
                    </w:rPr>
                    <w:t>3</w:t>
                  </w:r>
                </w:p>
              </w:tc>
            </w:tr>
            <w:tr w14:paraId="54B668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71" w:hRule="atLeast"/>
              </w:trPr>
              <w:tc>
                <w:tcPr>
                  <w:tcW w:w="313" w:type="pct"/>
                  <w:vMerge w:val="continue"/>
                  <w:noWrap w:val="0"/>
                  <w:vAlign w:val="center"/>
                </w:tcPr>
                <w:p w14:paraId="11E4E822">
                  <w:pPr>
                    <w:keepNext w:val="0"/>
                    <w:keepLines w:val="0"/>
                    <w:widowControl/>
                    <w:suppressLineNumbers w:val="0"/>
                    <w:spacing w:before="0" w:beforeAutospacing="0" w:after="0" w:afterAutospacing="0"/>
                    <w:ind w:left="0" w:right="0"/>
                    <w:jc w:val="left"/>
                    <w:rPr>
                      <w:rFonts w:hint="default"/>
                      <w:color w:val="auto"/>
                      <w:szCs w:val="21"/>
                    </w:rPr>
                  </w:pPr>
                </w:p>
              </w:tc>
              <w:tc>
                <w:tcPr>
                  <w:tcW w:w="407" w:type="pct"/>
                  <w:vMerge w:val="restart"/>
                  <w:noWrap w:val="0"/>
                  <w:vAlign w:val="center"/>
                </w:tcPr>
                <w:p w14:paraId="01D89102">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固体废物</w:t>
                  </w:r>
                </w:p>
              </w:tc>
              <w:tc>
                <w:tcPr>
                  <w:tcW w:w="838" w:type="pct"/>
                  <w:noWrap w:val="0"/>
                  <w:vAlign w:val="center"/>
                </w:tcPr>
                <w:p w14:paraId="31301FE8">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废弃泥浆</w:t>
                  </w:r>
                  <w:r>
                    <w:rPr>
                      <w:rFonts w:hint="eastAsia"/>
                      <w:color w:val="auto"/>
                      <w:szCs w:val="21"/>
                    </w:rPr>
                    <w:t>、</w:t>
                  </w:r>
                  <w:r>
                    <w:rPr>
                      <w:rFonts w:hint="default"/>
                      <w:color w:val="auto"/>
                      <w:szCs w:val="21"/>
                    </w:rPr>
                    <w:t>钻井岩屑</w:t>
                  </w:r>
                </w:p>
              </w:tc>
              <w:tc>
                <w:tcPr>
                  <w:tcW w:w="2919" w:type="pct"/>
                  <w:noWrap w:val="0"/>
                  <w:tcMar>
                    <w:left w:w="0" w:type="dxa"/>
                    <w:right w:w="0" w:type="dxa"/>
                  </w:tcMar>
                  <w:vAlign w:val="center"/>
                </w:tcPr>
                <w:p w14:paraId="584A310A">
                  <w:pPr>
                    <w:keepNext w:val="0"/>
                    <w:keepLines w:val="0"/>
                    <w:suppressLineNumbers w:val="0"/>
                    <w:spacing w:before="0" w:beforeAutospacing="0" w:after="0" w:afterAutospacing="0"/>
                    <w:ind w:left="0" w:right="0"/>
                    <w:jc w:val="center"/>
                    <w:textAlignment w:val="center"/>
                    <w:rPr>
                      <w:rFonts w:hint="default"/>
                      <w:color w:val="auto"/>
                      <w:szCs w:val="21"/>
                    </w:rPr>
                  </w:pPr>
                  <w:r>
                    <w:rPr>
                      <w:rFonts w:hint="eastAsia"/>
                      <w:color w:val="auto"/>
                      <w:kern w:val="0"/>
                      <w:szCs w:val="21"/>
                      <w:highlight w:val="none"/>
                      <w:lang w:eastAsia="zh-CN"/>
                    </w:rPr>
                    <w:t>固液分离出的固相废弃泥浆、岩屑（泥饼）运至内蒙古联源热电有限公司固废处置场填埋。</w:t>
                  </w:r>
                </w:p>
              </w:tc>
              <w:tc>
                <w:tcPr>
                  <w:tcW w:w="521" w:type="pct"/>
                  <w:noWrap w:val="0"/>
                  <w:vAlign w:val="center"/>
                </w:tcPr>
                <w:p w14:paraId="00C1000F">
                  <w:pPr>
                    <w:keepNext w:val="0"/>
                    <w:keepLines w:val="0"/>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eastAsia"/>
                      <w:color w:val="auto"/>
                      <w:szCs w:val="21"/>
                      <w:lang w:val="en-US" w:eastAsia="zh-CN"/>
                    </w:rPr>
                    <w:t>20</w:t>
                  </w:r>
                </w:p>
              </w:tc>
            </w:tr>
            <w:tr w14:paraId="4E6AFC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313" w:type="pct"/>
                  <w:vMerge w:val="continue"/>
                  <w:noWrap w:val="0"/>
                  <w:vAlign w:val="center"/>
                </w:tcPr>
                <w:p w14:paraId="0BF473B5">
                  <w:pPr>
                    <w:keepNext w:val="0"/>
                    <w:keepLines w:val="0"/>
                    <w:widowControl/>
                    <w:suppressLineNumbers w:val="0"/>
                    <w:spacing w:before="0" w:beforeAutospacing="0" w:after="0" w:afterAutospacing="0"/>
                    <w:ind w:left="0" w:right="0"/>
                    <w:jc w:val="left"/>
                    <w:rPr>
                      <w:rFonts w:hint="default"/>
                      <w:color w:val="auto"/>
                      <w:szCs w:val="21"/>
                    </w:rPr>
                  </w:pPr>
                </w:p>
              </w:tc>
              <w:tc>
                <w:tcPr>
                  <w:tcW w:w="407" w:type="pct"/>
                  <w:vMerge w:val="continue"/>
                  <w:noWrap w:val="0"/>
                  <w:vAlign w:val="center"/>
                </w:tcPr>
                <w:p w14:paraId="63042D52">
                  <w:pPr>
                    <w:keepNext w:val="0"/>
                    <w:keepLines w:val="0"/>
                    <w:widowControl/>
                    <w:suppressLineNumbers w:val="0"/>
                    <w:spacing w:before="0" w:beforeAutospacing="0" w:after="0" w:afterAutospacing="0"/>
                    <w:ind w:left="0" w:right="0"/>
                    <w:jc w:val="left"/>
                    <w:rPr>
                      <w:rFonts w:hint="default"/>
                      <w:color w:val="auto"/>
                      <w:szCs w:val="21"/>
                    </w:rPr>
                  </w:pPr>
                </w:p>
              </w:tc>
              <w:tc>
                <w:tcPr>
                  <w:tcW w:w="838" w:type="pct"/>
                  <w:noWrap w:val="0"/>
                  <w:vAlign w:val="center"/>
                </w:tcPr>
                <w:p w14:paraId="5FD7ACBA">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事故状态落地油</w:t>
                  </w:r>
                </w:p>
              </w:tc>
              <w:tc>
                <w:tcPr>
                  <w:tcW w:w="2919" w:type="pct"/>
                  <w:noWrap w:val="0"/>
                  <w:vAlign w:val="center"/>
                </w:tcPr>
                <w:p w14:paraId="313BFAE1">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暂存于井场</w:t>
                  </w:r>
                  <w:r>
                    <w:rPr>
                      <w:rFonts w:hint="eastAsia"/>
                      <w:color w:val="auto"/>
                      <w:szCs w:val="21"/>
                      <w:lang w:eastAsia="zh-CN"/>
                    </w:rPr>
                    <w:t>危废暂存区中</w:t>
                  </w:r>
                  <w:r>
                    <w:rPr>
                      <w:rFonts w:hint="default"/>
                      <w:color w:val="auto"/>
                      <w:szCs w:val="21"/>
                    </w:rPr>
                    <w:t>污油罐内，交有资质的单位处理</w:t>
                  </w:r>
                </w:p>
              </w:tc>
              <w:tc>
                <w:tcPr>
                  <w:tcW w:w="521" w:type="pct"/>
                  <w:noWrap w:val="0"/>
                  <w:vAlign w:val="center"/>
                </w:tcPr>
                <w:p w14:paraId="10CD053A">
                  <w:pPr>
                    <w:keepNext w:val="0"/>
                    <w:keepLines w:val="0"/>
                    <w:suppressLineNumbers w:val="0"/>
                    <w:spacing w:before="0" w:beforeAutospacing="0" w:after="0" w:afterAutospacing="0"/>
                    <w:ind w:left="0" w:right="0"/>
                    <w:jc w:val="center"/>
                    <w:textAlignment w:val="center"/>
                    <w:rPr>
                      <w:rFonts w:hint="eastAsia" w:eastAsia="宋体"/>
                      <w:color w:val="auto"/>
                      <w:szCs w:val="21"/>
                      <w:lang w:val="en-US" w:eastAsia="zh-CN"/>
                    </w:rPr>
                  </w:pPr>
                  <w:r>
                    <w:rPr>
                      <w:rFonts w:hint="eastAsia"/>
                      <w:color w:val="auto"/>
                      <w:szCs w:val="21"/>
                      <w:lang w:val="en-US" w:eastAsia="zh-CN"/>
                    </w:rPr>
                    <w:t>2</w:t>
                  </w:r>
                </w:p>
              </w:tc>
            </w:tr>
            <w:tr w14:paraId="67BDDA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3" w:type="pct"/>
                  <w:vMerge w:val="continue"/>
                  <w:noWrap w:val="0"/>
                  <w:vAlign w:val="center"/>
                </w:tcPr>
                <w:p w14:paraId="658BE425">
                  <w:pPr>
                    <w:keepNext w:val="0"/>
                    <w:keepLines w:val="0"/>
                    <w:widowControl/>
                    <w:suppressLineNumbers w:val="0"/>
                    <w:spacing w:before="0" w:beforeAutospacing="0" w:after="0" w:afterAutospacing="0"/>
                    <w:ind w:left="0" w:right="0"/>
                    <w:jc w:val="left"/>
                    <w:rPr>
                      <w:rFonts w:hint="default"/>
                      <w:color w:val="auto"/>
                      <w:szCs w:val="21"/>
                    </w:rPr>
                  </w:pPr>
                </w:p>
              </w:tc>
              <w:tc>
                <w:tcPr>
                  <w:tcW w:w="407" w:type="pct"/>
                  <w:vMerge w:val="continue"/>
                  <w:noWrap w:val="0"/>
                  <w:vAlign w:val="center"/>
                </w:tcPr>
                <w:p w14:paraId="4B58BA45">
                  <w:pPr>
                    <w:keepNext w:val="0"/>
                    <w:keepLines w:val="0"/>
                    <w:widowControl/>
                    <w:suppressLineNumbers w:val="0"/>
                    <w:spacing w:before="0" w:beforeAutospacing="0" w:after="0" w:afterAutospacing="0"/>
                    <w:ind w:left="0" w:right="0"/>
                    <w:jc w:val="left"/>
                    <w:rPr>
                      <w:rFonts w:hint="default"/>
                      <w:color w:val="auto"/>
                      <w:szCs w:val="21"/>
                    </w:rPr>
                  </w:pPr>
                </w:p>
              </w:tc>
              <w:tc>
                <w:tcPr>
                  <w:tcW w:w="838" w:type="pct"/>
                  <w:noWrap w:val="0"/>
                  <w:vAlign w:val="center"/>
                </w:tcPr>
                <w:p w14:paraId="7E1E1648">
                  <w:pPr>
                    <w:keepNext w:val="0"/>
                    <w:keepLines w:val="0"/>
                    <w:suppressLineNumbers w:val="0"/>
                    <w:adjustRightInd w:val="0"/>
                    <w:snapToGrid w:val="0"/>
                    <w:spacing w:before="0" w:beforeAutospacing="0" w:after="0" w:afterAutospacing="0" w:line="240" w:lineRule="atLeast"/>
                    <w:ind w:left="0" w:right="0"/>
                    <w:jc w:val="center"/>
                    <w:rPr>
                      <w:rFonts w:hint="default"/>
                      <w:color w:val="auto"/>
                      <w:szCs w:val="21"/>
                    </w:rPr>
                  </w:pPr>
                  <w:r>
                    <w:rPr>
                      <w:rFonts w:hint="default"/>
                      <w:color w:val="auto"/>
                      <w:kern w:val="0"/>
                      <w:szCs w:val="21"/>
                    </w:rPr>
                    <w:t>废机油</w:t>
                  </w:r>
                </w:p>
              </w:tc>
              <w:tc>
                <w:tcPr>
                  <w:tcW w:w="2919" w:type="pct"/>
                  <w:noWrap w:val="0"/>
                  <w:vAlign w:val="center"/>
                </w:tcPr>
                <w:p w14:paraId="61A3C84C">
                  <w:pPr>
                    <w:keepNext w:val="0"/>
                    <w:keepLines w:val="0"/>
                    <w:widowControl/>
                    <w:suppressLineNumbers w:val="0"/>
                    <w:spacing w:before="0" w:beforeAutospacing="0" w:after="0" w:afterAutospacing="0"/>
                    <w:ind w:left="0" w:right="0"/>
                    <w:jc w:val="center"/>
                    <w:rPr>
                      <w:rFonts w:hint="default"/>
                      <w:color w:val="auto"/>
                      <w:szCs w:val="21"/>
                    </w:rPr>
                  </w:pPr>
                  <w:r>
                    <w:rPr>
                      <w:rFonts w:hint="eastAsia"/>
                      <w:color w:val="auto"/>
                      <w:szCs w:val="21"/>
                      <w:highlight w:val="none"/>
                      <w:lang w:eastAsia="zh-CN"/>
                    </w:rPr>
                    <w:t>存放至危废暂存区中</w:t>
                  </w:r>
                  <w:r>
                    <w:rPr>
                      <w:rFonts w:hint="default"/>
                      <w:color w:val="auto"/>
                      <w:szCs w:val="21"/>
                      <w:highlight w:val="none"/>
                    </w:rPr>
                    <w:t>专用容器收集，有资质单位拉运处置。</w:t>
                  </w:r>
                </w:p>
              </w:tc>
              <w:tc>
                <w:tcPr>
                  <w:tcW w:w="521" w:type="pct"/>
                  <w:noWrap w:val="0"/>
                  <w:vAlign w:val="center"/>
                </w:tcPr>
                <w:p w14:paraId="65C50277">
                  <w:pPr>
                    <w:keepNext w:val="0"/>
                    <w:keepLines w:val="0"/>
                    <w:suppressLineNumbers w:val="0"/>
                    <w:spacing w:before="0" w:beforeAutospacing="0" w:after="0" w:afterAutospacing="0"/>
                    <w:ind w:left="0" w:right="0"/>
                    <w:jc w:val="center"/>
                    <w:textAlignment w:val="center"/>
                    <w:rPr>
                      <w:rFonts w:hint="eastAsia" w:eastAsia="宋体"/>
                      <w:color w:val="auto"/>
                      <w:szCs w:val="21"/>
                      <w:lang w:val="en-US" w:eastAsia="zh-CN"/>
                    </w:rPr>
                  </w:pPr>
                  <w:r>
                    <w:rPr>
                      <w:rFonts w:hint="eastAsia"/>
                      <w:color w:val="auto"/>
                      <w:szCs w:val="21"/>
                      <w:lang w:val="en-US" w:eastAsia="zh-CN"/>
                    </w:rPr>
                    <w:t>2</w:t>
                  </w:r>
                </w:p>
              </w:tc>
            </w:tr>
            <w:tr w14:paraId="0A121D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3" w:type="pct"/>
                  <w:vMerge w:val="continue"/>
                  <w:noWrap w:val="0"/>
                  <w:vAlign w:val="center"/>
                </w:tcPr>
                <w:p w14:paraId="37953A75">
                  <w:pPr>
                    <w:keepNext w:val="0"/>
                    <w:keepLines w:val="0"/>
                    <w:widowControl/>
                    <w:suppressLineNumbers w:val="0"/>
                    <w:spacing w:before="0" w:beforeAutospacing="0" w:after="0" w:afterAutospacing="0"/>
                    <w:ind w:left="0" w:right="0"/>
                    <w:jc w:val="left"/>
                    <w:rPr>
                      <w:rFonts w:hint="default"/>
                      <w:color w:val="auto"/>
                      <w:szCs w:val="21"/>
                    </w:rPr>
                  </w:pPr>
                </w:p>
              </w:tc>
              <w:tc>
                <w:tcPr>
                  <w:tcW w:w="407" w:type="pct"/>
                  <w:vMerge w:val="continue"/>
                  <w:noWrap w:val="0"/>
                  <w:vAlign w:val="center"/>
                </w:tcPr>
                <w:p w14:paraId="1FADAA74">
                  <w:pPr>
                    <w:keepNext w:val="0"/>
                    <w:keepLines w:val="0"/>
                    <w:widowControl/>
                    <w:suppressLineNumbers w:val="0"/>
                    <w:spacing w:before="0" w:beforeAutospacing="0" w:after="0" w:afterAutospacing="0"/>
                    <w:ind w:left="0" w:right="0"/>
                    <w:jc w:val="left"/>
                    <w:rPr>
                      <w:rFonts w:hint="default"/>
                      <w:color w:val="auto"/>
                      <w:szCs w:val="21"/>
                    </w:rPr>
                  </w:pPr>
                </w:p>
              </w:tc>
              <w:tc>
                <w:tcPr>
                  <w:tcW w:w="838" w:type="pct"/>
                  <w:noWrap w:val="0"/>
                  <w:vAlign w:val="center"/>
                </w:tcPr>
                <w:p w14:paraId="074E0B23">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生活垃圾</w:t>
                  </w:r>
                </w:p>
              </w:tc>
              <w:tc>
                <w:tcPr>
                  <w:tcW w:w="2919" w:type="pct"/>
                  <w:noWrap w:val="0"/>
                  <w:vAlign w:val="center"/>
                </w:tcPr>
                <w:p w14:paraId="52BF3B32">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垃圾</w:t>
                  </w:r>
                  <w:r>
                    <w:rPr>
                      <w:rFonts w:hint="eastAsia"/>
                      <w:color w:val="auto"/>
                      <w:szCs w:val="21"/>
                    </w:rPr>
                    <w:t>桶</w:t>
                  </w:r>
                  <w:r>
                    <w:rPr>
                      <w:rFonts w:hint="default"/>
                      <w:color w:val="auto"/>
                      <w:szCs w:val="21"/>
                    </w:rPr>
                    <w:t>5个</w:t>
                  </w:r>
                  <w:r>
                    <w:rPr>
                      <w:rFonts w:hint="eastAsia"/>
                      <w:color w:val="auto"/>
                      <w:szCs w:val="21"/>
                    </w:rPr>
                    <w:t>，</w:t>
                  </w:r>
                  <w:r>
                    <w:rPr>
                      <w:rFonts w:hint="default"/>
                      <w:color w:val="auto"/>
                      <w:szCs w:val="21"/>
                    </w:rPr>
                    <w:t>集中收集后委托当地环卫部门处理</w:t>
                  </w:r>
                </w:p>
              </w:tc>
              <w:tc>
                <w:tcPr>
                  <w:tcW w:w="521" w:type="pct"/>
                  <w:noWrap w:val="0"/>
                  <w:vAlign w:val="center"/>
                </w:tcPr>
                <w:p w14:paraId="596472A9">
                  <w:pPr>
                    <w:keepNext w:val="0"/>
                    <w:keepLines w:val="0"/>
                    <w:suppressLineNumbers w:val="0"/>
                    <w:spacing w:before="0" w:beforeAutospacing="0" w:after="0" w:afterAutospacing="0"/>
                    <w:ind w:left="0" w:right="0"/>
                    <w:jc w:val="center"/>
                    <w:textAlignment w:val="center"/>
                    <w:rPr>
                      <w:rFonts w:hint="eastAsia" w:eastAsia="宋体"/>
                      <w:color w:val="auto"/>
                      <w:szCs w:val="21"/>
                      <w:lang w:val="en-US" w:eastAsia="zh-CN"/>
                    </w:rPr>
                  </w:pPr>
                  <w:r>
                    <w:rPr>
                      <w:rFonts w:hint="eastAsia"/>
                      <w:color w:val="auto"/>
                      <w:szCs w:val="21"/>
                      <w:lang w:val="en-US" w:eastAsia="zh-CN"/>
                    </w:rPr>
                    <w:t>2</w:t>
                  </w:r>
                </w:p>
              </w:tc>
            </w:tr>
            <w:tr w14:paraId="1A5FD0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313" w:type="pct"/>
                  <w:vMerge w:val="continue"/>
                  <w:noWrap w:val="0"/>
                  <w:vAlign w:val="center"/>
                </w:tcPr>
                <w:p w14:paraId="099849EA">
                  <w:pPr>
                    <w:keepNext w:val="0"/>
                    <w:keepLines w:val="0"/>
                    <w:widowControl/>
                    <w:suppressLineNumbers w:val="0"/>
                    <w:spacing w:before="0" w:beforeAutospacing="0" w:after="0" w:afterAutospacing="0"/>
                    <w:ind w:left="0" w:right="0"/>
                    <w:jc w:val="left"/>
                    <w:rPr>
                      <w:rFonts w:hint="default"/>
                      <w:color w:val="auto"/>
                      <w:szCs w:val="21"/>
                    </w:rPr>
                  </w:pPr>
                </w:p>
              </w:tc>
              <w:tc>
                <w:tcPr>
                  <w:tcW w:w="407" w:type="pct"/>
                  <w:vMerge w:val="restart"/>
                  <w:noWrap w:val="0"/>
                  <w:vAlign w:val="center"/>
                </w:tcPr>
                <w:p w14:paraId="514373CD">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防渗</w:t>
                  </w:r>
                </w:p>
              </w:tc>
              <w:tc>
                <w:tcPr>
                  <w:tcW w:w="838" w:type="pct"/>
                  <w:noWrap w:val="0"/>
                  <w:vAlign w:val="center"/>
                </w:tcPr>
                <w:p w14:paraId="4FA7B535">
                  <w:pPr>
                    <w:keepNext w:val="0"/>
                    <w:keepLines w:val="0"/>
                    <w:suppressLineNumbers w:val="0"/>
                    <w:spacing w:before="0" w:beforeAutospacing="0" w:after="0" w:afterAutospacing="0"/>
                    <w:ind w:left="0" w:right="0"/>
                    <w:jc w:val="center"/>
                    <w:textAlignment w:val="center"/>
                    <w:rPr>
                      <w:rFonts w:hint="default"/>
                      <w:bCs/>
                      <w:color w:val="auto"/>
                      <w:szCs w:val="21"/>
                    </w:rPr>
                  </w:pPr>
                  <w:r>
                    <w:rPr>
                      <w:rFonts w:hint="default"/>
                      <w:bCs/>
                      <w:color w:val="auto"/>
                    </w:rPr>
                    <w:t>重点防渗区</w:t>
                  </w:r>
                </w:p>
              </w:tc>
              <w:tc>
                <w:tcPr>
                  <w:tcW w:w="2919" w:type="pct"/>
                  <w:noWrap w:val="0"/>
                  <w:vAlign w:val="center"/>
                </w:tcPr>
                <w:p w14:paraId="20CBCD4A">
                  <w:pPr>
                    <w:keepNext w:val="0"/>
                    <w:keepLines w:val="0"/>
                    <w:suppressLineNumbers w:val="0"/>
                    <w:spacing w:before="0" w:beforeAutospacing="0" w:after="0" w:afterAutospacing="0"/>
                    <w:ind w:left="0" w:right="0"/>
                    <w:textAlignment w:val="center"/>
                    <w:rPr>
                      <w:rFonts w:hint="default"/>
                      <w:color w:val="auto"/>
                      <w:szCs w:val="21"/>
                    </w:rPr>
                  </w:pPr>
                  <w:r>
                    <w:rPr>
                      <w:rFonts w:hint="default"/>
                      <w:color w:val="auto"/>
                      <w:szCs w:val="21"/>
                    </w:rPr>
                    <w:t>钻井平台、泥浆不落地工艺区、</w:t>
                  </w:r>
                  <w:r>
                    <w:rPr>
                      <w:rFonts w:hint="default"/>
                      <w:bCs/>
                      <w:color w:val="auto"/>
                      <w:szCs w:val="21"/>
                    </w:rPr>
                    <w:t>泥浆储罐区、柴油罐区、</w:t>
                  </w:r>
                  <w:r>
                    <w:rPr>
                      <w:rFonts w:hint="eastAsia"/>
                      <w:bCs/>
                      <w:color w:val="auto"/>
                      <w:szCs w:val="21"/>
                      <w:lang w:eastAsia="zh-CN"/>
                    </w:rPr>
                    <w:t>危废贮存点</w:t>
                  </w:r>
                  <w:r>
                    <w:rPr>
                      <w:rFonts w:hint="default"/>
                      <w:color w:val="auto"/>
                      <w:szCs w:val="21"/>
                    </w:rPr>
                    <w:t>等地面利用机械将衬层压实，四周加设高度为20cm的围堰，铺设双层2mm厚高密度聚乙烯防渗膜（覆盖围堰并外延0.5</w:t>
                  </w:r>
                  <w:r>
                    <w:rPr>
                      <w:rFonts w:hint="eastAsia"/>
                      <w:color w:val="auto"/>
                      <w:szCs w:val="21"/>
                    </w:rPr>
                    <w:t>m</w:t>
                  </w:r>
                  <w:r>
                    <w:rPr>
                      <w:rFonts w:hint="default"/>
                      <w:color w:val="auto"/>
                      <w:szCs w:val="21"/>
                    </w:rPr>
                    <w:t>以上），等效黏土防渗层Mb≥6.0m，K≤1×10</w:t>
                  </w:r>
                  <w:r>
                    <w:rPr>
                      <w:rFonts w:hint="default"/>
                      <w:color w:val="auto"/>
                      <w:szCs w:val="21"/>
                      <w:highlight w:val="none"/>
                      <w:vertAlign w:val="superscript"/>
                    </w:rPr>
                    <w:t>-</w:t>
                  </w:r>
                  <w:r>
                    <w:rPr>
                      <w:rFonts w:hint="default"/>
                      <w:color w:val="auto"/>
                      <w:szCs w:val="21"/>
                      <w:vertAlign w:val="superscript"/>
                    </w:rPr>
                    <w:t>10</w:t>
                  </w:r>
                  <w:r>
                    <w:rPr>
                      <w:rFonts w:hint="default"/>
                      <w:color w:val="auto"/>
                      <w:szCs w:val="21"/>
                    </w:rPr>
                    <w:t>cm/s。</w:t>
                  </w:r>
                </w:p>
              </w:tc>
              <w:tc>
                <w:tcPr>
                  <w:tcW w:w="521" w:type="pct"/>
                  <w:vMerge w:val="restart"/>
                  <w:noWrap w:val="0"/>
                  <w:vAlign w:val="center"/>
                </w:tcPr>
                <w:p w14:paraId="7B075839">
                  <w:pPr>
                    <w:keepNext w:val="0"/>
                    <w:keepLines w:val="0"/>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eastAsia"/>
                      <w:color w:val="auto"/>
                      <w:szCs w:val="21"/>
                      <w:lang w:val="en-US" w:eastAsia="zh-CN"/>
                    </w:rPr>
                    <w:t>20</w:t>
                  </w:r>
                </w:p>
              </w:tc>
            </w:tr>
            <w:tr w14:paraId="04AE66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9" w:hRule="atLeast"/>
              </w:trPr>
              <w:tc>
                <w:tcPr>
                  <w:tcW w:w="313" w:type="pct"/>
                  <w:vMerge w:val="continue"/>
                  <w:noWrap w:val="0"/>
                  <w:vAlign w:val="center"/>
                </w:tcPr>
                <w:p w14:paraId="385064DC">
                  <w:pPr>
                    <w:keepNext w:val="0"/>
                    <w:keepLines w:val="0"/>
                    <w:widowControl/>
                    <w:suppressLineNumbers w:val="0"/>
                    <w:spacing w:before="0" w:beforeAutospacing="0" w:after="0" w:afterAutospacing="0"/>
                    <w:ind w:left="0" w:right="0"/>
                    <w:jc w:val="left"/>
                    <w:rPr>
                      <w:rFonts w:hint="default"/>
                      <w:color w:val="auto"/>
                      <w:szCs w:val="21"/>
                    </w:rPr>
                  </w:pPr>
                </w:p>
              </w:tc>
              <w:tc>
                <w:tcPr>
                  <w:tcW w:w="407" w:type="pct"/>
                  <w:vMerge w:val="continue"/>
                  <w:noWrap w:val="0"/>
                  <w:vAlign w:val="center"/>
                </w:tcPr>
                <w:p w14:paraId="194C7B5D">
                  <w:pPr>
                    <w:keepNext w:val="0"/>
                    <w:keepLines w:val="0"/>
                    <w:suppressLineNumbers w:val="0"/>
                    <w:spacing w:before="0" w:beforeAutospacing="0" w:after="0" w:afterAutospacing="0"/>
                    <w:ind w:left="0" w:right="0"/>
                    <w:jc w:val="center"/>
                    <w:textAlignment w:val="center"/>
                    <w:rPr>
                      <w:rFonts w:hint="default"/>
                      <w:color w:val="auto"/>
                      <w:szCs w:val="21"/>
                    </w:rPr>
                  </w:pPr>
                </w:p>
              </w:tc>
              <w:tc>
                <w:tcPr>
                  <w:tcW w:w="838" w:type="pct"/>
                  <w:noWrap w:val="0"/>
                  <w:vAlign w:val="center"/>
                </w:tcPr>
                <w:p w14:paraId="3DF31B66">
                  <w:pPr>
                    <w:keepNext w:val="0"/>
                    <w:keepLines w:val="0"/>
                    <w:suppressLineNumbers w:val="0"/>
                    <w:adjustRightInd w:val="0"/>
                    <w:snapToGrid w:val="0"/>
                    <w:spacing w:before="0" w:beforeAutospacing="0" w:after="0" w:afterAutospacing="0"/>
                    <w:ind w:left="0" w:right="0"/>
                    <w:jc w:val="center"/>
                    <w:rPr>
                      <w:rFonts w:hint="default"/>
                      <w:bCs/>
                      <w:color w:val="auto"/>
                      <w:szCs w:val="21"/>
                    </w:rPr>
                  </w:pPr>
                  <w:r>
                    <w:rPr>
                      <w:rFonts w:hint="default"/>
                      <w:bCs/>
                      <w:color w:val="auto"/>
                    </w:rPr>
                    <w:t>一般防渗区</w:t>
                  </w:r>
                </w:p>
              </w:tc>
              <w:tc>
                <w:tcPr>
                  <w:tcW w:w="2919" w:type="pct"/>
                  <w:noWrap w:val="0"/>
                  <w:vAlign w:val="center"/>
                </w:tcPr>
                <w:p w14:paraId="0B0C1B7A">
                  <w:pPr>
                    <w:keepNext w:val="0"/>
                    <w:keepLines w:val="0"/>
                    <w:suppressLineNumbers w:val="0"/>
                    <w:spacing w:before="0" w:beforeAutospacing="0" w:after="0" w:afterAutospacing="0"/>
                    <w:ind w:left="0" w:right="0"/>
                    <w:jc w:val="left"/>
                    <w:textAlignment w:val="center"/>
                    <w:rPr>
                      <w:rFonts w:hint="default"/>
                      <w:color w:val="auto"/>
                      <w:szCs w:val="21"/>
                    </w:rPr>
                  </w:pPr>
                  <w:r>
                    <w:rPr>
                      <w:rFonts w:hint="default"/>
                      <w:bCs/>
                      <w:color w:val="auto"/>
                      <w:szCs w:val="21"/>
                    </w:rPr>
                    <w:t>钻井液材料场、固废暂存区</w:t>
                  </w:r>
                  <w:r>
                    <w:rPr>
                      <w:rFonts w:hint="default"/>
                      <w:color w:val="auto"/>
                    </w:rPr>
                    <w:t>等地面利用机械将衬层压实，四周加设高度为20cm的围堰</w:t>
                  </w:r>
                  <w:r>
                    <w:rPr>
                      <w:rFonts w:hint="eastAsia"/>
                      <w:color w:val="auto"/>
                    </w:rPr>
                    <w:t>（</w:t>
                  </w:r>
                  <w:r>
                    <w:rPr>
                      <w:rFonts w:hint="default"/>
                      <w:bCs/>
                      <w:color w:val="auto"/>
                      <w:szCs w:val="21"/>
                    </w:rPr>
                    <w:t>固废暂存区</w:t>
                  </w:r>
                  <w:r>
                    <w:rPr>
                      <w:rFonts w:hint="default"/>
                      <w:color w:val="auto"/>
                    </w:rPr>
                    <w:t>围堰</w:t>
                  </w:r>
                  <w:r>
                    <w:rPr>
                      <w:rFonts w:hint="eastAsia"/>
                      <w:color w:val="auto"/>
                    </w:rPr>
                    <w:t>高度为5</w:t>
                  </w:r>
                  <w:r>
                    <w:rPr>
                      <w:rFonts w:hint="default"/>
                      <w:color w:val="auto"/>
                    </w:rPr>
                    <w:t>0</w:t>
                  </w:r>
                  <w:r>
                    <w:rPr>
                      <w:rFonts w:hint="eastAsia"/>
                      <w:color w:val="auto"/>
                    </w:rPr>
                    <w:t>cm）</w:t>
                  </w:r>
                  <w:r>
                    <w:rPr>
                      <w:rFonts w:hint="default"/>
                      <w:color w:val="auto"/>
                    </w:rPr>
                    <w:t>，铺设双层1.5mm厚高密度聚乙烯防渗膜（覆盖围堰并外延0.5</w:t>
                  </w:r>
                  <w:r>
                    <w:rPr>
                      <w:rFonts w:hint="eastAsia"/>
                      <w:color w:val="auto"/>
                    </w:rPr>
                    <w:t>m</w:t>
                  </w:r>
                  <w:r>
                    <w:rPr>
                      <w:rFonts w:hint="default"/>
                      <w:color w:val="auto"/>
                    </w:rPr>
                    <w:t>以上），等效黏土防渗层Mb≥1.5m，K≤1×10</w:t>
                  </w:r>
                  <w:r>
                    <w:rPr>
                      <w:rFonts w:hint="default"/>
                      <w:color w:val="auto"/>
                      <w:highlight w:val="none"/>
                      <w:vertAlign w:val="superscript"/>
                    </w:rPr>
                    <w:t>-</w:t>
                  </w:r>
                  <w:r>
                    <w:rPr>
                      <w:rFonts w:hint="default"/>
                      <w:color w:val="auto"/>
                      <w:vertAlign w:val="superscript"/>
                    </w:rPr>
                    <w:t>7</w:t>
                  </w:r>
                  <w:r>
                    <w:rPr>
                      <w:rFonts w:hint="default"/>
                      <w:color w:val="auto"/>
                    </w:rPr>
                    <w:t>cm/s</w:t>
                  </w:r>
                </w:p>
              </w:tc>
              <w:tc>
                <w:tcPr>
                  <w:tcW w:w="521" w:type="pct"/>
                  <w:vMerge w:val="continue"/>
                  <w:noWrap w:val="0"/>
                  <w:vAlign w:val="center"/>
                </w:tcPr>
                <w:p w14:paraId="5C057115">
                  <w:pPr>
                    <w:keepNext w:val="0"/>
                    <w:keepLines w:val="0"/>
                    <w:suppressLineNumbers w:val="0"/>
                    <w:spacing w:before="0" w:beforeAutospacing="0" w:after="0" w:afterAutospacing="0"/>
                    <w:ind w:left="0" w:right="0"/>
                    <w:jc w:val="center"/>
                    <w:textAlignment w:val="center"/>
                    <w:rPr>
                      <w:rFonts w:hint="default"/>
                      <w:color w:val="auto"/>
                      <w:szCs w:val="21"/>
                    </w:rPr>
                  </w:pPr>
                </w:p>
              </w:tc>
            </w:tr>
            <w:tr w14:paraId="5115A1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313" w:type="pct"/>
                  <w:vMerge w:val="continue"/>
                  <w:noWrap w:val="0"/>
                  <w:vAlign w:val="center"/>
                </w:tcPr>
                <w:p w14:paraId="66B6EBFD">
                  <w:pPr>
                    <w:keepNext w:val="0"/>
                    <w:keepLines w:val="0"/>
                    <w:widowControl/>
                    <w:suppressLineNumbers w:val="0"/>
                    <w:spacing w:before="0" w:beforeAutospacing="0" w:after="0" w:afterAutospacing="0"/>
                    <w:ind w:left="0" w:right="0"/>
                    <w:jc w:val="left"/>
                    <w:rPr>
                      <w:rFonts w:hint="default"/>
                      <w:color w:val="auto"/>
                      <w:szCs w:val="21"/>
                    </w:rPr>
                  </w:pPr>
                </w:p>
              </w:tc>
              <w:tc>
                <w:tcPr>
                  <w:tcW w:w="407" w:type="pct"/>
                  <w:vMerge w:val="continue"/>
                  <w:noWrap w:val="0"/>
                  <w:vAlign w:val="center"/>
                </w:tcPr>
                <w:p w14:paraId="156ADC3E">
                  <w:pPr>
                    <w:keepNext w:val="0"/>
                    <w:keepLines w:val="0"/>
                    <w:suppressLineNumbers w:val="0"/>
                    <w:spacing w:before="0" w:beforeAutospacing="0" w:after="0" w:afterAutospacing="0"/>
                    <w:ind w:left="0" w:right="0"/>
                    <w:jc w:val="center"/>
                    <w:textAlignment w:val="center"/>
                    <w:rPr>
                      <w:rFonts w:hint="default"/>
                      <w:color w:val="auto"/>
                      <w:szCs w:val="21"/>
                    </w:rPr>
                  </w:pPr>
                </w:p>
              </w:tc>
              <w:tc>
                <w:tcPr>
                  <w:tcW w:w="838" w:type="pct"/>
                  <w:noWrap w:val="0"/>
                  <w:vAlign w:val="center"/>
                </w:tcPr>
                <w:p w14:paraId="1B84EB00">
                  <w:pPr>
                    <w:keepNext w:val="0"/>
                    <w:keepLines w:val="0"/>
                    <w:suppressLineNumbers w:val="0"/>
                    <w:adjustRightInd w:val="0"/>
                    <w:snapToGrid w:val="0"/>
                    <w:spacing w:before="0" w:beforeAutospacing="0" w:after="0" w:afterAutospacing="0"/>
                    <w:ind w:left="0" w:right="0"/>
                    <w:jc w:val="center"/>
                    <w:rPr>
                      <w:rFonts w:hint="default"/>
                      <w:bCs/>
                      <w:color w:val="auto"/>
                    </w:rPr>
                  </w:pPr>
                  <w:r>
                    <w:rPr>
                      <w:rFonts w:hint="default"/>
                      <w:bCs/>
                      <w:color w:val="auto"/>
                    </w:rPr>
                    <w:t>简易防渗区</w:t>
                  </w:r>
                </w:p>
              </w:tc>
              <w:tc>
                <w:tcPr>
                  <w:tcW w:w="2919" w:type="pct"/>
                  <w:noWrap w:val="0"/>
                  <w:vAlign w:val="center"/>
                </w:tcPr>
                <w:p w14:paraId="5251FC50">
                  <w:pPr>
                    <w:keepNext w:val="0"/>
                    <w:keepLines w:val="0"/>
                    <w:suppressLineNumbers w:val="0"/>
                    <w:spacing w:before="0" w:beforeAutospacing="0" w:after="0" w:afterAutospacing="0"/>
                    <w:ind w:left="0" w:right="0"/>
                    <w:textAlignment w:val="center"/>
                    <w:rPr>
                      <w:rFonts w:hint="default"/>
                      <w:color w:val="auto"/>
                    </w:rPr>
                  </w:pPr>
                  <w:r>
                    <w:rPr>
                      <w:rFonts w:hint="default"/>
                      <w:color w:val="auto"/>
                    </w:rPr>
                    <w:t>办公室、值班室、机房、井场道路等采用黏土碾压方式进行防渗。</w:t>
                  </w:r>
                </w:p>
              </w:tc>
              <w:tc>
                <w:tcPr>
                  <w:tcW w:w="521" w:type="pct"/>
                  <w:vMerge w:val="continue"/>
                  <w:noWrap w:val="0"/>
                  <w:vAlign w:val="center"/>
                </w:tcPr>
                <w:p w14:paraId="68345BBD">
                  <w:pPr>
                    <w:keepNext w:val="0"/>
                    <w:keepLines w:val="0"/>
                    <w:suppressLineNumbers w:val="0"/>
                    <w:spacing w:before="0" w:beforeAutospacing="0" w:after="0" w:afterAutospacing="0"/>
                    <w:ind w:left="0" w:right="0"/>
                    <w:jc w:val="center"/>
                    <w:textAlignment w:val="center"/>
                    <w:rPr>
                      <w:rFonts w:hint="default"/>
                      <w:color w:val="auto"/>
                      <w:szCs w:val="21"/>
                    </w:rPr>
                  </w:pPr>
                </w:p>
              </w:tc>
            </w:tr>
            <w:tr w14:paraId="1516EE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313" w:type="pct"/>
                  <w:vMerge w:val="continue"/>
                  <w:noWrap w:val="0"/>
                  <w:vAlign w:val="center"/>
                </w:tcPr>
                <w:p w14:paraId="4995549E">
                  <w:pPr>
                    <w:keepNext w:val="0"/>
                    <w:keepLines w:val="0"/>
                    <w:widowControl/>
                    <w:suppressLineNumbers w:val="0"/>
                    <w:spacing w:before="0" w:beforeAutospacing="0" w:after="0" w:afterAutospacing="0"/>
                    <w:ind w:left="0" w:right="0"/>
                    <w:jc w:val="left"/>
                    <w:rPr>
                      <w:rFonts w:hint="default"/>
                      <w:color w:val="auto"/>
                      <w:szCs w:val="21"/>
                    </w:rPr>
                  </w:pPr>
                </w:p>
              </w:tc>
              <w:tc>
                <w:tcPr>
                  <w:tcW w:w="1245" w:type="pct"/>
                  <w:gridSpan w:val="2"/>
                  <w:noWrap w:val="0"/>
                  <w:vAlign w:val="center"/>
                </w:tcPr>
                <w:p w14:paraId="15914D9F">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环境风险</w:t>
                  </w:r>
                </w:p>
              </w:tc>
              <w:tc>
                <w:tcPr>
                  <w:tcW w:w="2919" w:type="pct"/>
                  <w:noWrap w:val="0"/>
                  <w:vAlign w:val="center"/>
                </w:tcPr>
                <w:p w14:paraId="3203C21E">
                  <w:pPr>
                    <w:keepNext w:val="0"/>
                    <w:keepLines w:val="0"/>
                    <w:suppressLineNumbers w:val="0"/>
                    <w:spacing w:before="0" w:beforeAutospacing="0" w:after="0" w:afterAutospacing="0"/>
                    <w:ind w:left="0" w:right="0"/>
                    <w:textAlignment w:val="center"/>
                    <w:rPr>
                      <w:rFonts w:hint="default"/>
                      <w:color w:val="auto"/>
                      <w:szCs w:val="21"/>
                    </w:rPr>
                  </w:pPr>
                  <w:r>
                    <w:rPr>
                      <w:rFonts w:hint="default"/>
                      <w:color w:val="auto"/>
                      <w:szCs w:val="21"/>
                    </w:rPr>
                    <w:t>成立环境风险管理机构，安装防井喷装置，落实各项风险应急物资，制定具备符合行业标准和环评要求的环境风险应急预案，定期演练</w:t>
                  </w:r>
                </w:p>
              </w:tc>
              <w:tc>
                <w:tcPr>
                  <w:tcW w:w="521" w:type="pct"/>
                  <w:noWrap w:val="0"/>
                  <w:vAlign w:val="center"/>
                </w:tcPr>
                <w:p w14:paraId="34BECF40">
                  <w:pPr>
                    <w:keepNext w:val="0"/>
                    <w:keepLines w:val="0"/>
                    <w:suppressLineNumbers w:val="0"/>
                    <w:spacing w:before="0" w:beforeAutospacing="0" w:after="0" w:afterAutospacing="0"/>
                    <w:ind w:left="0" w:right="0"/>
                    <w:jc w:val="center"/>
                    <w:textAlignment w:val="center"/>
                    <w:rPr>
                      <w:rFonts w:hint="eastAsia" w:eastAsia="宋体"/>
                      <w:color w:val="auto"/>
                      <w:szCs w:val="21"/>
                      <w:lang w:val="en-US" w:eastAsia="zh-CN"/>
                    </w:rPr>
                  </w:pPr>
                  <w:r>
                    <w:rPr>
                      <w:rFonts w:hint="eastAsia"/>
                      <w:color w:val="auto"/>
                      <w:szCs w:val="21"/>
                      <w:lang w:val="en-US" w:eastAsia="zh-CN"/>
                    </w:rPr>
                    <w:t>2</w:t>
                  </w:r>
                </w:p>
              </w:tc>
            </w:tr>
            <w:tr w14:paraId="5B1014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313" w:type="pct"/>
                  <w:vMerge w:val="restart"/>
                  <w:noWrap w:val="0"/>
                  <w:vAlign w:val="center"/>
                </w:tcPr>
                <w:p w14:paraId="34FF02E3">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封井后</w:t>
                  </w:r>
                </w:p>
              </w:tc>
              <w:tc>
                <w:tcPr>
                  <w:tcW w:w="407" w:type="pct"/>
                  <w:vMerge w:val="restart"/>
                  <w:noWrap w:val="0"/>
                  <w:vAlign w:val="center"/>
                </w:tcPr>
                <w:p w14:paraId="4756DBFB">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生态环境</w:t>
                  </w:r>
                </w:p>
              </w:tc>
              <w:tc>
                <w:tcPr>
                  <w:tcW w:w="838" w:type="pct"/>
                  <w:noWrap w:val="0"/>
                  <w:tcMar>
                    <w:left w:w="0" w:type="dxa"/>
                    <w:right w:w="0" w:type="dxa"/>
                  </w:tcMar>
                  <w:vAlign w:val="center"/>
                </w:tcPr>
                <w:p w14:paraId="1BA49783">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场地平整阶段</w:t>
                  </w:r>
                </w:p>
              </w:tc>
              <w:tc>
                <w:tcPr>
                  <w:tcW w:w="2919" w:type="pct"/>
                  <w:noWrap w:val="0"/>
                  <w:vAlign w:val="center"/>
                </w:tcPr>
                <w:p w14:paraId="24236486">
                  <w:pPr>
                    <w:keepNext w:val="0"/>
                    <w:keepLines w:val="0"/>
                    <w:suppressLineNumbers w:val="0"/>
                    <w:spacing w:before="0" w:beforeAutospacing="0" w:after="0" w:afterAutospacing="0"/>
                    <w:ind w:left="0" w:right="0"/>
                    <w:textAlignment w:val="center"/>
                    <w:rPr>
                      <w:rFonts w:hint="default"/>
                      <w:color w:val="auto"/>
                      <w:sz w:val="24"/>
                    </w:rPr>
                  </w:pPr>
                  <w:r>
                    <w:rPr>
                      <w:rFonts w:hint="default"/>
                      <w:color w:val="auto"/>
                      <w:szCs w:val="21"/>
                    </w:rPr>
                    <w:t>表土剥离，剥离厚度为0.30m。在土壤堆存期间，为了防止水力与风力的侵蚀，用</w:t>
                  </w:r>
                  <w:r>
                    <w:rPr>
                      <w:rFonts w:hint="eastAsia"/>
                      <w:color w:val="auto"/>
                      <w:szCs w:val="21"/>
                      <w:lang w:eastAsia="zh-CN"/>
                    </w:rPr>
                    <w:t>盖土网</w:t>
                  </w:r>
                  <w:r>
                    <w:rPr>
                      <w:rFonts w:hint="default"/>
                      <w:color w:val="auto"/>
                      <w:szCs w:val="21"/>
                    </w:rPr>
                    <w:t>覆盖。</w:t>
                  </w:r>
                </w:p>
              </w:tc>
              <w:tc>
                <w:tcPr>
                  <w:tcW w:w="521" w:type="pct"/>
                  <w:noWrap w:val="0"/>
                  <w:vAlign w:val="center"/>
                </w:tcPr>
                <w:p w14:paraId="48DABF77">
                  <w:pPr>
                    <w:keepNext w:val="0"/>
                    <w:keepLines w:val="0"/>
                    <w:suppressLineNumbers w:val="0"/>
                    <w:spacing w:before="0" w:beforeAutospacing="0" w:after="0" w:afterAutospacing="0"/>
                    <w:ind w:left="0" w:right="0"/>
                    <w:jc w:val="center"/>
                    <w:textAlignment w:val="center"/>
                    <w:rPr>
                      <w:rFonts w:hint="eastAsia" w:eastAsia="宋体"/>
                      <w:color w:val="auto"/>
                      <w:szCs w:val="21"/>
                      <w:lang w:val="en-US" w:eastAsia="zh-CN"/>
                    </w:rPr>
                  </w:pPr>
                  <w:r>
                    <w:rPr>
                      <w:rFonts w:hint="eastAsia"/>
                      <w:color w:val="auto"/>
                      <w:szCs w:val="21"/>
                      <w:lang w:val="en-US" w:eastAsia="zh-CN"/>
                    </w:rPr>
                    <w:t>5</w:t>
                  </w:r>
                </w:p>
              </w:tc>
            </w:tr>
            <w:tr w14:paraId="43FC20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313" w:type="pct"/>
                  <w:vMerge w:val="continue"/>
                  <w:noWrap w:val="0"/>
                  <w:vAlign w:val="center"/>
                </w:tcPr>
                <w:p w14:paraId="51A4EBB9">
                  <w:pPr>
                    <w:keepNext w:val="0"/>
                    <w:keepLines w:val="0"/>
                    <w:widowControl/>
                    <w:suppressLineNumbers w:val="0"/>
                    <w:spacing w:before="0" w:beforeAutospacing="0" w:after="0" w:afterAutospacing="0"/>
                    <w:ind w:left="0" w:right="0"/>
                    <w:jc w:val="left"/>
                    <w:rPr>
                      <w:rFonts w:hint="default"/>
                      <w:color w:val="auto"/>
                      <w:szCs w:val="21"/>
                    </w:rPr>
                  </w:pPr>
                </w:p>
              </w:tc>
              <w:tc>
                <w:tcPr>
                  <w:tcW w:w="407" w:type="pct"/>
                  <w:vMerge w:val="continue"/>
                  <w:noWrap w:val="0"/>
                  <w:vAlign w:val="center"/>
                </w:tcPr>
                <w:p w14:paraId="1DD8BCA9">
                  <w:pPr>
                    <w:keepNext w:val="0"/>
                    <w:keepLines w:val="0"/>
                    <w:widowControl/>
                    <w:suppressLineNumbers w:val="0"/>
                    <w:spacing w:before="0" w:beforeAutospacing="0" w:after="0" w:afterAutospacing="0"/>
                    <w:ind w:left="0" w:right="0"/>
                    <w:jc w:val="left"/>
                    <w:rPr>
                      <w:rFonts w:hint="default"/>
                      <w:color w:val="auto"/>
                      <w:szCs w:val="21"/>
                    </w:rPr>
                  </w:pPr>
                </w:p>
              </w:tc>
              <w:tc>
                <w:tcPr>
                  <w:tcW w:w="838" w:type="pct"/>
                  <w:noWrap w:val="0"/>
                  <w:tcMar>
                    <w:left w:w="0" w:type="dxa"/>
                    <w:right w:w="0" w:type="dxa"/>
                  </w:tcMar>
                  <w:vAlign w:val="center"/>
                </w:tcPr>
                <w:p w14:paraId="131DD19A">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临时占地恢复</w:t>
                  </w:r>
                </w:p>
              </w:tc>
              <w:tc>
                <w:tcPr>
                  <w:tcW w:w="2919" w:type="pct"/>
                  <w:noWrap w:val="0"/>
                  <w:vAlign w:val="center"/>
                </w:tcPr>
                <w:p w14:paraId="6B0C2301">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严格限制施工作业范围，禁止破坏施工作业外的地表植被。井场、井场</w:t>
                  </w:r>
                  <w:r>
                    <w:rPr>
                      <w:rFonts w:hint="eastAsia"/>
                      <w:color w:val="auto"/>
                      <w:szCs w:val="21"/>
                    </w:rPr>
                    <w:t>道路</w:t>
                  </w:r>
                  <w:r>
                    <w:rPr>
                      <w:rFonts w:hint="default"/>
                      <w:color w:val="auto"/>
                      <w:szCs w:val="21"/>
                    </w:rPr>
                    <w:t>等临时占地封井后恢复原貌，</w:t>
                  </w:r>
                  <w:r>
                    <w:rPr>
                      <w:rFonts w:hint="eastAsia"/>
                      <w:color w:val="auto"/>
                      <w:szCs w:val="21"/>
                      <w:lang w:eastAsia="zh-CN"/>
                    </w:rPr>
                    <w:t>按照复垦方案</w:t>
                  </w:r>
                  <w:r>
                    <w:rPr>
                      <w:rFonts w:hint="default"/>
                      <w:color w:val="auto"/>
                      <w:szCs w:val="21"/>
                    </w:rPr>
                    <w:t>进行平整、翻耕、复垦，满足原土地利用性质要求</w:t>
                  </w:r>
                </w:p>
              </w:tc>
              <w:tc>
                <w:tcPr>
                  <w:tcW w:w="521" w:type="pct"/>
                  <w:noWrap w:val="0"/>
                  <w:vAlign w:val="center"/>
                </w:tcPr>
                <w:p w14:paraId="0F1C36B5">
                  <w:pPr>
                    <w:keepNext w:val="0"/>
                    <w:keepLines w:val="0"/>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eastAsia" w:eastAsia="宋体"/>
                      <w:color w:val="auto"/>
                      <w:szCs w:val="21"/>
                      <w:lang w:val="en-US" w:eastAsia="zh-CN"/>
                    </w:rPr>
                    <w:t>5</w:t>
                  </w:r>
                </w:p>
              </w:tc>
            </w:tr>
            <w:tr w14:paraId="4832C2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313" w:type="pct"/>
                  <w:vMerge w:val="continue"/>
                  <w:noWrap w:val="0"/>
                  <w:vAlign w:val="center"/>
                </w:tcPr>
                <w:p w14:paraId="1F7F3A46">
                  <w:pPr>
                    <w:keepNext w:val="0"/>
                    <w:keepLines w:val="0"/>
                    <w:suppressLineNumbers w:val="0"/>
                    <w:spacing w:before="0" w:beforeAutospacing="0" w:after="0" w:afterAutospacing="0"/>
                    <w:ind w:left="0" w:right="0"/>
                    <w:jc w:val="center"/>
                    <w:textAlignment w:val="center"/>
                    <w:rPr>
                      <w:rFonts w:hint="default"/>
                      <w:color w:val="auto"/>
                      <w:szCs w:val="21"/>
                    </w:rPr>
                  </w:pPr>
                </w:p>
              </w:tc>
              <w:tc>
                <w:tcPr>
                  <w:tcW w:w="1245" w:type="pct"/>
                  <w:gridSpan w:val="2"/>
                  <w:noWrap w:val="0"/>
                  <w:vAlign w:val="center"/>
                </w:tcPr>
                <w:p w14:paraId="1B5A2D71">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废弃探孔封孔措施</w:t>
                  </w:r>
                </w:p>
              </w:tc>
              <w:tc>
                <w:tcPr>
                  <w:tcW w:w="2919" w:type="pct"/>
                  <w:noWrap w:val="0"/>
                  <w:vAlign w:val="center"/>
                </w:tcPr>
                <w:p w14:paraId="3301B42E">
                  <w:pPr>
                    <w:keepNext w:val="0"/>
                    <w:keepLines w:val="0"/>
                    <w:suppressLineNumbers w:val="0"/>
                    <w:spacing w:before="0" w:beforeAutospacing="0" w:after="0" w:afterAutospacing="0"/>
                    <w:ind w:left="0" w:right="0"/>
                    <w:textAlignment w:val="center"/>
                    <w:rPr>
                      <w:rFonts w:hint="default"/>
                      <w:color w:val="auto"/>
                      <w:szCs w:val="21"/>
                    </w:rPr>
                  </w:pPr>
                  <w:r>
                    <w:rPr>
                      <w:rFonts w:hint="default"/>
                      <w:color w:val="auto"/>
                      <w:szCs w:val="21"/>
                    </w:rPr>
                    <w:t>恢复地貌，去掉井口装置和割掉一定深度以上的表层套管，并使废弃井和土地使用的矛盾最小化。并在井眼安装可供识别的标志，加以保护，防止人为破坏。</w:t>
                  </w:r>
                </w:p>
              </w:tc>
              <w:tc>
                <w:tcPr>
                  <w:tcW w:w="521" w:type="pct"/>
                  <w:noWrap w:val="0"/>
                  <w:vAlign w:val="center"/>
                </w:tcPr>
                <w:p w14:paraId="23AC76B2">
                  <w:pPr>
                    <w:keepNext w:val="0"/>
                    <w:keepLines w:val="0"/>
                    <w:widowControl/>
                    <w:suppressLineNumbers w:val="0"/>
                    <w:spacing w:before="0" w:beforeAutospacing="0" w:after="0" w:afterAutospacing="0"/>
                    <w:ind w:left="0" w:right="0"/>
                    <w:jc w:val="center"/>
                    <w:rPr>
                      <w:rFonts w:hint="eastAsia" w:eastAsia="宋体"/>
                      <w:color w:val="auto"/>
                      <w:szCs w:val="21"/>
                      <w:lang w:val="en-US" w:eastAsia="zh-CN"/>
                    </w:rPr>
                  </w:pPr>
                  <w:r>
                    <w:rPr>
                      <w:rFonts w:hint="eastAsia"/>
                      <w:color w:val="auto"/>
                      <w:szCs w:val="21"/>
                      <w:lang w:val="en-US" w:eastAsia="zh-CN"/>
                    </w:rPr>
                    <w:t>8</w:t>
                  </w:r>
                </w:p>
              </w:tc>
            </w:tr>
            <w:tr w14:paraId="361F23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78" w:type="pct"/>
                  <w:gridSpan w:val="4"/>
                  <w:noWrap w:val="0"/>
                  <w:vAlign w:val="center"/>
                </w:tcPr>
                <w:p w14:paraId="70A37AC9">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合计</w:t>
                  </w:r>
                </w:p>
              </w:tc>
              <w:tc>
                <w:tcPr>
                  <w:tcW w:w="521" w:type="pct"/>
                  <w:noWrap w:val="0"/>
                  <w:vAlign w:val="center"/>
                </w:tcPr>
                <w:p w14:paraId="5886EAFA">
                  <w:pPr>
                    <w:keepNext w:val="0"/>
                    <w:keepLines w:val="0"/>
                    <w:suppressLineNumbers w:val="0"/>
                    <w:spacing w:before="0" w:beforeAutospacing="0" w:after="0" w:afterAutospacing="0"/>
                    <w:ind w:left="0" w:right="0"/>
                    <w:jc w:val="center"/>
                    <w:textAlignment w:val="center"/>
                    <w:rPr>
                      <w:rFonts w:hint="default"/>
                      <w:color w:val="auto"/>
                      <w:szCs w:val="21"/>
                    </w:rPr>
                  </w:pPr>
                  <w:r>
                    <w:rPr>
                      <w:rFonts w:hint="eastAsia"/>
                      <w:color w:val="auto"/>
                      <w:szCs w:val="21"/>
                    </w:rPr>
                    <w:t>1</w:t>
                  </w:r>
                  <w:r>
                    <w:rPr>
                      <w:rFonts w:hint="eastAsia"/>
                      <w:color w:val="auto"/>
                      <w:szCs w:val="21"/>
                      <w:lang w:val="en-US" w:eastAsia="zh-CN"/>
                    </w:rPr>
                    <w:t>2</w:t>
                  </w:r>
                  <w:r>
                    <w:rPr>
                      <w:rFonts w:hint="eastAsia"/>
                      <w:color w:val="auto"/>
                      <w:szCs w:val="21"/>
                    </w:rPr>
                    <w:t>0</w:t>
                  </w:r>
                </w:p>
              </w:tc>
            </w:tr>
          </w:tbl>
          <w:p w14:paraId="12493F0E">
            <w:pPr>
              <w:keepNext w:val="0"/>
              <w:keepLines w:val="0"/>
              <w:suppressLineNumbers w:val="0"/>
              <w:autoSpaceDE w:val="0"/>
              <w:autoSpaceDN w:val="0"/>
              <w:adjustRightInd w:val="0"/>
              <w:spacing w:before="0" w:beforeAutospacing="0" w:after="0" w:afterAutospacing="0"/>
              <w:ind w:left="0" w:right="0"/>
              <w:rPr>
                <w:rFonts w:hint="eastAsia"/>
                <w:color w:val="auto"/>
                <w:sz w:val="24"/>
                <w:szCs w:val="32"/>
              </w:rPr>
            </w:pPr>
          </w:p>
          <w:p w14:paraId="221B9D60">
            <w:pPr>
              <w:keepNext w:val="0"/>
              <w:keepLines w:val="0"/>
              <w:suppressLineNumbers w:val="0"/>
              <w:autoSpaceDE w:val="0"/>
              <w:autoSpaceDN w:val="0"/>
              <w:adjustRightInd w:val="0"/>
              <w:spacing w:before="0" w:beforeAutospacing="0" w:after="0" w:afterAutospacing="0"/>
              <w:ind w:left="0" w:right="0"/>
              <w:rPr>
                <w:rFonts w:hint="eastAsia"/>
                <w:color w:val="auto"/>
                <w:sz w:val="24"/>
                <w:szCs w:val="32"/>
              </w:rPr>
            </w:pPr>
          </w:p>
          <w:p w14:paraId="6784306B">
            <w:pPr>
              <w:keepNext w:val="0"/>
              <w:keepLines w:val="0"/>
              <w:suppressLineNumbers w:val="0"/>
              <w:autoSpaceDE w:val="0"/>
              <w:autoSpaceDN w:val="0"/>
              <w:adjustRightInd w:val="0"/>
              <w:spacing w:before="0" w:beforeAutospacing="0" w:after="0" w:afterAutospacing="0"/>
              <w:ind w:left="0" w:right="0"/>
              <w:rPr>
                <w:rFonts w:hint="eastAsia"/>
                <w:color w:val="auto"/>
                <w:sz w:val="24"/>
                <w:szCs w:val="32"/>
              </w:rPr>
            </w:pPr>
          </w:p>
          <w:p w14:paraId="7416F7E4">
            <w:pPr>
              <w:keepNext w:val="0"/>
              <w:keepLines w:val="0"/>
              <w:suppressLineNumbers w:val="0"/>
              <w:autoSpaceDE w:val="0"/>
              <w:autoSpaceDN w:val="0"/>
              <w:adjustRightInd w:val="0"/>
              <w:spacing w:before="0" w:beforeAutospacing="0" w:after="0" w:afterAutospacing="0"/>
              <w:ind w:left="0" w:right="0"/>
              <w:rPr>
                <w:rFonts w:hint="eastAsia"/>
                <w:color w:val="auto"/>
                <w:sz w:val="24"/>
                <w:szCs w:val="32"/>
              </w:rPr>
            </w:pPr>
          </w:p>
          <w:p w14:paraId="256A49A9">
            <w:pPr>
              <w:keepNext w:val="0"/>
              <w:keepLines w:val="0"/>
              <w:suppressLineNumbers w:val="0"/>
              <w:autoSpaceDE w:val="0"/>
              <w:autoSpaceDN w:val="0"/>
              <w:adjustRightInd w:val="0"/>
              <w:spacing w:before="0" w:beforeAutospacing="0" w:after="0" w:afterAutospacing="0"/>
              <w:ind w:left="0" w:right="0"/>
              <w:rPr>
                <w:rFonts w:hint="eastAsia"/>
                <w:color w:val="auto"/>
                <w:sz w:val="24"/>
                <w:szCs w:val="32"/>
              </w:rPr>
            </w:pPr>
          </w:p>
          <w:p w14:paraId="4C086254">
            <w:pPr>
              <w:keepNext w:val="0"/>
              <w:keepLines w:val="0"/>
              <w:suppressLineNumbers w:val="0"/>
              <w:autoSpaceDE w:val="0"/>
              <w:autoSpaceDN w:val="0"/>
              <w:adjustRightInd w:val="0"/>
              <w:spacing w:before="0" w:beforeAutospacing="0" w:after="0" w:afterAutospacing="0"/>
              <w:ind w:left="0" w:right="0"/>
              <w:rPr>
                <w:rFonts w:hint="eastAsia"/>
                <w:color w:val="auto"/>
                <w:sz w:val="24"/>
                <w:szCs w:val="32"/>
              </w:rPr>
            </w:pPr>
          </w:p>
          <w:p w14:paraId="1EDB16BB">
            <w:pPr>
              <w:keepNext w:val="0"/>
              <w:keepLines w:val="0"/>
              <w:suppressLineNumbers w:val="0"/>
              <w:autoSpaceDE w:val="0"/>
              <w:autoSpaceDN w:val="0"/>
              <w:adjustRightInd w:val="0"/>
              <w:spacing w:before="0" w:beforeAutospacing="0" w:after="0" w:afterAutospacing="0"/>
              <w:ind w:left="0" w:right="0"/>
              <w:rPr>
                <w:rFonts w:hint="eastAsia"/>
                <w:color w:val="auto"/>
                <w:sz w:val="24"/>
                <w:szCs w:val="32"/>
              </w:rPr>
            </w:pPr>
          </w:p>
          <w:p w14:paraId="48F6F3FE">
            <w:pPr>
              <w:keepNext w:val="0"/>
              <w:keepLines w:val="0"/>
              <w:suppressLineNumbers w:val="0"/>
              <w:autoSpaceDE w:val="0"/>
              <w:autoSpaceDN w:val="0"/>
              <w:adjustRightInd w:val="0"/>
              <w:spacing w:before="0" w:beforeAutospacing="0" w:after="0" w:afterAutospacing="0"/>
              <w:ind w:left="0" w:right="0"/>
              <w:rPr>
                <w:rFonts w:hint="eastAsia"/>
                <w:color w:val="auto"/>
                <w:sz w:val="24"/>
                <w:szCs w:val="32"/>
              </w:rPr>
            </w:pPr>
          </w:p>
          <w:p w14:paraId="5A848CEA">
            <w:pPr>
              <w:keepNext w:val="0"/>
              <w:keepLines w:val="0"/>
              <w:suppressLineNumbers w:val="0"/>
              <w:autoSpaceDE w:val="0"/>
              <w:autoSpaceDN w:val="0"/>
              <w:adjustRightInd w:val="0"/>
              <w:spacing w:before="0" w:beforeAutospacing="0" w:after="0" w:afterAutospacing="0"/>
              <w:ind w:left="0" w:right="0"/>
              <w:rPr>
                <w:rFonts w:hint="eastAsia"/>
                <w:color w:val="auto"/>
                <w:sz w:val="24"/>
                <w:szCs w:val="32"/>
              </w:rPr>
            </w:pPr>
          </w:p>
          <w:p w14:paraId="41BD2BD4">
            <w:pPr>
              <w:keepNext w:val="0"/>
              <w:keepLines w:val="0"/>
              <w:suppressLineNumbers w:val="0"/>
              <w:autoSpaceDE w:val="0"/>
              <w:autoSpaceDN w:val="0"/>
              <w:adjustRightInd w:val="0"/>
              <w:spacing w:before="0" w:beforeAutospacing="0" w:after="0" w:afterAutospacing="0"/>
              <w:ind w:left="0" w:right="0"/>
              <w:rPr>
                <w:rFonts w:hint="eastAsia"/>
                <w:color w:val="auto"/>
                <w:sz w:val="24"/>
                <w:szCs w:val="32"/>
              </w:rPr>
            </w:pPr>
          </w:p>
          <w:p w14:paraId="1F202B44">
            <w:pPr>
              <w:keepNext w:val="0"/>
              <w:keepLines w:val="0"/>
              <w:suppressLineNumbers w:val="0"/>
              <w:autoSpaceDE w:val="0"/>
              <w:autoSpaceDN w:val="0"/>
              <w:adjustRightInd w:val="0"/>
              <w:spacing w:before="0" w:beforeAutospacing="0" w:after="0" w:afterAutospacing="0"/>
              <w:ind w:left="0" w:right="0"/>
              <w:rPr>
                <w:rFonts w:hint="eastAsia"/>
                <w:color w:val="auto"/>
                <w:sz w:val="24"/>
                <w:szCs w:val="32"/>
              </w:rPr>
            </w:pPr>
          </w:p>
          <w:p w14:paraId="3AE583B3">
            <w:pPr>
              <w:keepNext w:val="0"/>
              <w:keepLines w:val="0"/>
              <w:suppressLineNumbers w:val="0"/>
              <w:autoSpaceDE w:val="0"/>
              <w:autoSpaceDN w:val="0"/>
              <w:adjustRightInd w:val="0"/>
              <w:spacing w:before="0" w:beforeAutospacing="0" w:after="0" w:afterAutospacing="0"/>
              <w:ind w:left="0" w:right="0"/>
              <w:rPr>
                <w:rFonts w:hint="eastAsia"/>
                <w:color w:val="auto"/>
                <w:sz w:val="24"/>
                <w:szCs w:val="32"/>
              </w:rPr>
            </w:pPr>
          </w:p>
          <w:p w14:paraId="55568D82">
            <w:pPr>
              <w:keepNext w:val="0"/>
              <w:keepLines w:val="0"/>
              <w:suppressLineNumbers w:val="0"/>
              <w:autoSpaceDE w:val="0"/>
              <w:autoSpaceDN w:val="0"/>
              <w:adjustRightInd w:val="0"/>
              <w:spacing w:before="0" w:beforeAutospacing="0" w:after="0" w:afterAutospacing="0"/>
              <w:ind w:left="0" w:right="0"/>
              <w:rPr>
                <w:rFonts w:hint="eastAsia"/>
                <w:color w:val="auto"/>
                <w:sz w:val="24"/>
                <w:szCs w:val="32"/>
              </w:rPr>
            </w:pPr>
          </w:p>
          <w:p w14:paraId="0F82A9B7">
            <w:pPr>
              <w:keepNext w:val="0"/>
              <w:keepLines w:val="0"/>
              <w:suppressLineNumbers w:val="0"/>
              <w:autoSpaceDE w:val="0"/>
              <w:autoSpaceDN w:val="0"/>
              <w:adjustRightInd w:val="0"/>
              <w:spacing w:before="0" w:beforeAutospacing="0" w:after="0" w:afterAutospacing="0"/>
              <w:ind w:left="0" w:right="0"/>
              <w:rPr>
                <w:rFonts w:hint="eastAsia"/>
                <w:color w:val="auto"/>
                <w:sz w:val="24"/>
                <w:szCs w:val="32"/>
              </w:rPr>
            </w:pPr>
          </w:p>
          <w:p w14:paraId="09044F49">
            <w:pPr>
              <w:keepNext w:val="0"/>
              <w:keepLines w:val="0"/>
              <w:suppressLineNumbers w:val="0"/>
              <w:autoSpaceDE w:val="0"/>
              <w:autoSpaceDN w:val="0"/>
              <w:adjustRightInd w:val="0"/>
              <w:spacing w:before="0" w:beforeAutospacing="0" w:after="0" w:afterAutospacing="0"/>
              <w:ind w:left="0" w:right="0"/>
              <w:rPr>
                <w:rFonts w:hint="eastAsia"/>
                <w:color w:val="auto"/>
                <w:sz w:val="24"/>
                <w:szCs w:val="32"/>
              </w:rPr>
            </w:pPr>
          </w:p>
          <w:p w14:paraId="7B13BD8F">
            <w:pPr>
              <w:keepNext w:val="0"/>
              <w:keepLines w:val="0"/>
              <w:suppressLineNumbers w:val="0"/>
              <w:autoSpaceDE w:val="0"/>
              <w:autoSpaceDN w:val="0"/>
              <w:adjustRightInd w:val="0"/>
              <w:spacing w:before="0" w:beforeAutospacing="0" w:after="0" w:afterAutospacing="0"/>
              <w:ind w:left="0" w:right="0"/>
              <w:rPr>
                <w:rFonts w:hint="eastAsia"/>
                <w:color w:val="auto"/>
                <w:sz w:val="24"/>
                <w:szCs w:val="32"/>
              </w:rPr>
            </w:pPr>
          </w:p>
          <w:p w14:paraId="689BB9BD">
            <w:pPr>
              <w:keepNext w:val="0"/>
              <w:keepLines w:val="0"/>
              <w:suppressLineNumbers w:val="0"/>
              <w:autoSpaceDE w:val="0"/>
              <w:autoSpaceDN w:val="0"/>
              <w:adjustRightInd w:val="0"/>
              <w:spacing w:before="0" w:beforeAutospacing="0" w:after="0" w:afterAutospacing="0"/>
              <w:ind w:left="0" w:right="0"/>
              <w:rPr>
                <w:rFonts w:hint="eastAsia"/>
                <w:color w:val="auto"/>
                <w:sz w:val="24"/>
                <w:szCs w:val="32"/>
              </w:rPr>
            </w:pPr>
          </w:p>
          <w:p w14:paraId="23E72D32">
            <w:pPr>
              <w:keepNext w:val="0"/>
              <w:keepLines w:val="0"/>
              <w:suppressLineNumbers w:val="0"/>
              <w:autoSpaceDE w:val="0"/>
              <w:autoSpaceDN w:val="0"/>
              <w:adjustRightInd w:val="0"/>
              <w:spacing w:before="0" w:beforeAutospacing="0" w:after="0" w:afterAutospacing="0"/>
              <w:ind w:left="0" w:right="0"/>
              <w:rPr>
                <w:rFonts w:hint="eastAsia"/>
                <w:color w:val="auto"/>
                <w:sz w:val="24"/>
                <w:szCs w:val="32"/>
              </w:rPr>
            </w:pPr>
          </w:p>
          <w:p w14:paraId="5261DDD6">
            <w:pPr>
              <w:keepNext w:val="0"/>
              <w:keepLines w:val="0"/>
              <w:suppressLineNumbers w:val="0"/>
              <w:autoSpaceDE w:val="0"/>
              <w:autoSpaceDN w:val="0"/>
              <w:adjustRightInd w:val="0"/>
              <w:spacing w:before="0" w:beforeAutospacing="0" w:after="0" w:afterAutospacing="0"/>
              <w:ind w:left="0" w:right="0"/>
              <w:rPr>
                <w:rFonts w:hint="eastAsia"/>
                <w:color w:val="auto"/>
                <w:sz w:val="24"/>
                <w:szCs w:val="32"/>
              </w:rPr>
            </w:pPr>
          </w:p>
          <w:p w14:paraId="26635FCA">
            <w:pPr>
              <w:keepNext w:val="0"/>
              <w:keepLines w:val="0"/>
              <w:suppressLineNumbers w:val="0"/>
              <w:autoSpaceDE w:val="0"/>
              <w:autoSpaceDN w:val="0"/>
              <w:adjustRightInd w:val="0"/>
              <w:spacing w:before="0" w:beforeAutospacing="0" w:after="0" w:afterAutospacing="0"/>
              <w:ind w:left="0" w:right="0"/>
              <w:rPr>
                <w:rFonts w:hint="eastAsia"/>
                <w:color w:val="auto"/>
                <w:sz w:val="24"/>
                <w:szCs w:val="32"/>
              </w:rPr>
            </w:pPr>
          </w:p>
          <w:p w14:paraId="5AD3C87C">
            <w:pPr>
              <w:keepNext w:val="0"/>
              <w:keepLines w:val="0"/>
              <w:suppressLineNumbers w:val="0"/>
              <w:autoSpaceDE w:val="0"/>
              <w:autoSpaceDN w:val="0"/>
              <w:adjustRightInd w:val="0"/>
              <w:spacing w:before="0" w:beforeAutospacing="0" w:after="0" w:afterAutospacing="0"/>
              <w:ind w:left="0" w:right="0"/>
              <w:rPr>
                <w:rFonts w:hint="eastAsia"/>
                <w:color w:val="auto"/>
                <w:sz w:val="24"/>
                <w:szCs w:val="32"/>
              </w:rPr>
            </w:pPr>
          </w:p>
          <w:p w14:paraId="1494A47F">
            <w:pPr>
              <w:keepNext w:val="0"/>
              <w:keepLines w:val="0"/>
              <w:suppressLineNumbers w:val="0"/>
              <w:autoSpaceDE w:val="0"/>
              <w:autoSpaceDN w:val="0"/>
              <w:adjustRightInd w:val="0"/>
              <w:spacing w:before="0" w:beforeAutospacing="0" w:after="0" w:afterAutospacing="0"/>
              <w:ind w:left="0" w:right="0"/>
              <w:rPr>
                <w:rFonts w:hint="eastAsia"/>
                <w:color w:val="auto"/>
                <w:sz w:val="24"/>
                <w:szCs w:val="32"/>
              </w:rPr>
            </w:pPr>
          </w:p>
          <w:p w14:paraId="5DD0B396">
            <w:pPr>
              <w:keepNext w:val="0"/>
              <w:keepLines w:val="0"/>
              <w:suppressLineNumbers w:val="0"/>
              <w:autoSpaceDE w:val="0"/>
              <w:autoSpaceDN w:val="0"/>
              <w:adjustRightInd w:val="0"/>
              <w:spacing w:before="0" w:beforeAutospacing="0" w:after="0" w:afterAutospacing="0"/>
              <w:ind w:left="0" w:right="0"/>
              <w:rPr>
                <w:rFonts w:hint="eastAsia"/>
                <w:color w:val="auto"/>
                <w:sz w:val="24"/>
                <w:szCs w:val="32"/>
              </w:rPr>
            </w:pPr>
          </w:p>
          <w:p w14:paraId="33A436EB">
            <w:pPr>
              <w:keepNext w:val="0"/>
              <w:keepLines w:val="0"/>
              <w:suppressLineNumbers w:val="0"/>
              <w:autoSpaceDE w:val="0"/>
              <w:autoSpaceDN w:val="0"/>
              <w:adjustRightInd w:val="0"/>
              <w:spacing w:before="0" w:beforeAutospacing="0" w:after="0" w:afterAutospacing="0"/>
              <w:ind w:left="0" w:right="0"/>
              <w:rPr>
                <w:rFonts w:hint="eastAsia"/>
                <w:color w:val="auto"/>
                <w:sz w:val="24"/>
                <w:szCs w:val="32"/>
              </w:rPr>
            </w:pPr>
          </w:p>
          <w:p w14:paraId="69D36A6F">
            <w:pPr>
              <w:keepNext w:val="0"/>
              <w:keepLines w:val="0"/>
              <w:suppressLineNumbers w:val="0"/>
              <w:autoSpaceDE w:val="0"/>
              <w:autoSpaceDN w:val="0"/>
              <w:adjustRightInd w:val="0"/>
              <w:spacing w:before="0" w:beforeAutospacing="0" w:after="0" w:afterAutospacing="0"/>
              <w:ind w:left="0" w:right="0"/>
              <w:rPr>
                <w:rFonts w:hint="eastAsia"/>
                <w:color w:val="auto"/>
                <w:sz w:val="24"/>
                <w:szCs w:val="32"/>
              </w:rPr>
            </w:pPr>
          </w:p>
          <w:p w14:paraId="555C294E">
            <w:pPr>
              <w:keepNext w:val="0"/>
              <w:keepLines w:val="0"/>
              <w:suppressLineNumbers w:val="0"/>
              <w:autoSpaceDE w:val="0"/>
              <w:autoSpaceDN w:val="0"/>
              <w:adjustRightInd w:val="0"/>
              <w:spacing w:before="0" w:beforeAutospacing="0" w:after="0" w:afterAutospacing="0"/>
              <w:ind w:left="0" w:right="0"/>
              <w:rPr>
                <w:rFonts w:hint="eastAsia"/>
                <w:color w:val="auto"/>
                <w:sz w:val="24"/>
                <w:szCs w:val="32"/>
              </w:rPr>
            </w:pPr>
          </w:p>
          <w:p w14:paraId="3212F179">
            <w:pPr>
              <w:keepNext w:val="0"/>
              <w:keepLines w:val="0"/>
              <w:suppressLineNumbers w:val="0"/>
              <w:autoSpaceDE w:val="0"/>
              <w:autoSpaceDN w:val="0"/>
              <w:adjustRightInd w:val="0"/>
              <w:spacing w:before="0" w:beforeAutospacing="0" w:after="0" w:afterAutospacing="0"/>
              <w:ind w:left="0" w:right="0"/>
              <w:rPr>
                <w:rFonts w:hint="eastAsia"/>
                <w:color w:val="auto"/>
                <w:sz w:val="24"/>
                <w:szCs w:val="32"/>
              </w:rPr>
            </w:pPr>
          </w:p>
          <w:p w14:paraId="2F6CB4C3">
            <w:pPr>
              <w:keepNext w:val="0"/>
              <w:keepLines w:val="0"/>
              <w:suppressLineNumbers w:val="0"/>
              <w:autoSpaceDE w:val="0"/>
              <w:autoSpaceDN w:val="0"/>
              <w:adjustRightInd w:val="0"/>
              <w:spacing w:before="0" w:beforeAutospacing="0" w:after="0" w:afterAutospacing="0"/>
              <w:ind w:left="0" w:right="0"/>
              <w:rPr>
                <w:rFonts w:hint="eastAsia"/>
                <w:color w:val="auto"/>
                <w:sz w:val="24"/>
                <w:szCs w:val="32"/>
              </w:rPr>
            </w:pPr>
          </w:p>
          <w:p w14:paraId="33CE6F15">
            <w:pPr>
              <w:keepNext w:val="0"/>
              <w:keepLines w:val="0"/>
              <w:suppressLineNumbers w:val="0"/>
              <w:autoSpaceDE w:val="0"/>
              <w:autoSpaceDN w:val="0"/>
              <w:adjustRightInd w:val="0"/>
              <w:spacing w:before="0" w:beforeAutospacing="0" w:after="0" w:afterAutospacing="0"/>
              <w:ind w:left="0" w:right="0"/>
              <w:rPr>
                <w:rFonts w:hint="eastAsia"/>
                <w:color w:val="auto"/>
                <w:sz w:val="24"/>
                <w:szCs w:val="32"/>
              </w:rPr>
            </w:pPr>
          </w:p>
          <w:p w14:paraId="72E88CFD">
            <w:pPr>
              <w:keepNext w:val="0"/>
              <w:keepLines w:val="0"/>
              <w:suppressLineNumbers w:val="0"/>
              <w:autoSpaceDE w:val="0"/>
              <w:autoSpaceDN w:val="0"/>
              <w:adjustRightInd w:val="0"/>
              <w:spacing w:before="0" w:beforeAutospacing="0" w:after="0" w:afterAutospacing="0"/>
              <w:ind w:left="0" w:right="0"/>
              <w:rPr>
                <w:rFonts w:hint="eastAsia"/>
                <w:color w:val="auto"/>
                <w:sz w:val="24"/>
                <w:szCs w:val="32"/>
              </w:rPr>
            </w:pPr>
          </w:p>
          <w:p w14:paraId="1419C0B7">
            <w:pPr>
              <w:keepNext w:val="0"/>
              <w:keepLines w:val="0"/>
              <w:suppressLineNumbers w:val="0"/>
              <w:autoSpaceDE w:val="0"/>
              <w:autoSpaceDN w:val="0"/>
              <w:adjustRightInd w:val="0"/>
              <w:spacing w:before="0" w:beforeAutospacing="0" w:after="0" w:afterAutospacing="0"/>
              <w:ind w:left="0" w:right="0"/>
              <w:rPr>
                <w:rFonts w:hint="eastAsia"/>
                <w:color w:val="auto"/>
                <w:sz w:val="24"/>
                <w:szCs w:val="32"/>
              </w:rPr>
            </w:pPr>
          </w:p>
          <w:p w14:paraId="1D59033A">
            <w:pPr>
              <w:keepNext w:val="0"/>
              <w:keepLines w:val="0"/>
              <w:suppressLineNumbers w:val="0"/>
              <w:autoSpaceDE w:val="0"/>
              <w:autoSpaceDN w:val="0"/>
              <w:adjustRightInd w:val="0"/>
              <w:spacing w:before="0" w:beforeAutospacing="0" w:after="0" w:afterAutospacing="0"/>
              <w:ind w:left="0" w:right="0"/>
              <w:rPr>
                <w:rFonts w:hint="eastAsia"/>
                <w:color w:val="auto"/>
                <w:sz w:val="24"/>
                <w:szCs w:val="32"/>
              </w:rPr>
            </w:pPr>
          </w:p>
          <w:p w14:paraId="507A50F0">
            <w:pPr>
              <w:keepNext w:val="0"/>
              <w:keepLines w:val="0"/>
              <w:suppressLineNumbers w:val="0"/>
              <w:autoSpaceDE w:val="0"/>
              <w:autoSpaceDN w:val="0"/>
              <w:adjustRightInd w:val="0"/>
              <w:spacing w:before="0" w:beforeAutospacing="0" w:after="0" w:afterAutospacing="0"/>
              <w:ind w:left="0" w:right="0"/>
              <w:rPr>
                <w:rFonts w:hint="eastAsia"/>
                <w:color w:val="auto"/>
                <w:sz w:val="24"/>
                <w:szCs w:val="32"/>
              </w:rPr>
            </w:pPr>
          </w:p>
          <w:p w14:paraId="079EC461">
            <w:pPr>
              <w:keepNext w:val="0"/>
              <w:keepLines w:val="0"/>
              <w:suppressLineNumbers w:val="0"/>
              <w:autoSpaceDE w:val="0"/>
              <w:autoSpaceDN w:val="0"/>
              <w:adjustRightInd w:val="0"/>
              <w:spacing w:before="0" w:beforeAutospacing="0" w:after="0" w:afterAutospacing="0"/>
              <w:ind w:left="0" w:right="0"/>
              <w:rPr>
                <w:rFonts w:hint="eastAsia"/>
                <w:color w:val="auto"/>
                <w:sz w:val="24"/>
                <w:szCs w:val="32"/>
              </w:rPr>
            </w:pPr>
          </w:p>
          <w:p w14:paraId="67967B6F">
            <w:pPr>
              <w:keepNext w:val="0"/>
              <w:keepLines w:val="0"/>
              <w:suppressLineNumbers w:val="0"/>
              <w:autoSpaceDE w:val="0"/>
              <w:autoSpaceDN w:val="0"/>
              <w:adjustRightInd w:val="0"/>
              <w:spacing w:before="0" w:beforeAutospacing="0" w:after="0" w:afterAutospacing="0"/>
              <w:ind w:left="0" w:right="0"/>
              <w:rPr>
                <w:rFonts w:hint="eastAsia"/>
                <w:color w:val="auto"/>
                <w:sz w:val="24"/>
                <w:szCs w:val="32"/>
              </w:rPr>
            </w:pPr>
          </w:p>
          <w:p w14:paraId="66DD970C">
            <w:pPr>
              <w:keepNext w:val="0"/>
              <w:keepLines w:val="0"/>
              <w:suppressLineNumbers w:val="0"/>
              <w:autoSpaceDE w:val="0"/>
              <w:autoSpaceDN w:val="0"/>
              <w:adjustRightInd w:val="0"/>
              <w:spacing w:before="0" w:beforeAutospacing="0" w:after="0" w:afterAutospacing="0"/>
              <w:ind w:left="0" w:right="0"/>
              <w:rPr>
                <w:rFonts w:hint="eastAsia"/>
                <w:color w:val="auto"/>
                <w:sz w:val="24"/>
                <w:szCs w:val="32"/>
              </w:rPr>
            </w:pPr>
          </w:p>
          <w:p w14:paraId="5DBD3952">
            <w:pPr>
              <w:keepNext w:val="0"/>
              <w:keepLines w:val="0"/>
              <w:suppressLineNumbers w:val="0"/>
              <w:autoSpaceDE w:val="0"/>
              <w:autoSpaceDN w:val="0"/>
              <w:adjustRightInd w:val="0"/>
              <w:spacing w:before="0" w:beforeAutospacing="0" w:after="0" w:afterAutospacing="0"/>
              <w:ind w:left="0" w:right="0"/>
              <w:rPr>
                <w:rFonts w:hint="eastAsia"/>
                <w:color w:val="auto"/>
                <w:sz w:val="24"/>
                <w:szCs w:val="32"/>
              </w:rPr>
            </w:pPr>
          </w:p>
          <w:p w14:paraId="3652D5D2">
            <w:pPr>
              <w:keepNext w:val="0"/>
              <w:keepLines w:val="0"/>
              <w:suppressLineNumbers w:val="0"/>
              <w:autoSpaceDE w:val="0"/>
              <w:autoSpaceDN w:val="0"/>
              <w:adjustRightInd w:val="0"/>
              <w:spacing w:before="0" w:beforeAutospacing="0" w:after="0" w:afterAutospacing="0"/>
              <w:ind w:left="0" w:right="0"/>
              <w:rPr>
                <w:rFonts w:hint="eastAsia"/>
                <w:color w:val="auto"/>
                <w:sz w:val="24"/>
                <w:szCs w:val="32"/>
              </w:rPr>
            </w:pPr>
          </w:p>
          <w:p w14:paraId="57CDA9A7">
            <w:pPr>
              <w:keepNext w:val="0"/>
              <w:keepLines w:val="0"/>
              <w:suppressLineNumbers w:val="0"/>
              <w:autoSpaceDE w:val="0"/>
              <w:autoSpaceDN w:val="0"/>
              <w:adjustRightInd w:val="0"/>
              <w:spacing w:before="0" w:beforeAutospacing="0" w:after="0" w:afterAutospacing="0"/>
              <w:ind w:left="0" w:right="0"/>
              <w:rPr>
                <w:rFonts w:hint="eastAsia"/>
                <w:color w:val="auto"/>
                <w:sz w:val="24"/>
                <w:szCs w:val="32"/>
              </w:rPr>
            </w:pPr>
          </w:p>
          <w:p w14:paraId="7F7DEA89">
            <w:pPr>
              <w:keepNext w:val="0"/>
              <w:keepLines w:val="0"/>
              <w:suppressLineNumbers w:val="0"/>
              <w:autoSpaceDE w:val="0"/>
              <w:autoSpaceDN w:val="0"/>
              <w:adjustRightInd w:val="0"/>
              <w:spacing w:before="0" w:beforeAutospacing="0" w:after="0" w:afterAutospacing="0"/>
              <w:ind w:left="0" w:right="0"/>
              <w:rPr>
                <w:rFonts w:hint="eastAsia"/>
                <w:color w:val="auto"/>
                <w:sz w:val="24"/>
                <w:szCs w:val="32"/>
              </w:rPr>
            </w:pPr>
          </w:p>
          <w:p w14:paraId="61DA9C29">
            <w:pPr>
              <w:keepNext w:val="0"/>
              <w:keepLines w:val="0"/>
              <w:suppressLineNumbers w:val="0"/>
              <w:autoSpaceDE w:val="0"/>
              <w:autoSpaceDN w:val="0"/>
              <w:adjustRightInd w:val="0"/>
              <w:spacing w:before="0" w:beforeAutospacing="0" w:after="0" w:afterAutospacing="0"/>
              <w:ind w:left="0" w:right="0"/>
              <w:rPr>
                <w:rFonts w:hint="eastAsia"/>
                <w:color w:val="auto"/>
                <w:sz w:val="24"/>
                <w:szCs w:val="32"/>
              </w:rPr>
            </w:pPr>
          </w:p>
          <w:p w14:paraId="11F33B31">
            <w:pPr>
              <w:keepNext w:val="0"/>
              <w:keepLines w:val="0"/>
              <w:suppressLineNumbers w:val="0"/>
              <w:autoSpaceDE w:val="0"/>
              <w:autoSpaceDN w:val="0"/>
              <w:adjustRightInd w:val="0"/>
              <w:spacing w:before="0" w:beforeAutospacing="0" w:after="0" w:afterAutospacing="0"/>
              <w:ind w:left="0" w:right="0"/>
              <w:rPr>
                <w:rFonts w:hint="eastAsia"/>
                <w:color w:val="auto"/>
                <w:sz w:val="24"/>
                <w:szCs w:val="32"/>
              </w:rPr>
            </w:pPr>
          </w:p>
          <w:p w14:paraId="7A09FBB4">
            <w:pPr>
              <w:keepNext w:val="0"/>
              <w:keepLines w:val="0"/>
              <w:suppressLineNumbers w:val="0"/>
              <w:autoSpaceDE w:val="0"/>
              <w:autoSpaceDN w:val="0"/>
              <w:adjustRightInd w:val="0"/>
              <w:spacing w:before="0" w:beforeAutospacing="0" w:after="0" w:afterAutospacing="0"/>
              <w:ind w:left="0" w:right="0"/>
              <w:rPr>
                <w:rFonts w:hint="eastAsia"/>
                <w:color w:val="auto"/>
                <w:sz w:val="24"/>
                <w:szCs w:val="32"/>
              </w:rPr>
            </w:pPr>
          </w:p>
        </w:tc>
      </w:tr>
    </w:tbl>
    <w:p w14:paraId="06D26772">
      <w:pPr>
        <w:pStyle w:val="25"/>
        <w:spacing w:before="0" w:beforeAutospacing="0" w:after="0" w:afterAutospacing="0"/>
        <w:jc w:val="center"/>
        <w:outlineLvl w:val="0"/>
        <w:rPr>
          <w:b/>
          <w:snapToGrid w:val="0"/>
          <w:color w:val="auto"/>
          <w:kern w:val="2"/>
          <w:sz w:val="30"/>
          <w:szCs w:val="30"/>
        </w:rPr>
        <w:sectPr>
          <w:pgSz w:w="11906" w:h="16838"/>
          <w:pgMar w:top="1588" w:right="1418" w:bottom="1418" w:left="1588" w:header="851" w:footer="1077" w:gutter="0"/>
          <w:pgBorders>
            <w:top w:val="none" w:sz="0" w:space="0"/>
            <w:left w:val="none" w:sz="0" w:space="0"/>
            <w:bottom w:val="none" w:sz="0" w:space="0"/>
            <w:right w:val="none" w:sz="0" w:space="0"/>
          </w:pgBorders>
          <w:cols w:space="720" w:num="1"/>
          <w:docGrid w:linePitch="312" w:charSpace="0"/>
        </w:sectPr>
      </w:pPr>
    </w:p>
    <w:p w14:paraId="66C3931E">
      <w:pPr>
        <w:pStyle w:val="25"/>
        <w:spacing w:before="0" w:beforeAutospacing="0" w:after="0" w:afterAutospacing="0"/>
        <w:jc w:val="center"/>
        <w:outlineLvl w:val="0"/>
        <w:rPr>
          <w:b/>
          <w:snapToGrid w:val="0"/>
          <w:color w:val="auto"/>
          <w:kern w:val="2"/>
          <w:sz w:val="30"/>
          <w:szCs w:val="30"/>
        </w:rPr>
      </w:pPr>
      <w:bookmarkStart w:id="22" w:name="_Toc103325993"/>
      <w:r>
        <w:rPr>
          <w:b/>
          <w:snapToGrid w:val="0"/>
          <w:color w:val="auto"/>
          <w:kern w:val="2"/>
          <w:sz w:val="30"/>
          <w:szCs w:val="30"/>
        </w:rPr>
        <w:t>六、生态环境保护措施监督检查清单</w:t>
      </w:r>
      <w:bookmarkEnd w:id="22"/>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3191"/>
        <w:gridCol w:w="2480"/>
        <w:gridCol w:w="1029"/>
        <w:gridCol w:w="965"/>
      </w:tblGrid>
      <w:tr w14:paraId="6DF818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2" w:type="dxa"/>
            <w:vMerge w:val="restart"/>
            <w:tcBorders>
              <w:tl2br w:val="single" w:color="auto" w:sz="4" w:space="0"/>
            </w:tcBorders>
            <w:noWrap w:val="0"/>
            <w:vAlign w:val="top"/>
          </w:tcPr>
          <w:p w14:paraId="4827BF29">
            <w:pPr>
              <w:pStyle w:val="25"/>
              <w:keepNext w:val="0"/>
              <w:keepLines w:val="0"/>
              <w:suppressLineNumbers w:val="0"/>
              <w:adjustRightInd w:val="0"/>
              <w:snapToGrid w:val="0"/>
              <w:spacing w:before="72" w:beforeLines="30" w:beforeAutospacing="0" w:after="0" w:afterAutospacing="0"/>
              <w:ind w:left="0" w:right="0" w:firstLine="527" w:firstLineChars="250"/>
              <w:outlineLvl w:val="0"/>
              <w:rPr>
                <w:rFonts w:hint="default"/>
                <w:b/>
                <w:color w:val="auto"/>
                <w:kern w:val="2"/>
                <w:sz w:val="21"/>
                <w:szCs w:val="21"/>
              </w:rPr>
            </w:pPr>
            <w:bookmarkStart w:id="23" w:name="_Toc103325994"/>
            <w:r>
              <w:rPr>
                <w:rFonts w:hint="default"/>
                <w:b/>
                <w:color w:val="auto"/>
                <w:kern w:val="2"/>
                <w:sz w:val="21"/>
                <w:szCs w:val="21"/>
              </w:rPr>
              <w:t>内容</w:t>
            </w:r>
            <w:bookmarkEnd w:id="23"/>
          </w:p>
          <w:p w14:paraId="7D49C566">
            <w:pPr>
              <w:pStyle w:val="25"/>
              <w:keepNext w:val="0"/>
              <w:keepLines w:val="0"/>
              <w:suppressLineNumbers w:val="0"/>
              <w:adjustRightInd w:val="0"/>
              <w:snapToGrid w:val="0"/>
              <w:spacing w:before="72" w:beforeLines="30" w:beforeAutospacing="0" w:after="0" w:afterAutospacing="0"/>
              <w:ind w:left="0" w:right="0"/>
              <w:jc w:val="center"/>
              <w:outlineLvl w:val="0"/>
              <w:rPr>
                <w:rFonts w:hint="default"/>
                <w:b/>
                <w:color w:val="auto"/>
                <w:kern w:val="2"/>
                <w:sz w:val="21"/>
                <w:szCs w:val="21"/>
              </w:rPr>
            </w:pPr>
            <w:r>
              <w:rPr>
                <w:rFonts w:hint="default"/>
                <w:b/>
                <w:color w:val="auto"/>
                <w:kern w:val="2"/>
                <w:sz w:val="21"/>
                <w:szCs w:val="21"/>
              </w:rPr>
              <w:t xml:space="preserve">           </w:t>
            </w:r>
            <w:r>
              <w:rPr>
                <w:rFonts w:hint="eastAsia"/>
                <w:b/>
                <w:color w:val="auto"/>
                <w:kern w:val="2"/>
                <w:sz w:val="21"/>
                <w:szCs w:val="21"/>
              </w:rPr>
              <w:t xml:space="preserve">       </w:t>
            </w:r>
          </w:p>
          <w:p w14:paraId="474F3CFD">
            <w:pPr>
              <w:pStyle w:val="25"/>
              <w:keepNext w:val="0"/>
              <w:keepLines w:val="0"/>
              <w:suppressLineNumbers w:val="0"/>
              <w:adjustRightInd w:val="0"/>
              <w:snapToGrid w:val="0"/>
              <w:spacing w:before="0" w:beforeAutospacing="0" w:after="0" w:afterAutospacing="0" w:line="14" w:lineRule="auto"/>
              <w:ind w:left="0" w:right="0"/>
              <w:outlineLvl w:val="0"/>
              <w:rPr>
                <w:rFonts w:hint="default"/>
                <w:b/>
                <w:color w:val="auto"/>
                <w:kern w:val="2"/>
                <w:sz w:val="135"/>
                <w:szCs w:val="21"/>
              </w:rPr>
            </w:pPr>
            <w:r>
              <w:rPr>
                <w:rFonts w:hint="default"/>
                <w:b/>
                <w:color w:val="auto"/>
                <w:kern w:val="2"/>
                <w:sz w:val="21"/>
                <w:szCs w:val="21"/>
              </w:rPr>
              <w:t xml:space="preserve"> </w:t>
            </w:r>
            <w:r>
              <w:rPr>
                <w:rFonts w:hint="default"/>
                <w:b/>
                <w:color w:val="auto"/>
                <w:kern w:val="2"/>
                <w:sz w:val="135"/>
                <w:szCs w:val="21"/>
              </w:rPr>
              <w:t xml:space="preserve"> </w:t>
            </w:r>
          </w:p>
          <w:p w14:paraId="4B9AB27E">
            <w:pPr>
              <w:pStyle w:val="25"/>
              <w:keepNext w:val="0"/>
              <w:keepLines w:val="0"/>
              <w:suppressLineNumbers w:val="0"/>
              <w:adjustRightInd w:val="0"/>
              <w:snapToGrid w:val="0"/>
              <w:spacing w:before="0" w:beforeAutospacing="0" w:after="0" w:afterAutospacing="0"/>
              <w:ind w:left="0" w:right="0"/>
              <w:outlineLvl w:val="0"/>
              <w:rPr>
                <w:rFonts w:hint="default"/>
                <w:b/>
                <w:color w:val="auto"/>
                <w:kern w:val="2"/>
                <w:sz w:val="21"/>
                <w:szCs w:val="21"/>
              </w:rPr>
            </w:pPr>
            <w:bookmarkStart w:id="24" w:name="_Toc103325995"/>
            <w:r>
              <w:rPr>
                <w:rFonts w:hint="default"/>
                <w:b/>
                <w:color w:val="auto"/>
                <w:kern w:val="2"/>
                <w:sz w:val="21"/>
                <w:szCs w:val="21"/>
              </w:rPr>
              <w:t>要素</w:t>
            </w:r>
            <w:bookmarkEnd w:id="24"/>
          </w:p>
        </w:tc>
        <w:tc>
          <w:tcPr>
            <w:tcW w:w="5671" w:type="dxa"/>
            <w:gridSpan w:val="2"/>
            <w:noWrap w:val="0"/>
            <w:vAlign w:val="center"/>
          </w:tcPr>
          <w:p w14:paraId="49DCE804">
            <w:pPr>
              <w:pStyle w:val="25"/>
              <w:keepNext w:val="0"/>
              <w:keepLines w:val="0"/>
              <w:suppressLineNumbers w:val="0"/>
              <w:adjustRightInd w:val="0"/>
              <w:snapToGrid w:val="0"/>
              <w:spacing w:before="0" w:beforeAutospacing="0" w:after="0" w:afterAutospacing="0"/>
              <w:ind w:left="0" w:right="0"/>
              <w:jc w:val="center"/>
              <w:outlineLvl w:val="0"/>
              <w:rPr>
                <w:rFonts w:hint="default"/>
                <w:b/>
                <w:color w:val="auto"/>
                <w:kern w:val="2"/>
                <w:sz w:val="21"/>
                <w:szCs w:val="21"/>
              </w:rPr>
            </w:pPr>
            <w:bookmarkStart w:id="25" w:name="_Toc103325996"/>
            <w:r>
              <w:rPr>
                <w:rFonts w:hint="default"/>
                <w:b/>
                <w:color w:val="auto"/>
                <w:kern w:val="2"/>
                <w:sz w:val="21"/>
                <w:szCs w:val="21"/>
              </w:rPr>
              <w:t>施工期</w:t>
            </w:r>
            <w:bookmarkEnd w:id="25"/>
          </w:p>
        </w:tc>
        <w:tc>
          <w:tcPr>
            <w:tcW w:w="1994" w:type="dxa"/>
            <w:gridSpan w:val="2"/>
            <w:noWrap w:val="0"/>
            <w:vAlign w:val="center"/>
          </w:tcPr>
          <w:p w14:paraId="5571789C">
            <w:pPr>
              <w:pStyle w:val="25"/>
              <w:keepNext w:val="0"/>
              <w:keepLines w:val="0"/>
              <w:suppressLineNumbers w:val="0"/>
              <w:adjustRightInd w:val="0"/>
              <w:snapToGrid w:val="0"/>
              <w:spacing w:before="0" w:beforeAutospacing="0" w:after="0" w:afterAutospacing="0"/>
              <w:ind w:left="0" w:right="0"/>
              <w:jc w:val="center"/>
              <w:outlineLvl w:val="0"/>
              <w:rPr>
                <w:rFonts w:hint="default"/>
                <w:b/>
                <w:color w:val="auto"/>
                <w:kern w:val="2"/>
                <w:sz w:val="21"/>
                <w:szCs w:val="21"/>
              </w:rPr>
            </w:pPr>
            <w:bookmarkStart w:id="26" w:name="_Toc103325997"/>
            <w:r>
              <w:rPr>
                <w:rFonts w:hint="default"/>
                <w:b/>
                <w:color w:val="auto"/>
                <w:kern w:val="2"/>
                <w:sz w:val="21"/>
                <w:szCs w:val="21"/>
              </w:rPr>
              <w:t>运营期</w:t>
            </w:r>
            <w:bookmarkEnd w:id="26"/>
          </w:p>
        </w:tc>
      </w:tr>
      <w:tr w14:paraId="1548EC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2" w:type="dxa"/>
            <w:vMerge w:val="continue"/>
            <w:noWrap w:val="0"/>
            <w:vAlign w:val="top"/>
          </w:tcPr>
          <w:p w14:paraId="5154BA85">
            <w:pPr>
              <w:pStyle w:val="25"/>
              <w:keepNext w:val="0"/>
              <w:keepLines w:val="0"/>
              <w:suppressLineNumbers w:val="0"/>
              <w:adjustRightInd w:val="0"/>
              <w:snapToGrid w:val="0"/>
              <w:spacing w:before="0" w:beforeAutospacing="0" w:after="0" w:afterAutospacing="0"/>
              <w:ind w:left="0" w:right="0" w:firstLine="840"/>
              <w:jc w:val="center"/>
              <w:outlineLvl w:val="0"/>
              <w:rPr>
                <w:rFonts w:hint="default"/>
                <w:b/>
                <w:color w:val="auto"/>
                <w:kern w:val="2"/>
                <w:sz w:val="21"/>
                <w:szCs w:val="21"/>
              </w:rPr>
            </w:pPr>
          </w:p>
        </w:tc>
        <w:tc>
          <w:tcPr>
            <w:tcW w:w="3191" w:type="dxa"/>
            <w:noWrap w:val="0"/>
            <w:vAlign w:val="center"/>
          </w:tcPr>
          <w:p w14:paraId="0C8ACDC5">
            <w:pPr>
              <w:pStyle w:val="25"/>
              <w:keepNext w:val="0"/>
              <w:keepLines w:val="0"/>
              <w:suppressLineNumbers w:val="0"/>
              <w:adjustRightInd w:val="0"/>
              <w:snapToGrid w:val="0"/>
              <w:spacing w:before="0" w:beforeAutospacing="0" w:after="0" w:afterAutospacing="0"/>
              <w:ind w:left="0" w:right="0"/>
              <w:jc w:val="center"/>
              <w:outlineLvl w:val="0"/>
              <w:rPr>
                <w:rFonts w:hint="default"/>
                <w:b/>
                <w:color w:val="auto"/>
                <w:kern w:val="2"/>
                <w:sz w:val="21"/>
                <w:szCs w:val="21"/>
              </w:rPr>
            </w:pPr>
            <w:bookmarkStart w:id="27" w:name="_Toc103325998"/>
            <w:r>
              <w:rPr>
                <w:rFonts w:hint="default"/>
                <w:b/>
                <w:color w:val="auto"/>
                <w:kern w:val="2"/>
                <w:sz w:val="21"/>
                <w:szCs w:val="21"/>
              </w:rPr>
              <w:t>环境保护措施</w:t>
            </w:r>
            <w:bookmarkEnd w:id="27"/>
          </w:p>
        </w:tc>
        <w:tc>
          <w:tcPr>
            <w:tcW w:w="2480" w:type="dxa"/>
            <w:noWrap w:val="0"/>
            <w:vAlign w:val="center"/>
          </w:tcPr>
          <w:p w14:paraId="4E797FF7">
            <w:pPr>
              <w:pStyle w:val="25"/>
              <w:keepNext w:val="0"/>
              <w:keepLines w:val="0"/>
              <w:suppressLineNumbers w:val="0"/>
              <w:adjustRightInd w:val="0"/>
              <w:snapToGrid w:val="0"/>
              <w:spacing w:before="0" w:beforeAutospacing="0" w:after="0" w:afterAutospacing="0"/>
              <w:ind w:left="0" w:right="0"/>
              <w:jc w:val="center"/>
              <w:outlineLvl w:val="0"/>
              <w:rPr>
                <w:rFonts w:hint="default"/>
                <w:b/>
                <w:color w:val="auto"/>
                <w:kern w:val="2"/>
                <w:sz w:val="21"/>
                <w:szCs w:val="21"/>
              </w:rPr>
            </w:pPr>
            <w:bookmarkStart w:id="28" w:name="_Toc103325999"/>
            <w:r>
              <w:rPr>
                <w:rFonts w:hint="default"/>
                <w:b/>
                <w:color w:val="auto"/>
                <w:kern w:val="2"/>
                <w:sz w:val="21"/>
                <w:szCs w:val="21"/>
              </w:rPr>
              <w:t>验收要求</w:t>
            </w:r>
            <w:bookmarkEnd w:id="28"/>
          </w:p>
        </w:tc>
        <w:tc>
          <w:tcPr>
            <w:tcW w:w="1029" w:type="dxa"/>
            <w:noWrap w:val="0"/>
            <w:vAlign w:val="center"/>
          </w:tcPr>
          <w:p w14:paraId="7C559B00">
            <w:pPr>
              <w:pStyle w:val="25"/>
              <w:keepNext w:val="0"/>
              <w:keepLines w:val="0"/>
              <w:suppressLineNumbers w:val="0"/>
              <w:adjustRightInd w:val="0"/>
              <w:snapToGrid w:val="0"/>
              <w:spacing w:before="0" w:beforeAutospacing="0" w:after="0" w:afterAutospacing="0"/>
              <w:ind w:left="0" w:right="0"/>
              <w:jc w:val="center"/>
              <w:outlineLvl w:val="0"/>
              <w:rPr>
                <w:rFonts w:hint="default"/>
                <w:b/>
                <w:color w:val="auto"/>
                <w:kern w:val="2"/>
                <w:sz w:val="21"/>
                <w:szCs w:val="21"/>
              </w:rPr>
            </w:pPr>
            <w:bookmarkStart w:id="29" w:name="_Toc103326000"/>
            <w:r>
              <w:rPr>
                <w:rFonts w:hint="default"/>
                <w:b/>
                <w:color w:val="auto"/>
                <w:kern w:val="2"/>
                <w:sz w:val="21"/>
                <w:szCs w:val="21"/>
              </w:rPr>
              <w:t>环境保护措施</w:t>
            </w:r>
            <w:bookmarkEnd w:id="29"/>
          </w:p>
        </w:tc>
        <w:tc>
          <w:tcPr>
            <w:tcW w:w="965" w:type="dxa"/>
            <w:noWrap w:val="0"/>
            <w:vAlign w:val="center"/>
          </w:tcPr>
          <w:p w14:paraId="603F9B7F">
            <w:pPr>
              <w:pStyle w:val="25"/>
              <w:keepNext w:val="0"/>
              <w:keepLines w:val="0"/>
              <w:suppressLineNumbers w:val="0"/>
              <w:adjustRightInd w:val="0"/>
              <w:snapToGrid w:val="0"/>
              <w:spacing w:before="0" w:beforeAutospacing="0" w:after="0" w:afterAutospacing="0"/>
              <w:ind w:left="0" w:right="0"/>
              <w:jc w:val="center"/>
              <w:outlineLvl w:val="0"/>
              <w:rPr>
                <w:rFonts w:hint="default"/>
                <w:b/>
                <w:color w:val="auto"/>
                <w:kern w:val="2"/>
                <w:sz w:val="21"/>
                <w:szCs w:val="21"/>
              </w:rPr>
            </w:pPr>
            <w:bookmarkStart w:id="30" w:name="_Toc103326001"/>
            <w:r>
              <w:rPr>
                <w:rFonts w:hint="default"/>
                <w:b/>
                <w:color w:val="auto"/>
                <w:kern w:val="2"/>
                <w:sz w:val="21"/>
                <w:szCs w:val="21"/>
              </w:rPr>
              <w:t>验收要求</w:t>
            </w:r>
            <w:bookmarkEnd w:id="30"/>
          </w:p>
        </w:tc>
      </w:tr>
      <w:tr w14:paraId="670863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1242" w:type="dxa"/>
            <w:vMerge w:val="restart"/>
            <w:noWrap w:val="0"/>
            <w:vAlign w:val="center"/>
          </w:tcPr>
          <w:p w14:paraId="457D06BD">
            <w:pPr>
              <w:keepNext w:val="0"/>
              <w:keepLines w:val="0"/>
              <w:suppressLineNumbers w:val="0"/>
              <w:adjustRightInd w:val="0"/>
              <w:snapToGrid w:val="0"/>
              <w:spacing w:before="0" w:beforeAutospacing="0" w:after="0" w:afterAutospacing="0"/>
              <w:ind w:left="0" w:right="0"/>
              <w:jc w:val="center"/>
              <w:rPr>
                <w:rFonts w:hint="default"/>
                <w:b/>
                <w:color w:val="auto"/>
                <w:szCs w:val="21"/>
              </w:rPr>
            </w:pPr>
            <w:r>
              <w:rPr>
                <w:rFonts w:hint="default"/>
                <w:b/>
                <w:color w:val="auto"/>
                <w:szCs w:val="21"/>
              </w:rPr>
              <w:t>陆生生态</w:t>
            </w:r>
          </w:p>
        </w:tc>
        <w:tc>
          <w:tcPr>
            <w:tcW w:w="3191" w:type="dxa"/>
            <w:noWrap w:val="0"/>
            <w:vAlign w:val="center"/>
          </w:tcPr>
          <w:p w14:paraId="5C3F4A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center"/>
              <w:rPr>
                <w:rFonts w:hint="eastAsia"/>
                <w:color w:val="auto"/>
                <w:szCs w:val="21"/>
                <w:lang w:eastAsia="zh-CN"/>
              </w:rPr>
            </w:pPr>
            <w:r>
              <w:rPr>
                <w:rFonts w:hint="eastAsia"/>
                <w:color w:val="auto"/>
                <w:szCs w:val="21"/>
                <w:lang w:eastAsia="zh-CN"/>
              </w:rPr>
              <w:t>本工程井场、进场道路实施表土剥离，剥离厚度为0.30m，土壤剥离、开挖、堆放；勘探施工结束后循序回填。</w:t>
            </w:r>
          </w:p>
          <w:p w14:paraId="0A1D7D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center"/>
              <w:rPr>
                <w:rFonts w:hint="eastAsia"/>
                <w:color w:val="auto"/>
                <w:szCs w:val="21"/>
                <w:lang w:eastAsia="zh-CN"/>
              </w:rPr>
            </w:pPr>
            <w:r>
              <w:rPr>
                <w:rFonts w:hint="eastAsia"/>
                <w:color w:val="auto"/>
                <w:szCs w:val="21"/>
                <w:lang w:eastAsia="zh-CN"/>
              </w:rPr>
              <w:t>表土堆存区：本工程实施表土剥离，剥离厚度为0.30m，土壤剥离、开挖、堆放；勘探施工结束后循序回填，翻耕复垦。</w:t>
            </w:r>
          </w:p>
          <w:p w14:paraId="608BBC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center"/>
              <w:rPr>
                <w:rFonts w:hint="eastAsia"/>
                <w:color w:val="auto"/>
                <w:szCs w:val="21"/>
                <w:lang w:eastAsia="zh-CN"/>
              </w:rPr>
            </w:pPr>
            <w:r>
              <w:rPr>
                <w:rFonts w:hint="eastAsia"/>
                <w:color w:val="auto"/>
                <w:szCs w:val="21"/>
                <w:lang w:eastAsia="zh-CN"/>
              </w:rPr>
              <w:t>原料堆存区、柴油储罐区、危废暂存区、固废临暂存区、泥浆不落地处理装置区、办公生活区：本工程实施表土剥离，剥离厚度为0.30m，土壤剥离、开挖、堆放；勘探施工结束后先拆除设备，再循序回填。</w:t>
            </w:r>
          </w:p>
          <w:p w14:paraId="6EA0A6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center"/>
              <w:rPr>
                <w:rFonts w:hint="eastAsia"/>
                <w:color w:val="auto"/>
                <w:szCs w:val="21"/>
                <w:lang w:eastAsia="zh-CN"/>
              </w:rPr>
            </w:pPr>
            <w:r>
              <w:rPr>
                <w:rFonts w:hint="eastAsia"/>
                <w:color w:val="auto"/>
                <w:szCs w:val="21"/>
                <w:lang w:eastAsia="zh-CN"/>
              </w:rPr>
              <w:t>临时道路：实施表土剥离，剥离厚度为0.30m，土壤剥离、开挖、堆放；勘探施工结束后循序回填，翻耕复垦。</w:t>
            </w:r>
          </w:p>
          <w:p w14:paraId="62796A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center"/>
              <w:rPr>
                <w:rFonts w:hint="default"/>
                <w:color w:val="auto"/>
                <w:szCs w:val="21"/>
                <w:lang w:eastAsia="zh-CN"/>
              </w:rPr>
            </w:pPr>
          </w:p>
        </w:tc>
        <w:tc>
          <w:tcPr>
            <w:tcW w:w="2480" w:type="dxa"/>
            <w:noWrap w:val="0"/>
            <w:vAlign w:val="center"/>
          </w:tcPr>
          <w:p w14:paraId="16EA041B">
            <w:pPr>
              <w:keepNext w:val="0"/>
              <w:keepLines w:val="0"/>
              <w:suppressLineNumbers w:val="0"/>
              <w:adjustRightInd w:val="0"/>
              <w:snapToGrid w:val="0"/>
              <w:spacing w:before="0" w:beforeAutospacing="0" w:after="0" w:afterAutospacing="0"/>
              <w:ind w:left="0" w:right="0"/>
              <w:jc w:val="center"/>
              <w:rPr>
                <w:rFonts w:hint="eastAsia"/>
                <w:color w:val="auto"/>
                <w:szCs w:val="21"/>
                <w:lang w:eastAsia="zh-CN"/>
              </w:rPr>
            </w:pPr>
            <w:r>
              <w:rPr>
                <w:rFonts w:hint="eastAsia"/>
                <w:color w:val="auto"/>
                <w:szCs w:val="21"/>
                <w:lang w:eastAsia="zh-CN"/>
              </w:rPr>
              <w:t>本工程井场、进场道路实施表土剥离，剥离厚度为0.30m，土壤剥离、开挖、堆放；勘探施工结束后循序回填。</w:t>
            </w:r>
          </w:p>
          <w:p w14:paraId="3EECA3D7">
            <w:pPr>
              <w:keepNext w:val="0"/>
              <w:keepLines w:val="0"/>
              <w:suppressLineNumbers w:val="0"/>
              <w:adjustRightInd w:val="0"/>
              <w:snapToGrid w:val="0"/>
              <w:spacing w:before="0" w:beforeAutospacing="0" w:after="0" w:afterAutospacing="0"/>
              <w:ind w:left="0" w:right="0"/>
              <w:jc w:val="center"/>
              <w:rPr>
                <w:rFonts w:hint="eastAsia"/>
                <w:color w:val="auto"/>
                <w:szCs w:val="21"/>
                <w:lang w:eastAsia="zh-CN"/>
              </w:rPr>
            </w:pPr>
            <w:r>
              <w:rPr>
                <w:rFonts w:hint="eastAsia"/>
                <w:color w:val="auto"/>
                <w:szCs w:val="21"/>
                <w:lang w:eastAsia="zh-CN"/>
              </w:rPr>
              <w:t>表土堆存区：本工程实施表土剥离，剥离厚度为0.30m，土壤剥离、开挖、堆放；勘探施工结束后循序回填，翻耕复垦。</w:t>
            </w:r>
          </w:p>
          <w:p w14:paraId="14B9F897">
            <w:pPr>
              <w:keepNext w:val="0"/>
              <w:keepLines w:val="0"/>
              <w:suppressLineNumbers w:val="0"/>
              <w:adjustRightInd w:val="0"/>
              <w:snapToGrid w:val="0"/>
              <w:spacing w:before="0" w:beforeAutospacing="0" w:after="0" w:afterAutospacing="0"/>
              <w:ind w:left="0" w:right="0"/>
              <w:jc w:val="center"/>
              <w:rPr>
                <w:rFonts w:hint="eastAsia"/>
                <w:color w:val="auto"/>
                <w:szCs w:val="21"/>
                <w:lang w:eastAsia="zh-CN"/>
              </w:rPr>
            </w:pPr>
            <w:r>
              <w:rPr>
                <w:rFonts w:hint="eastAsia"/>
                <w:color w:val="auto"/>
                <w:szCs w:val="21"/>
                <w:lang w:eastAsia="zh-CN"/>
              </w:rPr>
              <w:t>原料堆存区、柴油储罐区、危废暂存区、固废临暂存区、泥浆不落地处理装置区、办公生活区：本工程实施表土剥离，剥离厚度为0.30m，土壤剥离、开挖、堆放；勘探施工结束后先拆除设备，再循序回填。</w:t>
            </w:r>
          </w:p>
          <w:p w14:paraId="7281CEC9">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1029" w:type="dxa"/>
            <w:noWrap w:val="0"/>
            <w:vAlign w:val="center"/>
          </w:tcPr>
          <w:p w14:paraId="00581654">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c>
          <w:tcPr>
            <w:tcW w:w="965" w:type="dxa"/>
            <w:noWrap w:val="0"/>
            <w:vAlign w:val="center"/>
          </w:tcPr>
          <w:p w14:paraId="5722BB22">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r>
      <w:tr w14:paraId="1A1D6F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1242" w:type="dxa"/>
            <w:vMerge w:val="continue"/>
            <w:noWrap w:val="0"/>
            <w:vAlign w:val="center"/>
          </w:tcPr>
          <w:p w14:paraId="7FF2929A">
            <w:pPr>
              <w:keepNext w:val="0"/>
              <w:keepLines w:val="0"/>
              <w:suppressLineNumbers w:val="0"/>
              <w:adjustRightInd w:val="0"/>
              <w:snapToGrid w:val="0"/>
              <w:spacing w:before="0" w:beforeAutospacing="0" w:after="0" w:afterAutospacing="0"/>
              <w:ind w:left="0" w:right="0"/>
              <w:jc w:val="center"/>
              <w:rPr>
                <w:rFonts w:hint="default"/>
                <w:b/>
                <w:color w:val="auto"/>
                <w:szCs w:val="21"/>
              </w:rPr>
            </w:pPr>
          </w:p>
        </w:tc>
        <w:tc>
          <w:tcPr>
            <w:tcW w:w="3191" w:type="dxa"/>
            <w:noWrap w:val="0"/>
            <w:vAlign w:val="center"/>
          </w:tcPr>
          <w:p w14:paraId="054D27F9">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严格限制施工作业范围，禁止破坏施工作业外的地表植被。</w:t>
            </w:r>
          </w:p>
        </w:tc>
        <w:tc>
          <w:tcPr>
            <w:tcW w:w="2480" w:type="dxa"/>
            <w:vMerge w:val="restart"/>
            <w:noWrap w:val="0"/>
            <w:vAlign w:val="center"/>
          </w:tcPr>
          <w:p w14:paraId="01C976DB">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勘探完毕临时用地全部恢复，土地复垦率100%</w:t>
            </w:r>
          </w:p>
        </w:tc>
        <w:tc>
          <w:tcPr>
            <w:tcW w:w="1029" w:type="dxa"/>
            <w:noWrap w:val="0"/>
            <w:vAlign w:val="center"/>
          </w:tcPr>
          <w:p w14:paraId="1BFF5D38">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c>
          <w:tcPr>
            <w:tcW w:w="965" w:type="dxa"/>
            <w:noWrap w:val="0"/>
            <w:vAlign w:val="center"/>
          </w:tcPr>
          <w:p w14:paraId="6581750D">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r>
      <w:tr w14:paraId="5EEC79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1242" w:type="dxa"/>
            <w:vMerge w:val="continue"/>
            <w:noWrap w:val="0"/>
            <w:vAlign w:val="center"/>
          </w:tcPr>
          <w:p w14:paraId="13E4342E">
            <w:pPr>
              <w:keepNext w:val="0"/>
              <w:keepLines w:val="0"/>
              <w:suppressLineNumbers w:val="0"/>
              <w:adjustRightInd w:val="0"/>
              <w:snapToGrid w:val="0"/>
              <w:spacing w:before="0" w:beforeAutospacing="0" w:after="0" w:afterAutospacing="0"/>
              <w:ind w:left="0" w:right="0"/>
              <w:jc w:val="center"/>
              <w:rPr>
                <w:rFonts w:hint="default"/>
                <w:b/>
                <w:color w:val="auto"/>
                <w:szCs w:val="21"/>
              </w:rPr>
            </w:pPr>
          </w:p>
        </w:tc>
        <w:tc>
          <w:tcPr>
            <w:tcW w:w="3191" w:type="dxa"/>
            <w:noWrap w:val="0"/>
            <w:vAlign w:val="center"/>
          </w:tcPr>
          <w:p w14:paraId="1011C0AC">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完钻后对井场临时占地恢复原貌，以恢复</w:t>
            </w:r>
            <w:r>
              <w:rPr>
                <w:rFonts w:hint="eastAsia"/>
                <w:color w:val="auto"/>
                <w:szCs w:val="21"/>
                <w:lang w:eastAsia="zh-CN"/>
              </w:rPr>
              <w:t>耕地</w:t>
            </w:r>
            <w:r>
              <w:rPr>
                <w:rFonts w:hint="default"/>
                <w:color w:val="auto"/>
                <w:szCs w:val="21"/>
              </w:rPr>
              <w:t>为主</w:t>
            </w:r>
            <w:r>
              <w:rPr>
                <w:rFonts w:hint="eastAsia"/>
                <w:color w:val="auto"/>
                <w:szCs w:val="21"/>
              </w:rPr>
              <w:t>。</w:t>
            </w:r>
          </w:p>
        </w:tc>
        <w:tc>
          <w:tcPr>
            <w:tcW w:w="2480" w:type="dxa"/>
            <w:vMerge w:val="continue"/>
            <w:noWrap w:val="0"/>
            <w:vAlign w:val="center"/>
          </w:tcPr>
          <w:p w14:paraId="0B2EAFCA">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1029" w:type="dxa"/>
            <w:noWrap w:val="0"/>
            <w:vAlign w:val="center"/>
          </w:tcPr>
          <w:p w14:paraId="59C4215D">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c>
          <w:tcPr>
            <w:tcW w:w="965" w:type="dxa"/>
            <w:noWrap w:val="0"/>
            <w:vAlign w:val="center"/>
          </w:tcPr>
          <w:p w14:paraId="47E7AD57">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r>
      <w:tr w14:paraId="7F2D2D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242" w:type="dxa"/>
            <w:noWrap w:val="0"/>
            <w:vAlign w:val="center"/>
          </w:tcPr>
          <w:p w14:paraId="2D3D3684">
            <w:pPr>
              <w:keepNext w:val="0"/>
              <w:keepLines w:val="0"/>
              <w:suppressLineNumbers w:val="0"/>
              <w:adjustRightInd w:val="0"/>
              <w:snapToGrid w:val="0"/>
              <w:spacing w:before="0" w:beforeAutospacing="0" w:after="0" w:afterAutospacing="0"/>
              <w:ind w:left="0" w:right="0"/>
              <w:jc w:val="center"/>
              <w:rPr>
                <w:rFonts w:hint="default"/>
                <w:b/>
                <w:color w:val="auto"/>
                <w:szCs w:val="21"/>
              </w:rPr>
            </w:pPr>
            <w:r>
              <w:rPr>
                <w:rFonts w:hint="default"/>
                <w:b/>
                <w:color w:val="auto"/>
                <w:szCs w:val="21"/>
              </w:rPr>
              <w:t>水生生态</w:t>
            </w:r>
          </w:p>
        </w:tc>
        <w:tc>
          <w:tcPr>
            <w:tcW w:w="3191" w:type="dxa"/>
            <w:noWrap w:val="0"/>
            <w:vAlign w:val="center"/>
          </w:tcPr>
          <w:p w14:paraId="30940FA6">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c>
          <w:tcPr>
            <w:tcW w:w="2480" w:type="dxa"/>
            <w:noWrap w:val="0"/>
            <w:vAlign w:val="center"/>
          </w:tcPr>
          <w:p w14:paraId="744B480E">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c>
          <w:tcPr>
            <w:tcW w:w="1029" w:type="dxa"/>
            <w:noWrap w:val="0"/>
            <w:vAlign w:val="center"/>
          </w:tcPr>
          <w:p w14:paraId="106A273A">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c>
          <w:tcPr>
            <w:tcW w:w="965" w:type="dxa"/>
            <w:noWrap w:val="0"/>
            <w:vAlign w:val="center"/>
          </w:tcPr>
          <w:p w14:paraId="40AE4E0D">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r>
      <w:tr w14:paraId="77DCC3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242" w:type="dxa"/>
            <w:vMerge w:val="restart"/>
            <w:noWrap w:val="0"/>
            <w:vAlign w:val="center"/>
          </w:tcPr>
          <w:p w14:paraId="75072221">
            <w:pPr>
              <w:keepNext w:val="0"/>
              <w:keepLines w:val="0"/>
              <w:suppressLineNumbers w:val="0"/>
              <w:adjustRightInd w:val="0"/>
              <w:snapToGrid w:val="0"/>
              <w:spacing w:before="0" w:beforeAutospacing="0" w:after="0" w:afterAutospacing="0"/>
              <w:ind w:left="0" w:right="0"/>
              <w:jc w:val="center"/>
              <w:rPr>
                <w:rFonts w:hint="default"/>
                <w:b/>
                <w:color w:val="auto"/>
                <w:szCs w:val="21"/>
              </w:rPr>
            </w:pPr>
            <w:r>
              <w:rPr>
                <w:rFonts w:hint="default"/>
                <w:b/>
                <w:color w:val="auto"/>
                <w:szCs w:val="21"/>
              </w:rPr>
              <w:t>地表水环境</w:t>
            </w:r>
          </w:p>
        </w:tc>
        <w:tc>
          <w:tcPr>
            <w:tcW w:w="3191" w:type="dxa"/>
            <w:noWrap w:val="0"/>
            <w:vAlign w:val="center"/>
          </w:tcPr>
          <w:p w14:paraId="503336FB">
            <w:pPr>
              <w:keepNext w:val="0"/>
              <w:keepLines w:val="0"/>
              <w:suppressLineNumbers w:val="0"/>
              <w:adjustRightInd w:val="0"/>
              <w:snapToGrid w:val="0"/>
              <w:spacing w:before="0" w:beforeAutospacing="0" w:after="0" w:afterAutospacing="0"/>
              <w:ind w:left="0" w:right="0"/>
              <w:jc w:val="center"/>
              <w:rPr>
                <w:rFonts w:hint="eastAsia" w:eastAsia="宋体"/>
                <w:color w:val="auto"/>
                <w:szCs w:val="21"/>
                <w:lang w:eastAsia="zh-CN"/>
              </w:rPr>
            </w:pPr>
            <w:r>
              <w:rPr>
                <w:rFonts w:hint="eastAsia"/>
                <w:bCs/>
                <w:color w:val="auto"/>
                <w:szCs w:val="21"/>
              </w:rPr>
              <w:t>钻井泥浆采用泥浆不落地工艺系统处理后，分离出的钻井废水拉运至吉兰泰联合站采出水处理系统，处理达标后回注现役油气藏</w:t>
            </w:r>
            <w:r>
              <w:rPr>
                <w:rFonts w:hint="eastAsia"/>
                <w:bCs/>
                <w:color w:val="auto"/>
                <w:szCs w:val="21"/>
                <w:lang w:eastAsia="zh-CN"/>
              </w:rPr>
              <w:t>。</w:t>
            </w:r>
          </w:p>
        </w:tc>
        <w:tc>
          <w:tcPr>
            <w:tcW w:w="2480" w:type="dxa"/>
            <w:vMerge w:val="restart"/>
            <w:noWrap w:val="0"/>
            <w:vAlign w:val="center"/>
          </w:tcPr>
          <w:p w14:paraId="45DBAD58">
            <w:pPr>
              <w:keepNext w:val="0"/>
              <w:keepLines w:val="0"/>
              <w:suppressLineNumbers w:val="0"/>
              <w:adjustRightInd w:val="0"/>
              <w:snapToGrid w:val="0"/>
              <w:spacing w:before="0" w:beforeAutospacing="0" w:after="0" w:afterAutospacing="0"/>
              <w:ind w:left="0" w:right="0"/>
              <w:jc w:val="center"/>
              <w:rPr>
                <w:rFonts w:hint="eastAsia" w:eastAsia="宋体"/>
                <w:color w:val="auto"/>
                <w:szCs w:val="21"/>
                <w:lang w:eastAsia="zh-CN"/>
              </w:rPr>
            </w:pPr>
            <w:r>
              <w:rPr>
                <w:rFonts w:hint="eastAsia"/>
                <w:color w:val="auto"/>
                <w:szCs w:val="21"/>
              </w:rPr>
              <w:t>落实措施，废水均得到有效处置</w:t>
            </w:r>
            <w:r>
              <w:rPr>
                <w:rFonts w:hint="eastAsia"/>
                <w:color w:val="auto"/>
                <w:szCs w:val="21"/>
                <w:lang w:eastAsia="zh-CN"/>
              </w:rPr>
              <w:t>，不排放到外环境</w:t>
            </w:r>
          </w:p>
        </w:tc>
        <w:tc>
          <w:tcPr>
            <w:tcW w:w="1029" w:type="dxa"/>
            <w:noWrap w:val="0"/>
            <w:vAlign w:val="center"/>
          </w:tcPr>
          <w:p w14:paraId="26F4C316">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c>
          <w:tcPr>
            <w:tcW w:w="965" w:type="dxa"/>
            <w:noWrap w:val="0"/>
            <w:vAlign w:val="center"/>
          </w:tcPr>
          <w:p w14:paraId="03CC28D6">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r>
      <w:tr w14:paraId="3CD450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242" w:type="dxa"/>
            <w:vMerge w:val="continue"/>
            <w:noWrap w:val="0"/>
            <w:vAlign w:val="center"/>
          </w:tcPr>
          <w:p w14:paraId="78324F50">
            <w:pPr>
              <w:keepNext w:val="0"/>
              <w:keepLines w:val="0"/>
              <w:suppressLineNumbers w:val="0"/>
              <w:adjustRightInd w:val="0"/>
              <w:snapToGrid w:val="0"/>
              <w:spacing w:before="0" w:beforeAutospacing="0" w:after="0" w:afterAutospacing="0"/>
              <w:ind w:left="0" w:right="0"/>
              <w:jc w:val="center"/>
              <w:rPr>
                <w:rFonts w:hint="default"/>
                <w:b/>
                <w:color w:val="auto"/>
                <w:szCs w:val="21"/>
              </w:rPr>
            </w:pPr>
          </w:p>
        </w:tc>
        <w:tc>
          <w:tcPr>
            <w:tcW w:w="3191" w:type="dxa"/>
            <w:noWrap w:val="0"/>
            <w:vAlign w:val="center"/>
          </w:tcPr>
          <w:p w14:paraId="11324110">
            <w:pPr>
              <w:keepNext w:val="0"/>
              <w:keepLines w:val="0"/>
              <w:suppressLineNumbers w:val="0"/>
              <w:adjustRightInd w:val="0"/>
              <w:snapToGrid w:val="0"/>
              <w:spacing w:before="0" w:beforeAutospacing="0" w:after="0" w:afterAutospacing="0"/>
              <w:ind w:left="0" w:right="0"/>
              <w:jc w:val="center"/>
              <w:rPr>
                <w:rFonts w:hint="eastAsia"/>
                <w:color w:val="auto"/>
                <w:szCs w:val="21"/>
              </w:rPr>
            </w:pPr>
            <w:r>
              <w:rPr>
                <w:rFonts w:hint="default"/>
                <w:color w:val="auto"/>
                <w:szCs w:val="21"/>
              </w:rPr>
              <w:t>生活污水降尘，井场设置</w:t>
            </w:r>
            <w:r>
              <w:rPr>
                <w:rFonts w:hint="eastAsia"/>
                <w:color w:val="auto"/>
                <w:szCs w:val="21"/>
                <w:lang w:eastAsia="zh-CN"/>
              </w:rPr>
              <w:t>环保厕所</w:t>
            </w:r>
            <w:r>
              <w:rPr>
                <w:rFonts w:hint="default"/>
                <w:color w:val="auto"/>
                <w:szCs w:val="21"/>
              </w:rPr>
              <w:t>，定期清掏。</w:t>
            </w:r>
          </w:p>
        </w:tc>
        <w:tc>
          <w:tcPr>
            <w:tcW w:w="2480" w:type="dxa"/>
            <w:vMerge w:val="continue"/>
            <w:noWrap w:val="0"/>
            <w:vAlign w:val="center"/>
          </w:tcPr>
          <w:p w14:paraId="33574413">
            <w:pPr>
              <w:keepNext w:val="0"/>
              <w:keepLines w:val="0"/>
              <w:suppressLineNumbers w:val="0"/>
              <w:adjustRightInd w:val="0"/>
              <w:snapToGrid w:val="0"/>
              <w:spacing w:before="0" w:beforeAutospacing="0" w:after="0" w:afterAutospacing="0"/>
              <w:ind w:left="0" w:right="0"/>
              <w:jc w:val="center"/>
              <w:rPr>
                <w:rFonts w:hint="eastAsia"/>
                <w:color w:val="auto"/>
                <w:szCs w:val="21"/>
              </w:rPr>
            </w:pPr>
          </w:p>
        </w:tc>
        <w:tc>
          <w:tcPr>
            <w:tcW w:w="1029" w:type="dxa"/>
            <w:noWrap w:val="0"/>
            <w:vAlign w:val="center"/>
          </w:tcPr>
          <w:p w14:paraId="383F8ADC">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c>
          <w:tcPr>
            <w:tcW w:w="965" w:type="dxa"/>
            <w:noWrap w:val="0"/>
            <w:vAlign w:val="center"/>
          </w:tcPr>
          <w:p w14:paraId="2DC78918">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r>
      <w:tr w14:paraId="6A16B0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26" w:hRule="atLeast"/>
          <w:jc w:val="center"/>
        </w:trPr>
        <w:tc>
          <w:tcPr>
            <w:tcW w:w="1242" w:type="dxa"/>
            <w:noWrap w:val="0"/>
            <w:vAlign w:val="center"/>
          </w:tcPr>
          <w:p w14:paraId="7CEAC3D7">
            <w:pPr>
              <w:keepNext w:val="0"/>
              <w:keepLines w:val="0"/>
              <w:suppressLineNumbers w:val="0"/>
              <w:adjustRightInd w:val="0"/>
              <w:snapToGrid w:val="0"/>
              <w:spacing w:before="0" w:beforeAutospacing="0" w:after="0" w:afterAutospacing="0"/>
              <w:ind w:left="0" w:right="0"/>
              <w:jc w:val="center"/>
              <w:rPr>
                <w:rFonts w:hint="default"/>
                <w:b/>
                <w:color w:val="auto"/>
                <w:szCs w:val="21"/>
              </w:rPr>
            </w:pPr>
            <w:r>
              <w:rPr>
                <w:rFonts w:hint="default"/>
                <w:b/>
                <w:color w:val="auto"/>
                <w:szCs w:val="21"/>
              </w:rPr>
              <w:t>地下水及土壤环境</w:t>
            </w:r>
          </w:p>
        </w:tc>
        <w:tc>
          <w:tcPr>
            <w:tcW w:w="3191" w:type="dxa"/>
            <w:noWrap w:val="0"/>
            <w:vAlign w:val="center"/>
          </w:tcPr>
          <w:p w14:paraId="68A4A8FE">
            <w:pPr>
              <w:keepNext w:val="0"/>
              <w:keepLines w:val="0"/>
              <w:suppressLineNumbers w:val="0"/>
              <w:adjustRightInd w:val="0"/>
              <w:snapToGrid w:val="0"/>
              <w:spacing w:before="0" w:beforeAutospacing="0" w:after="0" w:afterAutospacing="0"/>
              <w:ind w:left="0" w:right="0"/>
              <w:rPr>
                <w:rFonts w:hint="default"/>
                <w:color w:val="auto"/>
                <w:szCs w:val="21"/>
              </w:rPr>
            </w:pPr>
            <w:r>
              <w:rPr>
                <w:rFonts w:hint="eastAsia"/>
                <w:bCs/>
                <w:color w:val="auto"/>
              </w:rPr>
              <w:t>水泥返深、井控措施、固井措施、分区防渗</w:t>
            </w:r>
          </w:p>
        </w:tc>
        <w:tc>
          <w:tcPr>
            <w:tcW w:w="2480" w:type="dxa"/>
            <w:noWrap w:val="0"/>
            <w:tcMar>
              <w:left w:w="0" w:type="dxa"/>
              <w:right w:w="0" w:type="dxa"/>
            </w:tcMar>
            <w:vAlign w:val="center"/>
          </w:tcPr>
          <w:p w14:paraId="0BF65C7F">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《环境影响评价技术导 则地下水环境》（HJ610-2016）和《石油化工工程防渗技术规范》（GB/T50934-2013）的相关要求，危废</w:t>
            </w:r>
            <w:r>
              <w:rPr>
                <w:rFonts w:hint="eastAsia"/>
                <w:color w:val="auto"/>
                <w:szCs w:val="21"/>
              </w:rPr>
              <w:t>暂存</w:t>
            </w:r>
            <w:r>
              <w:rPr>
                <w:rFonts w:hint="default"/>
                <w:color w:val="auto"/>
                <w:szCs w:val="21"/>
              </w:rPr>
              <w:t>间，防渗同时可满足《危险废物贮存污染控制标准》（GB18597-20</w:t>
            </w:r>
            <w:r>
              <w:rPr>
                <w:rFonts w:hint="eastAsia"/>
                <w:color w:val="auto"/>
                <w:szCs w:val="21"/>
              </w:rPr>
              <w:t>23</w:t>
            </w:r>
            <w:r>
              <w:rPr>
                <w:rFonts w:hint="default"/>
                <w:color w:val="auto"/>
                <w:szCs w:val="21"/>
              </w:rPr>
              <w:t>）相关要求</w:t>
            </w:r>
          </w:p>
        </w:tc>
        <w:tc>
          <w:tcPr>
            <w:tcW w:w="1029" w:type="dxa"/>
            <w:noWrap w:val="0"/>
            <w:vAlign w:val="center"/>
          </w:tcPr>
          <w:p w14:paraId="45AF1099">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c>
          <w:tcPr>
            <w:tcW w:w="965" w:type="dxa"/>
            <w:noWrap w:val="0"/>
            <w:vAlign w:val="center"/>
          </w:tcPr>
          <w:p w14:paraId="463ABD27">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r>
      <w:tr w14:paraId="07B3E3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1242" w:type="dxa"/>
            <w:noWrap w:val="0"/>
            <w:vAlign w:val="center"/>
          </w:tcPr>
          <w:p w14:paraId="61F457B8">
            <w:pPr>
              <w:keepNext w:val="0"/>
              <w:keepLines w:val="0"/>
              <w:suppressLineNumbers w:val="0"/>
              <w:adjustRightInd w:val="0"/>
              <w:snapToGrid w:val="0"/>
              <w:spacing w:before="0" w:beforeAutospacing="0" w:after="0" w:afterAutospacing="0"/>
              <w:ind w:left="0" w:right="0"/>
              <w:jc w:val="center"/>
              <w:rPr>
                <w:rFonts w:hint="default"/>
                <w:b/>
                <w:color w:val="auto"/>
                <w:szCs w:val="21"/>
              </w:rPr>
            </w:pPr>
            <w:r>
              <w:rPr>
                <w:rFonts w:hint="default"/>
                <w:b/>
                <w:color w:val="auto"/>
                <w:szCs w:val="21"/>
              </w:rPr>
              <w:t>声环境</w:t>
            </w:r>
          </w:p>
        </w:tc>
        <w:tc>
          <w:tcPr>
            <w:tcW w:w="3191" w:type="dxa"/>
            <w:noWrap w:val="0"/>
            <w:vAlign w:val="center"/>
          </w:tcPr>
          <w:p w14:paraId="61B091B9">
            <w:pPr>
              <w:keepNext w:val="0"/>
              <w:keepLines w:val="0"/>
              <w:suppressLineNumbers w:val="0"/>
              <w:adjustRightInd w:val="0"/>
              <w:snapToGrid w:val="0"/>
              <w:spacing w:before="0" w:beforeAutospacing="0" w:after="0" w:afterAutospacing="0"/>
              <w:ind w:left="0" w:right="0"/>
              <w:jc w:val="left"/>
              <w:rPr>
                <w:rFonts w:hint="eastAsia"/>
                <w:color w:val="auto"/>
                <w:szCs w:val="21"/>
              </w:rPr>
            </w:pPr>
            <w:r>
              <w:rPr>
                <w:rFonts w:hint="eastAsia"/>
                <w:color w:val="auto"/>
                <w:szCs w:val="21"/>
              </w:rPr>
              <w:t>1、泥浆泵等主要噪声源设置减振基础，定期维护保养</w:t>
            </w:r>
          </w:p>
          <w:p w14:paraId="2697A1AA">
            <w:pPr>
              <w:keepNext w:val="0"/>
              <w:keepLines w:val="0"/>
              <w:suppressLineNumbers w:val="0"/>
              <w:adjustRightInd w:val="0"/>
              <w:snapToGrid w:val="0"/>
              <w:spacing w:before="0" w:beforeAutospacing="0" w:after="0" w:afterAutospacing="0"/>
              <w:ind w:left="0" w:right="0"/>
              <w:jc w:val="left"/>
              <w:rPr>
                <w:rFonts w:hint="default"/>
                <w:color w:val="auto"/>
                <w:szCs w:val="21"/>
              </w:rPr>
            </w:pPr>
            <w:r>
              <w:rPr>
                <w:rFonts w:hint="eastAsia"/>
                <w:color w:val="auto"/>
                <w:szCs w:val="21"/>
              </w:rPr>
              <w:t>2、加强施工管理工作，车辆减速慢行</w:t>
            </w:r>
          </w:p>
        </w:tc>
        <w:tc>
          <w:tcPr>
            <w:tcW w:w="2480" w:type="dxa"/>
            <w:noWrap w:val="0"/>
            <w:vAlign w:val="center"/>
          </w:tcPr>
          <w:p w14:paraId="670BB2E1">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厂界噪声满足《建筑施工场界环境噪声排放标准》（GB12523-2011）</w:t>
            </w:r>
            <w:r>
              <w:rPr>
                <w:rFonts w:hint="eastAsia"/>
                <w:color w:val="auto"/>
                <w:szCs w:val="21"/>
                <w:lang w:eastAsia="zh-CN"/>
              </w:rPr>
              <w:t>中限值</w:t>
            </w:r>
            <w:r>
              <w:rPr>
                <w:rFonts w:hint="eastAsia"/>
                <w:color w:val="auto"/>
                <w:szCs w:val="21"/>
              </w:rPr>
              <w:t>，</w:t>
            </w:r>
            <w:r>
              <w:rPr>
                <w:rFonts w:hint="default"/>
                <w:color w:val="auto"/>
                <w:szCs w:val="21"/>
              </w:rPr>
              <w:t>未发生扰民事件</w:t>
            </w:r>
          </w:p>
        </w:tc>
        <w:tc>
          <w:tcPr>
            <w:tcW w:w="1029" w:type="dxa"/>
            <w:noWrap w:val="0"/>
            <w:vAlign w:val="center"/>
          </w:tcPr>
          <w:p w14:paraId="65B3F8DB">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c>
          <w:tcPr>
            <w:tcW w:w="965" w:type="dxa"/>
            <w:noWrap w:val="0"/>
            <w:vAlign w:val="center"/>
          </w:tcPr>
          <w:p w14:paraId="156EA93E">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r>
      <w:tr w14:paraId="04F63E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242" w:type="dxa"/>
            <w:noWrap w:val="0"/>
            <w:vAlign w:val="center"/>
          </w:tcPr>
          <w:p w14:paraId="05CCC05C">
            <w:pPr>
              <w:keepNext w:val="0"/>
              <w:keepLines w:val="0"/>
              <w:suppressLineNumbers w:val="0"/>
              <w:adjustRightInd w:val="0"/>
              <w:snapToGrid w:val="0"/>
              <w:spacing w:before="0" w:beforeAutospacing="0" w:after="0" w:afterAutospacing="0"/>
              <w:ind w:left="0" w:right="0"/>
              <w:jc w:val="center"/>
              <w:rPr>
                <w:rFonts w:hint="default"/>
                <w:b/>
                <w:color w:val="auto"/>
                <w:szCs w:val="21"/>
              </w:rPr>
            </w:pPr>
            <w:r>
              <w:rPr>
                <w:rFonts w:hint="default"/>
                <w:b/>
                <w:color w:val="auto"/>
                <w:szCs w:val="21"/>
              </w:rPr>
              <w:t>振动</w:t>
            </w:r>
          </w:p>
        </w:tc>
        <w:tc>
          <w:tcPr>
            <w:tcW w:w="3191" w:type="dxa"/>
            <w:noWrap w:val="0"/>
            <w:vAlign w:val="center"/>
          </w:tcPr>
          <w:p w14:paraId="346289A1">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c>
          <w:tcPr>
            <w:tcW w:w="2480" w:type="dxa"/>
            <w:noWrap w:val="0"/>
            <w:vAlign w:val="center"/>
          </w:tcPr>
          <w:p w14:paraId="6EB34AA0">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c>
          <w:tcPr>
            <w:tcW w:w="1029" w:type="dxa"/>
            <w:noWrap w:val="0"/>
            <w:vAlign w:val="center"/>
          </w:tcPr>
          <w:p w14:paraId="0BEB9368">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c>
          <w:tcPr>
            <w:tcW w:w="965" w:type="dxa"/>
            <w:noWrap w:val="0"/>
            <w:vAlign w:val="center"/>
          </w:tcPr>
          <w:p w14:paraId="74E9AD9E">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r>
      <w:tr w14:paraId="7BE55E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7" w:hRule="atLeast"/>
          <w:jc w:val="center"/>
        </w:trPr>
        <w:tc>
          <w:tcPr>
            <w:tcW w:w="1242" w:type="dxa"/>
            <w:vMerge w:val="restart"/>
            <w:noWrap w:val="0"/>
            <w:vAlign w:val="center"/>
          </w:tcPr>
          <w:p w14:paraId="711C9418">
            <w:pPr>
              <w:keepNext w:val="0"/>
              <w:keepLines w:val="0"/>
              <w:suppressLineNumbers w:val="0"/>
              <w:adjustRightInd w:val="0"/>
              <w:snapToGrid w:val="0"/>
              <w:spacing w:before="0" w:beforeAutospacing="0" w:after="0" w:afterAutospacing="0"/>
              <w:ind w:left="0" w:right="0"/>
              <w:jc w:val="center"/>
              <w:rPr>
                <w:rFonts w:hint="default"/>
                <w:b/>
                <w:color w:val="auto"/>
                <w:szCs w:val="21"/>
              </w:rPr>
            </w:pPr>
            <w:r>
              <w:rPr>
                <w:rFonts w:hint="default"/>
                <w:b/>
                <w:color w:val="auto"/>
                <w:szCs w:val="21"/>
              </w:rPr>
              <w:t>大气环境</w:t>
            </w:r>
          </w:p>
        </w:tc>
        <w:tc>
          <w:tcPr>
            <w:tcW w:w="3191" w:type="dxa"/>
            <w:noWrap w:val="0"/>
            <w:vAlign w:val="center"/>
          </w:tcPr>
          <w:p w14:paraId="5AF42436">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施工扬尘采取洒水抑尘、车辆减速慢行、物料苫盖</w:t>
            </w:r>
          </w:p>
        </w:tc>
        <w:tc>
          <w:tcPr>
            <w:tcW w:w="2480" w:type="dxa"/>
            <w:noWrap w:val="0"/>
            <w:vAlign w:val="center"/>
          </w:tcPr>
          <w:p w14:paraId="239315CF">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《大气污染物综合排放标准》GB16297-1996中表</w:t>
            </w:r>
            <w:r>
              <w:rPr>
                <w:rFonts w:hint="default"/>
                <w:color w:val="auto"/>
                <w:szCs w:val="21"/>
              </w:rPr>
              <w:t>2新污染源大气污染物排放限值中的颗粒物</w:t>
            </w:r>
            <w:r>
              <w:rPr>
                <w:rFonts w:hint="eastAsia"/>
                <w:color w:val="auto"/>
                <w:szCs w:val="21"/>
              </w:rPr>
              <w:t>无组织排放监控浓度限值</w:t>
            </w:r>
          </w:p>
        </w:tc>
        <w:tc>
          <w:tcPr>
            <w:tcW w:w="1029" w:type="dxa"/>
            <w:noWrap w:val="0"/>
            <w:vAlign w:val="center"/>
          </w:tcPr>
          <w:p w14:paraId="53AA66DF">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c>
          <w:tcPr>
            <w:tcW w:w="965" w:type="dxa"/>
            <w:noWrap w:val="0"/>
            <w:vAlign w:val="center"/>
          </w:tcPr>
          <w:p w14:paraId="3F251E5F">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r>
      <w:tr w14:paraId="710AFF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1242" w:type="dxa"/>
            <w:vMerge w:val="continue"/>
            <w:noWrap w:val="0"/>
            <w:vAlign w:val="center"/>
          </w:tcPr>
          <w:p w14:paraId="6213F403">
            <w:pPr>
              <w:keepNext w:val="0"/>
              <w:keepLines w:val="0"/>
              <w:suppressLineNumbers w:val="0"/>
              <w:adjustRightInd w:val="0"/>
              <w:snapToGrid w:val="0"/>
              <w:spacing w:before="0" w:beforeAutospacing="0" w:after="0" w:afterAutospacing="0"/>
              <w:ind w:left="0" w:right="0"/>
              <w:jc w:val="center"/>
              <w:rPr>
                <w:rFonts w:hint="default"/>
                <w:b/>
                <w:color w:val="auto"/>
                <w:szCs w:val="21"/>
              </w:rPr>
            </w:pPr>
          </w:p>
        </w:tc>
        <w:tc>
          <w:tcPr>
            <w:tcW w:w="3191" w:type="dxa"/>
            <w:noWrap w:val="0"/>
            <w:vAlign w:val="center"/>
          </w:tcPr>
          <w:p w14:paraId="3523E992">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柴油发电机使用</w:t>
            </w:r>
            <w:r>
              <w:rPr>
                <w:rFonts w:hint="default"/>
                <w:color w:val="auto"/>
                <w:szCs w:val="21"/>
              </w:rPr>
              <w:t>轻质柴油</w:t>
            </w:r>
            <w:r>
              <w:rPr>
                <w:rFonts w:hint="eastAsia"/>
                <w:color w:val="auto"/>
                <w:szCs w:val="21"/>
              </w:rPr>
              <w:t>，定期检修、运行良好</w:t>
            </w:r>
            <w:r>
              <w:rPr>
                <w:rFonts w:hint="default"/>
                <w:color w:val="auto"/>
                <w:szCs w:val="21"/>
              </w:rPr>
              <w:t>，自带的排气筒排放</w:t>
            </w:r>
          </w:p>
        </w:tc>
        <w:tc>
          <w:tcPr>
            <w:tcW w:w="2480" w:type="dxa"/>
            <w:noWrap w:val="0"/>
            <w:vAlign w:val="center"/>
          </w:tcPr>
          <w:p w14:paraId="7904DEE0">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《大气污染物综合排放标准》GB16297-1996中表2最高允许排放浓度限值</w:t>
            </w:r>
          </w:p>
        </w:tc>
        <w:tc>
          <w:tcPr>
            <w:tcW w:w="1029" w:type="dxa"/>
            <w:noWrap w:val="0"/>
            <w:vAlign w:val="center"/>
          </w:tcPr>
          <w:p w14:paraId="08AB93A4">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c>
          <w:tcPr>
            <w:tcW w:w="965" w:type="dxa"/>
            <w:noWrap w:val="0"/>
            <w:vAlign w:val="center"/>
          </w:tcPr>
          <w:p w14:paraId="73F58CAA">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r>
      <w:tr w14:paraId="7DA214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1242" w:type="dxa"/>
            <w:vMerge w:val="continue"/>
            <w:noWrap w:val="0"/>
            <w:vAlign w:val="center"/>
          </w:tcPr>
          <w:p w14:paraId="5EDBAFC9">
            <w:pPr>
              <w:keepNext w:val="0"/>
              <w:keepLines w:val="0"/>
              <w:suppressLineNumbers w:val="0"/>
              <w:adjustRightInd w:val="0"/>
              <w:snapToGrid w:val="0"/>
              <w:spacing w:before="0" w:beforeAutospacing="0" w:after="0" w:afterAutospacing="0"/>
              <w:ind w:left="0" w:right="0"/>
              <w:jc w:val="center"/>
              <w:rPr>
                <w:rFonts w:hint="default"/>
                <w:b/>
                <w:color w:val="auto"/>
                <w:szCs w:val="21"/>
              </w:rPr>
            </w:pPr>
          </w:p>
        </w:tc>
        <w:tc>
          <w:tcPr>
            <w:tcW w:w="3191" w:type="dxa"/>
            <w:noWrap w:val="0"/>
            <w:vAlign w:val="center"/>
          </w:tcPr>
          <w:p w14:paraId="0617EE72">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bCs/>
                <w:color w:val="auto"/>
                <w:szCs w:val="21"/>
              </w:rPr>
              <w:t>试油期采出液通过密闭管线进入储液罐，储液罐采用防腐贮罐，采用环密技术</w:t>
            </w:r>
            <w:r>
              <w:rPr>
                <w:rFonts w:hint="eastAsia"/>
                <w:bCs/>
                <w:color w:val="auto"/>
                <w:szCs w:val="21"/>
              </w:rPr>
              <w:t>，减少</w:t>
            </w:r>
            <w:r>
              <w:rPr>
                <w:rFonts w:hint="default"/>
                <w:bCs/>
                <w:color w:val="auto"/>
                <w:szCs w:val="21"/>
              </w:rPr>
              <w:t>烃类废气</w:t>
            </w:r>
            <w:r>
              <w:rPr>
                <w:rFonts w:hint="eastAsia"/>
                <w:bCs/>
                <w:color w:val="auto"/>
                <w:szCs w:val="21"/>
              </w:rPr>
              <w:t>无组织</w:t>
            </w:r>
            <w:r>
              <w:rPr>
                <w:rFonts w:hint="default"/>
                <w:bCs/>
                <w:color w:val="auto"/>
                <w:szCs w:val="21"/>
              </w:rPr>
              <w:t>挥发。储液罐安装装车鹤管，装车过程采用浸没式</w:t>
            </w:r>
            <w:r>
              <w:rPr>
                <w:rFonts w:hint="eastAsia"/>
                <w:bCs/>
                <w:color w:val="auto"/>
                <w:szCs w:val="21"/>
              </w:rPr>
              <w:t>。柴油罐挥发废气采用防腐储罐，采用环密技术防止烃类泄漏及挥发；设置切断系统，对管线、阀门等进行定期的检查。</w:t>
            </w:r>
          </w:p>
        </w:tc>
        <w:tc>
          <w:tcPr>
            <w:tcW w:w="2480" w:type="dxa"/>
            <w:noWrap w:val="0"/>
            <w:tcMar>
              <w:left w:w="0" w:type="dxa"/>
              <w:right w:w="0" w:type="dxa"/>
            </w:tcMar>
            <w:vAlign w:val="center"/>
          </w:tcPr>
          <w:p w14:paraId="3A2899C7">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bCs/>
                <w:color w:val="auto"/>
                <w:szCs w:val="21"/>
              </w:rPr>
              <w:t>《陆上石油天然气开采工业大气污染物排放标准》（GB 39728-2020）企业边界污染物控制要求</w:t>
            </w:r>
          </w:p>
        </w:tc>
        <w:tc>
          <w:tcPr>
            <w:tcW w:w="1029" w:type="dxa"/>
            <w:noWrap w:val="0"/>
            <w:vAlign w:val="center"/>
          </w:tcPr>
          <w:p w14:paraId="379A7ADA">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c>
          <w:tcPr>
            <w:tcW w:w="965" w:type="dxa"/>
            <w:noWrap w:val="0"/>
            <w:vAlign w:val="center"/>
          </w:tcPr>
          <w:p w14:paraId="0577874B">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r>
      <w:tr w14:paraId="14C84D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12" w:hRule="atLeast"/>
          <w:jc w:val="center"/>
        </w:trPr>
        <w:tc>
          <w:tcPr>
            <w:tcW w:w="1242" w:type="dxa"/>
            <w:vMerge w:val="restart"/>
            <w:noWrap w:val="0"/>
            <w:vAlign w:val="center"/>
          </w:tcPr>
          <w:p w14:paraId="762F6EA0">
            <w:pPr>
              <w:keepNext w:val="0"/>
              <w:keepLines w:val="0"/>
              <w:suppressLineNumbers w:val="0"/>
              <w:adjustRightInd w:val="0"/>
              <w:snapToGrid w:val="0"/>
              <w:spacing w:before="0" w:beforeAutospacing="0" w:after="0" w:afterAutospacing="0"/>
              <w:ind w:left="0" w:right="0"/>
              <w:jc w:val="center"/>
              <w:rPr>
                <w:rFonts w:hint="default"/>
                <w:b/>
                <w:color w:val="auto"/>
                <w:szCs w:val="21"/>
              </w:rPr>
            </w:pPr>
            <w:r>
              <w:rPr>
                <w:rFonts w:hint="default"/>
                <w:b/>
                <w:color w:val="auto"/>
                <w:szCs w:val="21"/>
              </w:rPr>
              <w:t>固体废物</w:t>
            </w:r>
          </w:p>
        </w:tc>
        <w:tc>
          <w:tcPr>
            <w:tcW w:w="3191" w:type="dxa"/>
            <w:noWrap w:val="0"/>
            <w:vAlign w:val="center"/>
          </w:tcPr>
          <w:p w14:paraId="1572778A">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kern w:val="0"/>
                <w:szCs w:val="21"/>
                <w:highlight w:val="none"/>
                <w:lang w:eastAsia="zh-CN"/>
              </w:rPr>
              <w:t>固相废弃泥浆、岩屑（泥饼）</w:t>
            </w:r>
            <w:r>
              <w:rPr>
                <w:rFonts w:hint="eastAsia"/>
                <w:color w:val="auto"/>
                <w:kern w:val="0"/>
                <w:szCs w:val="21"/>
                <w:highlight w:val="none"/>
              </w:rPr>
              <w:t>拉运至</w:t>
            </w:r>
            <w:r>
              <w:rPr>
                <w:rFonts w:hint="eastAsia"/>
                <w:color w:val="auto"/>
                <w:kern w:val="0"/>
                <w:szCs w:val="21"/>
                <w:highlight w:val="none"/>
                <w:lang w:eastAsia="zh-CN"/>
              </w:rPr>
              <w:t>内蒙古联源热电有限公司固废处置场进行处置</w:t>
            </w:r>
            <w:r>
              <w:rPr>
                <w:rFonts w:hint="eastAsia"/>
                <w:color w:val="auto"/>
                <w:kern w:val="0"/>
                <w:szCs w:val="21"/>
                <w:highlight w:val="none"/>
              </w:rPr>
              <w:t>。</w:t>
            </w:r>
          </w:p>
        </w:tc>
        <w:tc>
          <w:tcPr>
            <w:tcW w:w="2480" w:type="dxa"/>
            <w:noWrap w:val="0"/>
            <w:tcMar>
              <w:left w:w="0" w:type="dxa"/>
              <w:right w:w="0" w:type="dxa"/>
            </w:tcMar>
            <w:vAlign w:val="center"/>
          </w:tcPr>
          <w:p w14:paraId="51F38FAE">
            <w:pPr>
              <w:keepNext w:val="0"/>
              <w:keepLines w:val="0"/>
              <w:suppressLineNumbers w:val="0"/>
              <w:tabs>
                <w:tab w:val="left" w:pos="576"/>
              </w:tabs>
              <w:spacing w:before="0" w:beforeAutospacing="0" w:after="0" w:afterAutospacing="0" w:line="320" w:lineRule="exact"/>
              <w:ind w:left="0" w:right="0"/>
              <w:jc w:val="center"/>
              <w:textAlignment w:val="center"/>
              <w:rPr>
                <w:rFonts w:hint="default"/>
                <w:color w:val="auto"/>
                <w:szCs w:val="21"/>
              </w:rPr>
            </w:pPr>
            <w:r>
              <w:rPr>
                <w:rFonts w:hint="eastAsia"/>
                <w:color w:val="auto"/>
                <w:szCs w:val="21"/>
              </w:rPr>
              <w:t>《一般工业固体废物贮存和填埋污染控制标准》（GB18599-2020）</w:t>
            </w:r>
            <w:r>
              <w:rPr>
                <w:rFonts w:hint="default"/>
                <w:color w:val="auto"/>
                <w:szCs w:val="21"/>
              </w:rPr>
              <w:t>：废弃泥浆和岩屑在井场内不落地</w:t>
            </w:r>
            <w:r>
              <w:rPr>
                <w:rFonts w:hint="eastAsia"/>
                <w:color w:val="auto"/>
                <w:szCs w:val="21"/>
                <w:lang w:eastAsia="zh-CN"/>
              </w:rPr>
              <w:t>，拉运至内蒙古联源热电有限公司固废处置场处置。</w:t>
            </w:r>
          </w:p>
        </w:tc>
        <w:tc>
          <w:tcPr>
            <w:tcW w:w="1029" w:type="dxa"/>
            <w:noWrap w:val="0"/>
            <w:vAlign w:val="center"/>
          </w:tcPr>
          <w:p w14:paraId="42E52EB8">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c>
          <w:tcPr>
            <w:tcW w:w="965" w:type="dxa"/>
            <w:noWrap w:val="0"/>
            <w:vAlign w:val="center"/>
          </w:tcPr>
          <w:p w14:paraId="39FECD0F">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r>
      <w:tr w14:paraId="78D47B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1" w:hRule="atLeast"/>
          <w:jc w:val="center"/>
        </w:trPr>
        <w:tc>
          <w:tcPr>
            <w:tcW w:w="1242" w:type="dxa"/>
            <w:vMerge w:val="continue"/>
            <w:noWrap w:val="0"/>
            <w:vAlign w:val="center"/>
          </w:tcPr>
          <w:p w14:paraId="108274CF">
            <w:pPr>
              <w:keepNext w:val="0"/>
              <w:keepLines w:val="0"/>
              <w:suppressLineNumbers w:val="0"/>
              <w:adjustRightInd w:val="0"/>
              <w:snapToGrid w:val="0"/>
              <w:spacing w:before="0" w:beforeAutospacing="0" w:after="0" w:afterAutospacing="0"/>
              <w:ind w:left="0" w:right="0"/>
              <w:jc w:val="center"/>
              <w:rPr>
                <w:rFonts w:hint="default"/>
                <w:b/>
                <w:color w:val="auto"/>
                <w:szCs w:val="21"/>
              </w:rPr>
            </w:pPr>
          </w:p>
        </w:tc>
        <w:tc>
          <w:tcPr>
            <w:tcW w:w="3191" w:type="dxa"/>
            <w:noWrap w:val="0"/>
            <w:vAlign w:val="center"/>
          </w:tcPr>
          <w:p w14:paraId="3ECBBB00">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bCs/>
                <w:color w:val="auto"/>
                <w:szCs w:val="21"/>
              </w:rPr>
              <w:t>废机油和事故状态下落地油收集后放至井场的</w:t>
            </w:r>
            <w:r>
              <w:rPr>
                <w:rFonts w:hint="eastAsia"/>
                <w:bCs/>
                <w:color w:val="auto"/>
                <w:szCs w:val="21"/>
                <w:lang w:eastAsia="zh-CN"/>
              </w:rPr>
              <w:t>危废贮存点</w:t>
            </w:r>
            <w:r>
              <w:rPr>
                <w:rFonts w:hint="default"/>
                <w:bCs/>
                <w:color w:val="auto"/>
                <w:szCs w:val="21"/>
              </w:rPr>
              <w:t>，定期交有资质的单位处理</w:t>
            </w:r>
          </w:p>
        </w:tc>
        <w:tc>
          <w:tcPr>
            <w:tcW w:w="2480" w:type="dxa"/>
            <w:noWrap w:val="0"/>
            <w:vAlign w:val="center"/>
          </w:tcPr>
          <w:p w14:paraId="02D5AA5F">
            <w:pPr>
              <w:keepNext w:val="0"/>
              <w:keepLines w:val="0"/>
              <w:suppressLineNumbers w:val="0"/>
              <w:tabs>
                <w:tab w:val="left" w:pos="576"/>
              </w:tabs>
              <w:spacing w:before="0" w:beforeAutospacing="0" w:after="0" w:afterAutospacing="0" w:line="320" w:lineRule="exact"/>
              <w:ind w:left="0" w:right="0"/>
              <w:jc w:val="center"/>
              <w:textAlignment w:val="center"/>
              <w:rPr>
                <w:rFonts w:hint="default"/>
                <w:color w:val="auto"/>
                <w:szCs w:val="21"/>
              </w:rPr>
            </w:pPr>
            <w:r>
              <w:rPr>
                <w:rFonts w:hint="default"/>
                <w:color w:val="auto"/>
                <w:szCs w:val="21"/>
              </w:rPr>
              <w:t>《危险废物贮存污染控制标准》（GB18597-20</w:t>
            </w:r>
            <w:r>
              <w:rPr>
                <w:rFonts w:hint="eastAsia"/>
                <w:color w:val="auto"/>
                <w:szCs w:val="21"/>
              </w:rPr>
              <w:t>23</w:t>
            </w:r>
            <w:r>
              <w:rPr>
                <w:rFonts w:hint="default"/>
                <w:color w:val="auto"/>
                <w:szCs w:val="21"/>
              </w:rPr>
              <w:t>）</w:t>
            </w:r>
          </w:p>
        </w:tc>
        <w:tc>
          <w:tcPr>
            <w:tcW w:w="1029" w:type="dxa"/>
            <w:noWrap w:val="0"/>
            <w:vAlign w:val="center"/>
          </w:tcPr>
          <w:p w14:paraId="4942CF97">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c>
          <w:tcPr>
            <w:tcW w:w="965" w:type="dxa"/>
            <w:noWrap w:val="0"/>
            <w:vAlign w:val="center"/>
          </w:tcPr>
          <w:p w14:paraId="54C24DD1">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r>
      <w:tr w14:paraId="40473A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242" w:type="dxa"/>
            <w:vMerge w:val="continue"/>
            <w:noWrap w:val="0"/>
            <w:vAlign w:val="center"/>
          </w:tcPr>
          <w:p w14:paraId="59D38014">
            <w:pPr>
              <w:keepNext w:val="0"/>
              <w:keepLines w:val="0"/>
              <w:suppressLineNumbers w:val="0"/>
              <w:adjustRightInd w:val="0"/>
              <w:snapToGrid w:val="0"/>
              <w:spacing w:before="0" w:beforeAutospacing="0" w:after="0" w:afterAutospacing="0"/>
              <w:ind w:left="0" w:right="0"/>
              <w:jc w:val="center"/>
              <w:rPr>
                <w:rFonts w:hint="default"/>
                <w:b/>
                <w:color w:val="auto"/>
                <w:szCs w:val="21"/>
              </w:rPr>
            </w:pPr>
          </w:p>
        </w:tc>
        <w:tc>
          <w:tcPr>
            <w:tcW w:w="3191" w:type="dxa"/>
            <w:noWrap w:val="0"/>
            <w:vAlign w:val="center"/>
          </w:tcPr>
          <w:p w14:paraId="4952C127">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设置生活垃圾箱5个</w:t>
            </w:r>
            <w:r>
              <w:rPr>
                <w:rFonts w:hint="eastAsia"/>
                <w:color w:val="auto"/>
                <w:szCs w:val="21"/>
              </w:rPr>
              <w:t>，集中</w:t>
            </w:r>
            <w:r>
              <w:rPr>
                <w:rFonts w:hint="default"/>
                <w:color w:val="auto"/>
                <w:szCs w:val="21"/>
              </w:rPr>
              <w:t>收集后委托环卫部门处理</w:t>
            </w:r>
          </w:p>
        </w:tc>
        <w:tc>
          <w:tcPr>
            <w:tcW w:w="2480" w:type="dxa"/>
            <w:noWrap w:val="0"/>
            <w:vAlign w:val="center"/>
          </w:tcPr>
          <w:p w14:paraId="00B228B9">
            <w:pPr>
              <w:keepNext w:val="0"/>
              <w:keepLines w:val="0"/>
              <w:suppressLineNumbers w:val="0"/>
              <w:tabs>
                <w:tab w:val="left" w:pos="576"/>
              </w:tabs>
              <w:spacing w:before="0" w:beforeAutospacing="0" w:after="0" w:afterAutospacing="0" w:line="320" w:lineRule="exact"/>
              <w:ind w:left="0" w:right="0"/>
              <w:jc w:val="center"/>
              <w:textAlignment w:val="center"/>
              <w:rPr>
                <w:rFonts w:hint="default"/>
                <w:color w:val="auto"/>
                <w:szCs w:val="21"/>
              </w:rPr>
            </w:pPr>
            <w:r>
              <w:rPr>
                <w:rFonts w:hint="eastAsia"/>
                <w:color w:val="auto"/>
                <w:szCs w:val="18"/>
              </w:rPr>
              <w:t>现场无遗留</w:t>
            </w:r>
          </w:p>
        </w:tc>
        <w:tc>
          <w:tcPr>
            <w:tcW w:w="1029" w:type="dxa"/>
            <w:noWrap w:val="0"/>
            <w:vAlign w:val="center"/>
          </w:tcPr>
          <w:p w14:paraId="4C7FD5CD">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c>
          <w:tcPr>
            <w:tcW w:w="965" w:type="dxa"/>
            <w:noWrap w:val="0"/>
            <w:vAlign w:val="center"/>
          </w:tcPr>
          <w:p w14:paraId="5BE3C1E2">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r>
      <w:tr w14:paraId="5FC6DB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242" w:type="dxa"/>
            <w:noWrap w:val="0"/>
            <w:vAlign w:val="center"/>
          </w:tcPr>
          <w:p w14:paraId="00DB0F01">
            <w:pPr>
              <w:keepNext w:val="0"/>
              <w:keepLines w:val="0"/>
              <w:suppressLineNumbers w:val="0"/>
              <w:adjustRightInd w:val="0"/>
              <w:snapToGrid w:val="0"/>
              <w:spacing w:before="0" w:beforeAutospacing="0" w:after="0" w:afterAutospacing="0"/>
              <w:ind w:left="0" w:right="0"/>
              <w:jc w:val="center"/>
              <w:rPr>
                <w:rFonts w:hint="default"/>
                <w:b/>
                <w:color w:val="auto"/>
                <w:szCs w:val="21"/>
              </w:rPr>
            </w:pPr>
            <w:r>
              <w:rPr>
                <w:rFonts w:hint="default"/>
                <w:b/>
                <w:color w:val="auto"/>
                <w:szCs w:val="21"/>
              </w:rPr>
              <w:t>电磁环境</w:t>
            </w:r>
          </w:p>
        </w:tc>
        <w:tc>
          <w:tcPr>
            <w:tcW w:w="3191" w:type="dxa"/>
            <w:noWrap w:val="0"/>
            <w:vAlign w:val="center"/>
          </w:tcPr>
          <w:p w14:paraId="2B4B431C">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c>
          <w:tcPr>
            <w:tcW w:w="2480" w:type="dxa"/>
            <w:noWrap w:val="0"/>
            <w:vAlign w:val="center"/>
          </w:tcPr>
          <w:p w14:paraId="5FB9DF99">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c>
          <w:tcPr>
            <w:tcW w:w="1029" w:type="dxa"/>
            <w:noWrap w:val="0"/>
            <w:vAlign w:val="center"/>
          </w:tcPr>
          <w:p w14:paraId="542A5424">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c>
          <w:tcPr>
            <w:tcW w:w="965" w:type="dxa"/>
            <w:noWrap w:val="0"/>
            <w:vAlign w:val="center"/>
          </w:tcPr>
          <w:p w14:paraId="54E0E74E">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r>
      <w:tr w14:paraId="5DCC0F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75" w:hRule="atLeast"/>
          <w:jc w:val="center"/>
        </w:trPr>
        <w:tc>
          <w:tcPr>
            <w:tcW w:w="1242" w:type="dxa"/>
            <w:noWrap w:val="0"/>
            <w:vAlign w:val="center"/>
          </w:tcPr>
          <w:p w14:paraId="44BDD630">
            <w:pPr>
              <w:keepNext w:val="0"/>
              <w:keepLines w:val="0"/>
              <w:suppressLineNumbers w:val="0"/>
              <w:adjustRightInd w:val="0"/>
              <w:snapToGrid w:val="0"/>
              <w:spacing w:before="0" w:beforeAutospacing="0" w:after="0" w:afterAutospacing="0"/>
              <w:ind w:left="0" w:right="0"/>
              <w:jc w:val="center"/>
              <w:rPr>
                <w:rFonts w:hint="default"/>
                <w:b/>
                <w:color w:val="auto"/>
                <w:szCs w:val="21"/>
              </w:rPr>
            </w:pPr>
            <w:r>
              <w:rPr>
                <w:rFonts w:hint="default"/>
                <w:b/>
                <w:color w:val="auto"/>
                <w:szCs w:val="21"/>
              </w:rPr>
              <w:t>环境风险</w:t>
            </w:r>
          </w:p>
        </w:tc>
        <w:tc>
          <w:tcPr>
            <w:tcW w:w="3191" w:type="dxa"/>
            <w:noWrap w:val="0"/>
            <w:vAlign w:val="center"/>
          </w:tcPr>
          <w:p w14:paraId="0BBC13DC">
            <w:pPr>
              <w:keepNext w:val="0"/>
              <w:keepLines w:val="0"/>
              <w:suppressLineNumbers w:val="0"/>
              <w:spacing w:before="0" w:beforeAutospacing="0" w:after="0" w:afterAutospacing="0" w:line="320" w:lineRule="exact"/>
              <w:ind w:left="0" w:right="0"/>
              <w:jc w:val="center"/>
              <w:textAlignment w:val="center"/>
              <w:rPr>
                <w:rFonts w:hint="default"/>
                <w:color w:val="auto"/>
                <w:szCs w:val="21"/>
              </w:rPr>
            </w:pPr>
            <w:r>
              <w:rPr>
                <w:rFonts w:hint="default"/>
                <w:color w:val="auto"/>
                <w:szCs w:val="21"/>
              </w:rPr>
              <w:t>成立环境风险管理机构，防井喷装置，落实各项风险应急物资，制定具备符合行业标准和环评要求的环境风险应急预案，定期演练</w:t>
            </w:r>
          </w:p>
        </w:tc>
        <w:tc>
          <w:tcPr>
            <w:tcW w:w="2480" w:type="dxa"/>
            <w:noWrap w:val="0"/>
            <w:vAlign w:val="center"/>
          </w:tcPr>
          <w:p w14:paraId="09ED6AD5">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未发生环境风险事件</w:t>
            </w:r>
          </w:p>
        </w:tc>
        <w:tc>
          <w:tcPr>
            <w:tcW w:w="1029" w:type="dxa"/>
            <w:noWrap w:val="0"/>
            <w:vAlign w:val="center"/>
          </w:tcPr>
          <w:p w14:paraId="382A5570">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c>
          <w:tcPr>
            <w:tcW w:w="965" w:type="dxa"/>
            <w:noWrap w:val="0"/>
            <w:vAlign w:val="center"/>
          </w:tcPr>
          <w:p w14:paraId="3CA2C96C">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r>
      <w:tr w14:paraId="50FE78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0" w:hRule="atLeast"/>
          <w:jc w:val="center"/>
        </w:trPr>
        <w:tc>
          <w:tcPr>
            <w:tcW w:w="1242" w:type="dxa"/>
            <w:vMerge w:val="restart"/>
            <w:noWrap w:val="0"/>
            <w:vAlign w:val="center"/>
          </w:tcPr>
          <w:p w14:paraId="0F293C82">
            <w:pPr>
              <w:keepNext w:val="0"/>
              <w:keepLines w:val="0"/>
              <w:suppressLineNumbers w:val="0"/>
              <w:adjustRightInd w:val="0"/>
              <w:snapToGrid w:val="0"/>
              <w:spacing w:before="0" w:beforeAutospacing="0" w:after="0" w:afterAutospacing="0"/>
              <w:ind w:left="0" w:right="0"/>
              <w:jc w:val="center"/>
              <w:rPr>
                <w:rFonts w:hint="default"/>
                <w:b/>
                <w:color w:val="auto"/>
                <w:szCs w:val="21"/>
              </w:rPr>
            </w:pPr>
            <w:r>
              <w:rPr>
                <w:rFonts w:hint="default"/>
                <w:b/>
                <w:color w:val="auto"/>
                <w:szCs w:val="21"/>
              </w:rPr>
              <w:t>环境监测</w:t>
            </w:r>
          </w:p>
        </w:tc>
        <w:tc>
          <w:tcPr>
            <w:tcW w:w="3191" w:type="dxa"/>
            <w:noWrap w:val="0"/>
            <w:vAlign w:val="center"/>
          </w:tcPr>
          <w:p w14:paraId="4B9E97DF">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施工扬尘</w:t>
            </w:r>
          </w:p>
        </w:tc>
        <w:tc>
          <w:tcPr>
            <w:tcW w:w="2480" w:type="dxa"/>
            <w:noWrap w:val="0"/>
            <w:vAlign w:val="center"/>
          </w:tcPr>
          <w:p w14:paraId="57F36154">
            <w:pPr>
              <w:keepNext w:val="0"/>
              <w:keepLines w:val="0"/>
              <w:suppressLineNumbers w:val="0"/>
              <w:adjustRightInd w:val="0"/>
              <w:snapToGrid w:val="0"/>
              <w:spacing w:before="0" w:beforeAutospacing="0" w:after="0" w:afterAutospacing="0"/>
              <w:ind w:left="0" w:right="0"/>
              <w:rPr>
                <w:rFonts w:hint="default"/>
                <w:color w:val="auto"/>
                <w:szCs w:val="21"/>
              </w:rPr>
            </w:pPr>
            <w:r>
              <w:rPr>
                <w:rFonts w:hint="eastAsia"/>
                <w:color w:val="auto"/>
                <w:szCs w:val="21"/>
              </w:rPr>
              <w:t>《大气污染物综合排放标准》GB16297-1996中表2</w:t>
            </w:r>
            <w:r>
              <w:rPr>
                <w:rFonts w:hint="default"/>
                <w:color w:val="auto"/>
                <w:szCs w:val="21"/>
              </w:rPr>
              <w:t>新污染源大气污染物排放限值中的颗粒物</w:t>
            </w:r>
            <w:r>
              <w:rPr>
                <w:rFonts w:hint="eastAsia"/>
                <w:color w:val="auto"/>
                <w:szCs w:val="21"/>
              </w:rPr>
              <w:t>无组织排放监控浓度限值。</w:t>
            </w:r>
          </w:p>
        </w:tc>
        <w:tc>
          <w:tcPr>
            <w:tcW w:w="1029" w:type="dxa"/>
            <w:noWrap w:val="0"/>
            <w:vAlign w:val="center"/>
          </w:tcPr>
          <w:p w14:paraId="257DB1E0">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c>
          <w:tcPr>
            <w:tcW w:w="965" w:type="dxa"/>
            <w:noWrap w:val="0"/>
            <w:vAlign w:val="center"/>
          </w:tcPr>
          <w:p w14:paraId="673E0622">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r>
      <w:tr w14:paraId="02C567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42" w:hRule="atLeast"/>
          <w:jc w:val="center"/>
        </w:trPr>
        <w:tc>
          <w:tcPr>
            <w:tcW w:w="1242" w:type="dxa"/>
            <w:vMerge w:val="continue"/>
            <w:noWrap w:val="0"/>
            <w:vAlign w:val="center"/>
          </w:tcPr>
          <w:p w14:paraId="4F7874B0">
            <w:pPr>
              <w:keepNext w:val="0"/>
              <w:keepLines w:val="0"/>
              <w:suppressLineNumbers w:val="0"/>
              <w:adjustRightInd w:val="0"/>
              <w:snapToGrid w:val="0"/>
              <w:spacing w:before="0" w:beforeAutospacing="0" w:after="0" w:afterAutospacing="0"/>
              <w:ind w:left="0" w:right="0"/>
              <w:jc w:val="center"/>
              <w:rPr>
                <w:rFonts w:hint="default"/>
                <w:b/>
                <w:color w:val="auto"/>
                <w:szCs w:val="21"/>
              </w:rPr>
            </w:pPr>
          </w:p>
        </w:tc>
        <w:tc>
          <w:tcPr>
            <w:tcW w:w="3191" w:type="dxa"/>
            <w:noWrap w:val="0"/>
            <w:vAlign w:val="center"/>
          </w:tcPr>
          <w:p w14:paraId="0E1DDC9E">
            <w:pPr>
              <w:keepNext w:val="0"/>
              <w:keepLines w:val="0"/>
              <w:suppressLineNumbers w:val="0"/>
              <w:spacing w:before="0" w:beforeAutospacing="0" w:after="0" w:afterAutospacing="0"/>
              <w:ind w:left="0" w:right="0"/>
              <w:jc w:val="center"/>
              <w:rPr>
                <w:rFonts w:hint="eastAsia"/>
                <w:color w:val="auto"/>
                <w:szCs w:val="21"/>
              </w:rPr>
            </w:pPr>
            <w:r>
              <w:rPr>
                <w:rFonts w:hint="default"/>
                <w:color w:val="auto"/>
                <w:szCs w:val="21"/>
              </w:rPr>
              <w:t>建筑施工噪声</w:t>
            </w:r>
          </w:p>
        </w:tc>
        <w:tc>
          <w:tcPr>
            <w:tcW w:w="2480" w:type="dxa"/>
            <w:noWrap w:val="0"/>
            <w:vAlign w:val="center"/>
          </w:tcPr>
          <w:p w14:paraId="3583ECD8">
            <w:pPr>
              <w:keepNext w:val="0"/>
              <w:keepLines w:val="0"/>
              <w:suppressLineNumbers w:val="0"/>
              <w:adjustRightInd w:val="0"/>
              <w:snapToGrid w:val="0"/>
              <w:spacing w:before="0" w:beforeAutospacing="0" w:after="0" w:afterAutospacing="0"/>
              <w:ind w:left="0" w:right="0"/>
              <w:rPr>
                <w:rFonts w:hint="eastAsia"/>
                <w:color w:val="auto"/>
                <w:szCs w:val="21"/>
              </w:rPr>
            </w:pPr>
            <w:r>
              <w:rPr>
                <w:rFonts w:hint="eastAsia"/>
                <w:color w:val="auto"/>
                <w:szCs w:val="21"/>
              </w:rPr>
              <w:t>场界噪声满足《建筑施工场界环境噪声排放标准》（GB12523-2011）</w:t>
            </w:r>
            <w:r>
              <w:rPr>
                <w:rFonts w:hint="default"/>
                <w:color w:val="auto"/>
                <w:szCs w:val="21"/>
              </w:rPr>
              <w:t>中各施工时间段的作业噪声限值</w:t>
            </w:r>
            <w:r>
              <w:rPr>
                <w:rFonts w:hint="eastAsia"/>
                <w:color w:val="auto"/>
                <w:szCs w:val="21"/>
              </w:rPr>
              <w:t>。</w:t>
            </w:r>
          </w:p>
        </w:tc>
        <w:tc>
          <w:tcPr>
            <w:tcW w:w="1029" w:type="dxa"/>
            <w:noWrap w:val="0"/>
            <w:vAlign w:val="center"/>
          </w:tcPr>
          <w:p w14:paraId="79D201B0">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c>
          <w:tcPr>
            <w:tcW w:w="965" w:type="dxa"/>
            <w:noWrap w:val="0"/>
            <w:vAlign w:val="center"/>
          </w:tcPr>
          <w:p w14:paraId="795315A1">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r>
      <w:tr w14:paraId="294E0B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1242" w:type="dxa"/>
            <w:vMerge w:val="continue"/>
            <w:noWrap w:val="0"/>
            <w:vAlign w:val="center"/>
          </w:tcPr>
          <w:p w14:paraId="70BF33E0">
            <w:pPr>
              <w:keepNext w:val="0"/>
              <w:keepLines w:val="0"/>
              <w:suppressLineNumbers w:val="0"/>
              <w:adjustRightInd w:val="0"/>
              <w:snapToGrid w:val="0"/>
              <w:spacing w:before="0" w:beforeAutospacing="0" w:after="0" w:afterAutospacing="0"/>
              <w:ind w:left="0" w:right="0"/>
              <w:jc w:val="center"/>
              <w:rPr>
                <w:rFonts w:hint="default"/>
                <w:b/>
                <w:color w:val="auto"/>
                <w:szCs w:val="21"/>
              </w:rPr>
            </w:pPr>
          </w:p>
        </w:tc>
        <w:tc>
          <w:tcPr>
            <w:tcW w:w="3191" w:type="dxa"/>
            <w:noWrap w:val="0"/>
            <w:vAlign w:val="center"/>
          </w:tcPr>
          <w:p w14:paraId="296FEC53">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临时用地复垦后，监测</w:t>
            </w:r>
            <w:r>
              <w:rPr>
                <w:rFonts w:hint="default"/>
                <w:color w:val="auto"/>
                <w:szCs w:val="21"/>
              </w:rPr>
              <w:t>土壤环境质量</w:t>
            </w:r>
            <w:r>
              <w:rPr>
                <w:rFonts w:hint="eastAsia"/>
                <w:color w:val="auto"/>
                <w:szCs w:val="21"/>
              </w:rPr>
              <w:t>。</w:t>
            </w:r>
          </w:p>
        </w:tc>
        <w:tc>
          <w:tcPr>
            <w:tcW w:w="2480" w:type="dxa"/>
            <w:noWrap w:val="0"/>
            <w:vAlign w:val="center"/>
          </w:tcPr>
          <w:p w14:paraId="62F81A39">
            <w:pPr>
              <w:keepNext w:val="0"/>
              <w:keepLines w:val="0"/>
              <w:suppressLineNumbers w:val="0"/>
              <w:adjustRightInd w:val="0"/>
              <w:snapToGrid w:val="0"/>
              <w:spacing w:before="0" w:beforeAutospacing="0" w:after="0" w:afterAutospacing="0"/>
              <w:ind w:left="0" w:right="0"/>
              <w:rPr>
                <w:rFonts w:hint="eastAsia"/>
                <w:color w:val="auto"/>
                <w:szCs w:val="21"/>
              </w:rPr>
            </w:pPr>
            <w:r>
              <w:rPr>
                <w:rFonts w:hint="eastAsia"/>
                <w:color w:val="auto"/>
                <w:szCs w:val="21"/>
              </w:rPr>
              <w:t>恢复临时占地原有生态功能，土地复垦率100%。</w:t>
            </w:r>
          </w:p>
        </w:tc>
        <w:tc>
          <w:tcPr>
            <w:tcW w:w="1029" w:type="dxa"/>
            <w:noWrap w:val="0"/>
            <w:vAlign w:val="center"/>
          </w:tcPr>
          <w:p w14:paraId="3C4048C4">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c>
          <w:tcPr>
            <w:tcW w:w="965" w:type="dxa"/>
            <w:noWrap w:val="0"/>
            <w:vAlign w:val="center"/>
          </w:tcPr>
          <w:p w14:paraId="0831483B">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r>
      <w:tr w14:paraId="754DFE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242" w:type="dxa"/>
            <w:noWrap w:val="0"/>
            <w:vAlign w:val="center"/>
          </w:tcPr>
          <w:p w14:paraId="34295853">
            <w:pPr>
              <w:keepNext w:val="0"/>
              <w:keepLines w:val="0"/>
              <w:suppressLineNumbers w:val="0"/>
              <w:adjustRightInd w:val="0"/>
              <w:snapToGrid w:val="0"/>
              <w:spacing w:before="0" w:beforeAutospacing="0" w:after="0" w:afterAutospacing="0"/>
              <w:ind w:left="0" w:right="0"/>
              <w:jc w:val="center"/>
              <w:rPr>
                <w:rFonts w:hint="default"/>
                <w:b/>
                <w:color w:val="auto"/>
                <w:szCs w:val="21"/>
              </w:rPr>
            </w:pPr>
            <w:r>
              <w:rPr>
                <w:rFonts w:hint="default"/>
                <w:b/>
                <w:color w:val="auto"/>
                <w:szCs w:val="21"/>
              </w:rPr>
              <w:t>其他</w:t>
            </w:r>
          </w:p>
        </w:tc>
        <w:tc>
          <w:tcPr>
            <w:tcW w:w="3191" w:type="dxa"/>
            <w:noWrap w:val="0"/>
            <w:vAlign w:val="center"/>
          </w:tcPr>
          <w:p w14:paraId="7A122C78">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c>
          <w:tcPr>
            <w:tcW w:w="2480" w:type="dxa"/>
            <w:noWrap w:val="0"/>
            <w:vAlign w:val="center"/>
          </w:tcPr>
          <w:p w14:paraId="08E91AD7">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c>
          <w:tcPr>
            <w:tcW w:w="1029" w:type="dxa"/>
            <w:noWrap w:val="0"/>
            <w:vAlign w:val="center"/>
          </w:tcPr>
          <w:p w14:paraId="3C21FDD5">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c>
          <w:tcPr>
            <w:tcW w:w="965" w:type="dxa"/>
            <w:noWrap w:val="0"/>
            <w:vAlign w:val="center"/>
          </w:tcPr>
          <w:p w14:paraId="38DA8E1F">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w:t>
            </w:r>
          </w:p>
        </w:tc>
      </w:tr>
    </w:tbl>
    <w:p w14:paraId="68BF089A">
      <w:pPr>
        <w:pStyle w:val="25"/>
        <w:spacing w:before="0" w:beforeAutospacing="0" w:after="0" w:afterAutospacing="0"/>
        <w:jc w:val="center"/>
        <w:outlineLvl w:val="0"/>
        <w:rPr>
          <w:b/>
          <w:snapToGrid w:val="0"/>
          <w:color w:val="auto"/>
          <w:kern w:val="2"/>
          <w:sz w:val="30"/>
          <w:szCs w:val="30"/>
        </w:rPr>
        <w:sectPr>
          <w:pgSz w:w="11906" w:h="16838"/>
          <w:pgMar w:top="1588" w:right="1418" w:bottom="1418" w:left="1588" w:header="851" w:footer="1077" w:gutter="0"/>
          <w:pgBorders>
            <w:top w:val="none" w:sz="0" w:space="0"/>
            <w:left w:val="none" w:sz="0" w:space="0"/>
            <w:bottom w:val="none" w:sz="0" w:space="0"/>
            <w:right w:val="none" w:sz="0" w:space="0"/>
          </w:pgBorders>
          <w:cols w:space="720" w:num="1"/>
          <w:docGrid w:linePitch="312" w:charSpace="0"/>
        </w:sectPr>
      </w:pPr>
      <w:bookmarkStart w:id="32" w:name="_GoBack"/>
      <w:bookmarkEnd w:id="32"/>
    </w:p>
    <w:p w14:paraId="45E2C9A1">
      <w:pPr>
        <w:pStyle w:val="25"/>
        <w:spacing w:before="0" w:beforeAutospacing="0" w:after="0" w:afterAutospacing="0"/>
        <w:jc w:val="center"/>
        <w:outlineLvl w:val="0"/>
        <w:rPr>
          <w:b/>
          <w:snapToGrid w:val="0"/>
          <w:color w:val="auto"/>
          <w:kern w:val="2"/>
          <w:sz w:val="30"/>
          <w:szCs w:val="30"/>
        </w:rPr>
      </w:pPr>
      <w:bookmarkStart w:id="31" w:name="_Toc103326002"/>
      <w:r>
        <w:rPr>
          <w:b/>
          <w:snapToGrid w:val="0"/>
          <w:color w:val="auto"/>
          <w:kern w:val="2"/>
          <w:sz w:val="30"/>
          <w:szCs w:val="30"/>
        </w:rPr>
        <w:t>七、结论</w:t>
      </w:r>
      <w:bookmarkEnd w:id="31"/>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08"/>
      </w:tblGrid>
      <w:tr w14:paraId="7C387D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14" w:hRule="atLeast"/>
          <w:jc w:val="center"/>
        </w:trPr>
        <w:tc>
          <w:tcPr>
            <w:tcW w:w="8908" w:type="dxa"/>
            <w:noWrap w:val="0"/>
            <w:vAlign w:val="top"/>
          </w:tcPr>
          <w:p w14:paraId="590AB08E">
            <w:pPr>
              <w:keepNext w:val="0"/>
              <w:keepLines w:val="0"/>
              <w:suppressLineNumbers w:val="0"/>
              <w:spacing w:before="0" w:beforeAutospacing="0" w:after="0" w:afterAutospacing="0" w:line="360" w:lineRule="auto"/>
              <w:ind w:left="0" w:right="0" w:firstLine="470" w:firstLineChars="196"/>
              <w:rPr>
                <w:rFonts w:hint="eastAsia"/>
                <w:color w:val="auto"/>
                <w:sz w:val="24"/>
              </w:rPr>
            </w:pPr>
            <w:r>
              <w:rPr>
                <w:rFonts w:hint="eastAsia"/>
                <w:color w:val="auto"/>
                <w:sz w:val="24"/>
                <w:lang w:eastAsia="zh-CN"/>
              </w:rPr>
              <w:t>本项目符合国家产业政策，选址符合要求，建设内容符合清洁生产要求，各项污染防治措施可行，污染物能够达标排放，项目的建设不会对周围环境产生明显影响，在产生较大的经济效益和社会效益的同时，具有一定的环境效益。从环境保护角度考虑，该项目建设可行。</w:t>
            </w:r>
          </w:p>
          <w:p w14:paraId="6F5D092A">
            <w:pPr>
              <w:keepNext w:val="0"/>
              <w:keepLines w:val="0"/>
              <w:suppressLineNumbers w:val="0"/>
              <w:spacing w:before="0" w:beforeAutospacing="0" w:after="0" w:afterAutospacing="0" w:line="360" w:lineRule="auto"/>
              <w:ind w:left="0" w:right="0" w:firstLine="470" w:firstLineChars="196"/>
              <w:rPr>
                <w:rFonts w:hint="eastAsia"/>
                <w:color w:val="auto"/>
                <w:sz w:val="24"/>
              </w:rPr>
            </w:pPr>
          </w:p>
          <w:p w14:paraId="2142E988">
            <w:pPr>
              <w:keepNext w:val="0"/>
              <w:keepLines w:val="0"/>
              <w:suppressLineNumbers w:val="0"/>
              <w:spacing w:before="0" w:beforeAutospacing="0" w:after="0" w:afterAutospacing="0" w:line="360" w:lineRule="auto"/>
              <w:ind w:left="0" w:right="0" w:firstLine="470" w:firstLineChars="196"/>
              <w:rPr>
                <w:rFonts w:hint="eastAsia"/>
                <w:color w:val="auto"/>
                <w:sz w:val="24"/>
              </w:rPr>
            </w:pPr>
          </w:p>
          <w:p w14:paraId="093CA6B0">
            <w:pPr>
              <w:keepNext w:val="0"/>
              <w:keepLines w:val="0"/>
              <w:suppressLineNumbers w:val="0"/>
              <w:spacing w:before="0" w:beforeAutospacing="0" w:after="0" w:afterAutospacing="0" w:line="360" w:lineRule="auto"/>
              <w:ind w:left="0" w:right="0" w:firstLine="470" w:firstLineChars="196"/>
              <w:rPr>
                <w:rFonts w:hint="eastAsia"/>
                <w:color w:val="auto"/>
                <w:sz w:val="24"/>
              </w:rPr>
            </w:pPr>
          </w:p>
          <w:p w14:paraId="6EC6297D">
            <w:pPr>
              <w:keepNext w:val="0"/>
              <w:keepLines w:val="0"/>
              <w:suppressLineNumbers w:val="0"/>
              <w:spacing w:before="0" w:beforeAutospacing="0" w:after="0" w:afterAutospacing="0" w:line="360" w:lineRule="auto"/>
              <w:ind w:left="0" w:right="0" w:firstLine="470" w:firstLineChars="196"/>
              <w:rPr>
                <w:rFonts w:hint="eastAsia"/>
                <w:color w:val="auto"/>
                <w:sz w:val="24"/>
              </w:rPr>
            </w:pPr>
          </w:p>
          <w:p w14:paraId="4CE9495D">
            <w:pPr>
              <w:keepNext w:val="0"/>
              <w:keepLines w:val="0"/>
              <w:suppressLineNumbers w:val="0"/>
              <w:spacing w:before="0" w:beforeAutospacing="0" w:after="0" w:afterAutospacing="0" w:line="360" w:lineRule="auto"/>
              <w:ind w:left="0" w:right="0" w:firstLine="470" w:firstLineChars="196"/>
              <w:rPr>
                <w:rFonts w:hint="eastAsia"/>
                <w:color w:val="auto"/>
                <w:sz w:val="24"/>
              </w:rPr>
            </w:pPr>
          </w:p>
          <w:p w14:paraId="42608786">
            <w:pPr>
              <w:keepNext w:val="0"/>
              <w:keepLines w:val="0"/>
              <w:suppressLineNumbers w:val="0"/>
              <w:spacing w:before="0" w:beforeAutospacing="0" w:after="0" w:afterAutospacing="0" w:line="360" w:lineRule="auto"/>
              <w:ind w:left="0" w:right="0" w:firstLine="470" w:firstLineChars="196"/>
              <w:rPr>
                <w:rFonts w:hint="eastAsia"/>
                <w:color w:val="auto"/>
                <w:sz w:val="24"/>
              </w:rPr>
            </w:pPr>
          </w:p>
          <w:p w14:paraId="65472A78">
            <w:pPr>
              <w:keepNext w:val="0"/>
              <w:keepLines w:val="0"/>
              <w:suppressLineNumbers w:val="0"/>
              <w:spacing w:before="0" w:beforeAutospacing="0" w:after="0" w:afterAutospacing="0" w:line="360" w:lineRule="auto"/>
              <w:ind w:left="0" w:right="0" w:firstLine="470" w:firstLineChars="196"/>
              <w:rPr>
                <w:rFonts w:hint="eastAsia"/>
                <w:color w:val="auto"/>
                <w:sz w:val="24"/>
              </w:rPr>
            </w:pPr>
          </w:p>
          <w:p w14:paraId="264C2E73">
            <w:pPr>
              <w:keepNext w:val="0"/>
              <w:keepLines w:val="0"/>
              <w:suppressLineNumbers w:val="0"/>
              <w:spacing w:before="0" w:beforeAutospacing="0" w:after="0" w:afterAutospacing="0" w:line="360" w:lineRule="auto"/>
              <w:ind w:left="0" w:right="0" w:firstLine="470" w:firstLineChars="196"/>
              <w:rPr>
                <w:rFonts w:hint="eastAsia"/>
                <w:color w:val="auto"/>
                <w:sz w:val="24"/>
              </w:rPr>
            </w:pPr>
          </w:p>
          <w:p w14:paraId="31C32E03">
            <w:pPr>
              <w:keepNext w:val="0"/>
              <w:keepLines w:val="0"/>
              <w:suppressLineNumbers w:val="0"/>
              <w:spacing w:before="0" w:beforeAutospacing="0" w:after="0" w:afterAutospacing="0" w:line="360" w:lineRule="auto"/>
              <w:ind w:left="0" w:right="0" w:firstLine="470" w:firstLineChars="196"/>
              <w:rPr>
                <w:rFonts w:hint="eastAsia"/>
                <w:color w:val="auto"/>
                <w:sz w:val="24"/>
              </w:rPr>
            </w:pPr>
          </w:p>
          <w:p w14:paraId="772B2F03">
            <w:pPr>
              <w:keepNext w:val="0"/>
              <w:keepLines w:val="0"/>
              <w:suppressLineNumbers w:val="0"/>
              <w:spacing w:before="0" w:beforeAutospacing="0" w:after="0" w:afterAutospacing="0" w:line="360" w:lineRule="auto"/>
              <w:ind w:left="0" w:right="0" w:firstLine="470" w:firstLineChars="196"/>
              <w:rPr>
                <w:rFonts w:hint="eastAsia"/>
                <w:color w:val="auto"/>
                <w:sz w:val="24"/>
              </w:rPr>
            </w:pPr>
          </w:p>
          <w:p w14:paraId="714E9545">
            <w:pPr>
              <w:keepNext w:val="0"/>
              <w:keepLines w:val="0"/>
              <w:suppressLineNumbers w:val="0"/>
              <w:spacing w:before="0" w:beforeAutospacing="0" w:after="0" w:afterAutospacing="0" w:line="360" w:lineRule="auto"/>
              <w:ind w:left="0" w:right="0" w:firstLine="470" w:firstLineChars="196"/>
              <w:rPr>
                <w:rFonts w:hint="eastAsia"/>
                <w:color w:val="auto"/>
                <w:sz w:val="24"/>
              </w:rPr>
            </w:pPr>
          </w:p>
          <w:p w14:paraId="069A5D47">
            <w:pPr>
              <w:keepNext w:val="0"/>
              <w:keepLines w:val="0"/>
              <w:suppressLineNumbers w:val="0"/>
              <w:spacing w:before="0" w:beforeAutospacing="0" w:after="0" w:afterAutospacing="0" w:line="360" w:lineRule="auto"/>
              <w:ind w:left="0" w:right="0" w:firstLine="470" w:firstLineChars="196"/>
              <w:rPr>
                <w:rFonts w:hint="eastAsia"/>
                <w:color w:val="auto"/>
                <w:sz w:val="24"/>
              </w:rPr>
            </w:pPr>
          </w:p>
          <w:p w14:paraId="00A2D4CF">
            <w:pPr>
              <w:keepNext w:val="0"/>
              <w:keepLines w:val="0"/>
              <w:suppressLineNumbers w:val="0"/>
              <w:spacing w:before="0" w:beforeAutospacing="0" w:after="0" w:afterAutospacing="0" w:line="360" w:lineRule="auto"/>
              <w:ind w:left="0" w:right="0" w:firstLine="470" w:firstLineChars="196"/>
              <w:rPr>
                <w:rFonts w:hint="eastAsia"/>
                <w:color w:val="auto"/>
                <w:sz w:val="24"/>
              </w:rPr>
            </w:pPr>
          </w:p>
          <w:p w14:paraId="653DDADE">
            <w:pPr>
              <w:keepNext w:val="0"/>
              <w:keepLines w:val="0"/>
              <w:suppressLineNumbers w:val="0"/>
              <w:spacing w:before="0" w:beforeAutospacing="0" w:after="0" w:afterAutospacing="0" w:line="360" w:lineRule="auto"/>
              <w:ind w:left="0" w:right="0" w:firstLine="470" w:firstLineChars="196"/>
              <w:rPr>
                <w:rFonts w:hint="eastAsia"/>
                <w:color w:val="auto"/>
                <w:sz w:val="24"/>
              </w:rPr>
            </w:pPr>
          </w:p>
          <w:p w14:paraId="51E47468">
            <w:pPr>
              <w:keepNext w:val="0"/>
              <w:keepLines w:val="0"/>
              <w:suppressLineNumbers w:val="0"/>
              <w:spacing w:before="0" w:beforeAutospacing="0" w:after="0" w:afterAutospacing="0" w:line="360" w:lineRule="auto"/>
              <w:ind w:left="0" w:right="0" w:firstLine="784" w:firstLineChars="196"/>
              <w:rPr>
                <w:rFonts w:hint="default"/>
                <w:color w:val="auto"/>
                <w:sz w:val="40"/>
              </w:rPr>
            </w:pPr>
          </w:p>
        </w:tc>
      </w:tr>
    </w:tbl>
    <w:p w14:paraId="3D588C41">
      <w:pPr>
        <w:widowControl/>
        <w:adjustRightInd w:val="0"/>
        <w:snapToGrid w:val="0"/>
        <w:spacing w:before="192" w:beforeLines="80"/>
        <w:jc w:val="left"/>
      </w:pPr>
    </w:p>
    <w:sectPr>
      <w:pgSz w:w="11906" w:h="16838"/>
      <w:pgMar w:top="1588" w:right="1418" w:bottom="1418" w:left="1588" w:header="851" w:footer="1077"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0000000000000000000"/>
    <w:charset w:val="86"/>
    <w:family w:val="roman"/>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2C659">
    <w:pPr>
      <w:pStyle w:val="19"/>
      <w:jc w:val="center"/>
    </w:pPr>
  </w:p>
  <w:p w14:paraId="25BA5315">
    <w:pPr>
      <w:pStyle w:val="19"/>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FD072">
    <w:pPr>
      <w:pStyle w:val="19"/>
      <w:framePr w:wrap="around" w:vAnchor="text" w:hAnchor="margin" w:xAlign="outside" w:y="1"/>
      <w:rPr>
        <w:rStyle w:val="34"/>
      </w:rPr>
    </w:pPr>
    <w:r>
      <w:fldChar w:fldCharType="begin"/>
    </w:r>
    <w:r>
      <w:rPr>
        <w:rStyle w:val="34"/>
      </w:rPr>
      <w:instrText xml:space="preserve">PAGE  </w:instrText>
    </w:r>
    <w:r>
      <w:fldChar w:fldCharType="end"/>
    </w:r>
  </w:p>
  <w:p w14:paraId="3BAD35CB">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619A2">
    <w:pPr>
      <w:pStyle w:val="19"/>
      <w:jc w:val="center"/>
    </w:pPr>
    <w:r>
      <w:fldChar w:fldCharType="begin"/>
    </w:r>
    <w:r>
      <w:instrText xml:space="preserve">PAGE   \* MERGEFORMAT</w:instrText>
    </w:r>
    <w:r>
      <w:fldChar w:fldCharType="separate"/>
    </w:r>
    <w:r>
      <w:rPr>
        <w:lang w:val="zh-CN"/>
      </w:rPr>
      <w:t>1</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C82C76"/>
    <w:multiLevelType w:val="singleLevel"/>
    <w:tmpl w:val="82C82C76"/>
    <w:lvl w:ilvl="0" w:tentative="0">
      <w:start w:val="1"/>
      <w:numFmt w:val="decimal"/>
      <w:suff w:val="nothing"/>
      <w:lvlText w:val="%1、"/>
      <w:lvlJc w:val="left"/>
    </w:lvl>
  </w:abstractNum>
  <w:abstractNum w:abstractNumId="1">
    <w:nsid w:val="A78A13C1"/>
    <w:multiLevelType w:val="singleLevel"/>
    <w:tmpl w:val="A78A13C1"/>
    <w:lvl w:ilvl="0" w:tentative="0">
      <w:start w:val="2"/>
      <w:numFmt w:val="decimal"/>
      <w:suff w:val="nothing"/>
      <w:lvlText w:val="%1、"/>
      <w:lvlJc w:val="left"/>
    </w:lvl>
  </w:abstractNum>
  <w:abstractNum w:abstractNumId="2">
    <w:nsid w:val="F1056888"/>
    <w:multiLevelType w:val="singleLevel"/>
    <w:tmpl w:val="F1056888"/>
    <w:lvl w:ilvl="0" w:tentative="0">
      <w:start w:val="1"/>
      <w:numFmt w:val="decimal"/>
      <w:suff w:val="nothing"/>
      <w:lvlText w:val="%1、"/>
      <w:lvlJc w:val="left"/>
    </w:lvl>
  </w:abstractNum>
  <w:abstractNum w:abstractNumId="3">
    <w:nsid w:val="6738DE4D"/>
    <w:multiLevelType w:val="singleLevel"/>
    <w:tmpl w:val="6738DE4D"/>
    <w:lvl w:ilvl="0" w:tentative="0">
      <w:start w:val="1"/>
      <w:numFmt w:val="decimal"/>
      <w:suff w:val="nothing"/>
      <w:lvlText w:val="%1、"/>
      <w:lvlJc w:val="left"/>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0"/>
  <w:hyphenationZone w:val="36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NkNDQ2OWVlY2QxYTI0NTkzM2MwODNlODhmZDgwMjkifQ=="/>
  </w:docVars>
  <w:rsids>
    <w:rsidRoot w:val="00172A27"/>
    <w:rsid w:val="0000000C"/>
    <w:rsid w:val="000000E7"/>
    <w:rsid w:val="00001CED"/>
    <w:rsid w:val="00001E67"/>
    <w:rsid w:val="00003731"/>
    <w:rsid w:val="00003A94"/>
    <w:rsid w:val="00003CD8"/>
    <w:rsid w:val="00003F00"/>
    <w:rsid w:val="000060EA"/>
    <w:rsid w:val="00006408"/>
    <w:rsid w:val="00007134"/>
    <w:rsid w:val="00012FDA"/>
    <w:rsid w:val="00013CD2"/>
    <w:rsid w:val="00014965"/>
    <w:rsid w:val="0001523A"/>
    <w:rsid w:val="0001553E"/>
    <w:rsid w:val="00015DB2"/>
    <w:rsid w:val="00016ECB"/>
    <w:rsid w:val="00022861"/>
    <w:rsid w:val="00023451"/>
    <w:rsid w:val="00023ABF"/>
    <w:rsid w:val="00024877"/>
    <w:rsid w:val="00025802"/>
    <w:rsid w:val="000269F6"/>
    <w:rsid w:val="000306F6"/>
    <w:rsid w:val="00030712"/>
    <w:rsid w:val="00030DB6"/>
    <w:rsid w:val="00031939"/>
    <w:rsid w:val="00032D25"/>
    <w:rsid w:val="00034766"/>
    <w:rsid w:val="00034ACC"/>
    <w:rsid w:val="0003508D"/>
    <w:rsid w:val="000364DC"/>
    <w:rsid w:val="00037160"/>
    <w:rsid w:val="000374AC"/>
    <w:rsid w:val="00037C18"/>
    <w:rsid w:val="00040A2A"/>
    <w:rsid w:val="00040DE0"/>
    <w:rsid w:val="00041490"/>
    <w:rsid w:val="00043C44"/>
    <w:rsid w:val="0004421F"/>
    <w:rsid w:val="00047CEA"/>
    <w:rsid w:val="0005045F"/>
    <w:rsid w:val="0005219D"/>
    <w:rsid w:val="0005336D"/>
    <w:rsid w:val="000536B3"/>
    <w:rsid w:val="00053984"/>
    <w:rsid w:val="000547D7"/>
    <w:rsid w:val="0005568F"/>
    <w:rsid w:val="000571BF"/>
    <w:rsid w:val="0006153D"/>
    <w:rsid w:val="00061616"/>
    <w:rsid w:val="00061B1F"/>
    <w:rsid w:val="00061C59"/>
    <w:rsid w:val="00066026"/>
    <w:rsid w:val="00066227"/>
    <w:rsid w:val="000662F0"/>
    <w:rsid w:val="000664DB"/>
    <w:rsid w:val="0006678D"/>
    <w:rsid w:val="00066F90"/>
    <w:rsid w:val="00067BD8"/>
    <w:rsid w:val="0007060E"/>
    <w:rsid w:val="0007127D"/>
    <w:rsid w:val="00071478"/>
    <w:rsid w:val="00071AE5"/>
    <w:rsid w:val="00071E50"/>
    <w:rsid w:val="00072551"/>
    <w:rsid w:val="0007276F"/>
    <w:rsid w:val="00073F34"/>
    <w:rsid w:val="00074783"/>
    <w:rsid w:val="00074997"/>
    <w:rsid w:val="00075798"/>
    <w:rsid w:val="00075B3F"/>
    <w:rsid w:val="00075E77"/>
    <w:rsid w:val="00075FB7"/>
    <w:rsid w:val="000801E0"/>
    <w:rsid w:val="00080423"/>
    <w:rsid w:val="00080C55"/>
    <w:rsid w:val="00082A29"/>
    <w:rsid w:val="00082B04"/>
    <w:rsid w:val="0008331D"/>
    <w:rsid w:val="000834D3"/>
    <w:rsid w:val="00083C18"/>
    <w:rsid w:val="00083CC1"/>
    <w:rsid w:val="000861C5"/>
    <w:rsid w:val="00086C41"/>
    <w:rsid w:val="000878AB"/>
    <w:rsid w:val="00087AA9"/>
    <w:rsid w:val="00087BE9"/>
    <w:rsid w:val="00090495"/>
    <w:rsid w:val="000905C6"/>
    <w:rsid w:val="00090FE3"/>
    <w:rsid w:val="0009100D"/>
    <w:rsid w:val="00092899"/>
    <w:rsid w:val="000976A7"/>
    <w:rsid w:val="000A178E"/>
    <w:rsid w:val="000A1B28"/>
    <w:rsid w:val="000A1E02"/>
    <w:rsid w:val="000A314C"/>
    <w:rsid w:val="000A36EE"/>
    <w:rsid w:val="000A557E"/>
    <w:rsid w:val="000A7FFB"/>
    <w:rsid w:val="000B058F"/>
    <w:rsid w:val="000B242C"/>
    <w:rsid w:val="000B2A48"/>
    <w:rsid w:val="000B2E48"/>
    <w:rsid w:val="000B42F8"/>
    <w:rsid w:val="000B4BCF"/>
    <w:rsid w:val="000B5F54"/>
    <w:rsid w:val="000B6640"/>
    <w:rsid w:val="000B693F"/>
    <w:rsid w:val="000B744F"/>
    <w:rsid w:val="000B7BF2"/>
    <w:rsid w:val="000C08D9"/>
    <w:rsid w:val="000C09AC"/>
    <w:rsid w:val="000C0A63"/>
    <w:rsid w:val="000C34C5"/>
    <w:rsid w:val="000C437E"/>
    <w:rsid w:val="000C4757"/>
    <w:rsid w:val="000C4BEF"/>
    <w:rsid w:val="000C65AB"/>
    <w:rsid w:val="000D1B3C"/>
    <w:rsid w:val="000D3EC3"/>
    <w:rsid w:val="000D5576"/>
    <w:rsid w:val="000D6232"/>
    <w:rsid w:val="000D67BA"/>
    <w:rsid w:val="000D71C1"/>
    <w:rsid w:val="000E0AEE"/>
    <w:rsid w:val="000E0DE5"/>
    <w:rsid w:val="000E48AA"/>
    <w:rsid w:val="000E4CFB"/>
    <w:rsid w:val="000E51B1"/>
    <w:rsid w:val="000E5F16"/>
    <w:rsid w:val="000F0A5F"/>
    <w:rsid w:val="000F0AD0"/>
    <w:rsid w:val="000F0AED"/>
    <w:rsid w:val="000F3D87"/>
    <w:rsid w:val="000F4452"/>
    <w:rsid w:val="000F544F"/>
    <w:rsid w:val="000F6DA1"/>
    <w:rsid w:val="000F701B"/>
    <w:rsid w:val="000F7B9C"/>
    <w:rsid w:val="00102F6F"/>
    <w:rsid w:val="001056A0"/>
    <w:rsid w:val="001057F4"/>
    <w:rsid w:val="001061B5"/>
    <w:rsid w:val="0010638B"/>
    <w:rsid w:val="00107A38"/>
    <w:rsid w:val="00110AB9"/>
    <w:rsid w:val="00110FE4"/>
    <w:rsid w:val="001138FA"/>
    <w:rsid w:val="0011442B"/>
    <w:rsid w:val="00115279"/>
    <w:rsid w:val="00116E75"/>
    <w:rsid w:val="00116F8A"/>
    <w:rsid w:val="00117459"/>
    <w:rsid w:val="0011749A"/>
    <w:rsid w:val="00117636"/>
    <w:rsid w:val="00121FBA"/>
    <w:rsid w:val="001240B6"/>
    <w:rsid w:val="0012465B"/>
    <w:rsid w:val="00127080"/>
    <w:rsid w:val="00127A68"/>
    <w:rsid w:val="00130715"/>
    <w:rsid w:val="001311DA"/>
    <w:rsid w:val="00133C35"/>
    <w:rsid w:val="0013499D"/>
    <w:rsid w:val="00135BF5"/>
    <w:rsid w:val="00136F8E"/>
    <w:rsid w:val="00140B13"/>
    <w:rsid w:val="00140B6E"/>
    <w:rsid w:val="00141B68"/>
    <w:rsid w:val="00142A3B"/>
    <w:rsid w:val="0014344E"/>
    <w:rsid w:val="001466DA"/>
    <w:rsid w:val="00146EA4"/>
    <w:rsid w:val="00150841"/>
    <w:rsid w:val="00151498"/>
    <w:rsid w:val="00153060"/>
    <w:rsid w:val="00154DE1"/>
    <w:rsid w:val="00155B40"/>
    <w:rsid w:val="001565B0"/>
    <w:rsid w:val="00156AF3"/>
    <w:rsid w:val="00157435"/>
    <w:rsid w:val="00157CB7"/>
    <w:rsid w:val="001606B5"/>
    <w:rsid w:val="00160A8E"/>
    <w:rsid w:val="001614DE"/>
    <w:rsid w:val="00162014"/>
    <w:rsid w:val="00162A45"/>
    <w:rsid w:val="00162BD8"/>
    <w:rsid w:val="00163EEA"/>
    <w:rsid w:val="0016428C"/>
    <w:rsid w:val="001643F3"/>
    <w:rsid w:val="00167931"/>
    <w:rsid w:val="00167A07"/>
    <w:rsid w:val="00170407"/>
    <w:rsid w:val="0017046A"/>
    <w:rsid w:val="001704A3"/>
    <w:rsid w:val="00170555"/>
    <w:rsid w:val="0017384B"/>
    <w:rsid w:val="00174AB9"/>
    <w:rsid w:val="0017504D"/>
    <w:rsid w:val="00177422"/>
    <w:rsid w:val="00180238"/>
    <w:rsid w:val="00180A0E"/>
    <w:rsid w:val="00181A21"/>
    <w:rsid w:val="00181B29"/>
    <w:rsid w:val="00182996"/>
    <w:rsid w:val="001830B9"/>
    <w:rsid w:val="00183766"/>
    <w:rsid w:val="00184740"/>
    <w:rsid w:val="00184A63"/>
    <w:rsid w:val="00184F10"/>
    <w:rsid w:val="001854A6"/>
    <w:rsid w:val="0018553E"/>
    <w:rsid w:val="00185546"/>
    <w:rsid w:val="0018682B"/>
    <w:rsid w:val="00187099"/>
    <w:rsid w:val="00187AD0"/>
    <w:rsid w:val="0019146B"/>
    <w:rsid w:val="0019281F"/>
    <w:rsid w:val="001939ED"/>
    <w:rsid w:val="00194398"/>
    <w:rsid w:val="001A1C00"/>
    <w:rsid w:val="001A1C9A"/>
    <w:rsid w:val="001A305A"/>
    <w:rsid w:val="001A348F"/>
    <w:rsid w:val="001A4CA8"/>
    <w:rsid w:val="001A557F"/>
    <w:rsid w:val="001A5DDD"/>
    <w:rsid w:val="001A7784"/>
    <w:rsid w:val="001A7D2A"/>
    <w:rsid w:val="001B0646"/>
    <w:rsid w:val="001B09B4"/>
    <w:rsid w:val="001B1863"/>
    <w:rsid w:val="001B32DC"/>
    <w:rsid w:val="001B390A"/>
    <w:rsid w:val="001B574C"/>
    <w:rsid w:val="001B64F2"/>
    <w:rsid w:val="001B794D"/>
    <w:rsid w:val="001C0AF9"/>
    <w:rsid w:val="001C0C2F"/>
    <w:rsid w:val="001C0DB9"/>
    <w:rsid w:val="001C13EB"/>
    <w:rsid w:val="001C155A"/>
    <w:rsid w:val="001C1D27"/>
    <w:rsid w:val="001C20C6"/>
    <w:rsid w:val="001C2E29"/>
    <w:rsid w:val="001C339D"/>
    <w:rsid w:val="001C38E3"/>
    <w:rsid w:val="001C4039"/>
    <w:rsid w:val="001C48C0"/>
    <w:rsid w:val="001C4ABA"/>
    <w:rsid w:val="001C4E58"/>
    <w:rsid w:val="001C56AE"/>
    <w:rsid w:val="001C7015"/>
    <w:rsid w:val="001D034D"/>
    <w:rsid w:val="001D1583"/>
    <w:rsid w:val="001D6726"/>
    <w:rsid w:val="001D7E05"/>
    <w:rsid w:val="001D7F11"/>
    <w:rsid w:val="001E0771"/>
    <w:rsid w:val="001E2086"/>
    <w:rsid w:val="001E208A"/>
    <w:rsid w:val="001E34CD"/>
    <w:rsid w:val="001E404D"/>
    <w:rsid w:val="001E4353"/>
    <w:rsid w:val="001E5DD4"/>
    <w:rsid w:val="001E7825"/>
    <w:rsid w:val="001F3347"/>
    <w:rsid w:val="001F3B5C"/>
    <w:rsid w:val="001F41FE"/>
    <w:rsid w:val="001F4440"/>
    <w:rsid w:val="001F5D02"/>
    <w:rsid w:val="001F6228"/>
    <w:rsid w:val="001F69E4"/>
    <w:rsid w:val="001F69FA"/>
    <w:rsid w:val="0020036A"/>
    <w:rsid w:val="00200F8B"/>
    <w:rsid w:val="002014A9"/>
    <w:rsid w:val="0020209E"/>
    <w:rsid w:val="00206A65"/>
    <w:rsid w:val="00207AAD"/>
    <w:rsid w:val="00211FE8"/>
    <w:rsid w:val="00212D31"/>
    <w:rsid w:val="002130C7"/>
    <w:rsid w:val="00214966"/>
    <w:rsid w:val="00216A9A"/>
    <w:rsid w:val="002175F5"/>
    <w:rsid w:val="00220C9C"/>
    <w:rsid w:val="00221065"/>
    <w:rsid w:val="002218A8"/>
    <w:rsid w:val="00221C76"/>
    <w:rsid w:val="0022306D"/>
    <w:rsid w:val="00223098"/>
    <w:rsid w:val="002234B6"/>
    <w:rsid w:val="002245CD"/>
    <w:rsid w:val="002246BB"/>
    <w:rsid w:val="0022488E"/>
    <w:rsid w:val="00225D6F"/>
    <w:rsid w:val="00226574"/>
    <w:rsid w:val="00227605"/>
    <w:rsid w:val="00227736"/>
    <w:rsid w:val="00227845"/>
    <w:rsid w:val="002278EC"/>
    <w:rsid w:val="00230FF8"/>
    <w:rsid w:val="00232A14"/>
    <w:rsid w:val="002357C7"/>
    <w:rsid w:val="0023598B"/>
    <w:rsid w:val="00235CFF"/>
    <w:rsid w:val="002365CD"/>
    <w:rsid w:val="002367C4"/>
    <w:rsid w:val="00240974"/>
    <w:rsid w:val="002410F5"/>
    <w:rsid w:val="00241D2A"/>
    <w:rsid w:val="00243E0E"/>
    <w:rsid w:val="00245183"/>
    <w:rsid w:val="00247368"/>
    <w:rsid w:val="00247C6B"/>
    <w:rsid w:val="002517BC"/>
    <w:rsid w:val="002533FE"/>
    <w:rsid w:val="00253683"/>
    <w:rsid w:val="00253F52"/>
    <w:rsid w:val="00254EAD"/>
    <w:rsid w:val="00255759"/>
    <w:rsid w:val="00255F0E"/>
    <w:rsid w:val="0025679E"/>
    <w:rsid w:val="00256903"/>
    <w:rsid w:val="00260C68"/>
    <w:rsid w:val="002619DD"/>
    <w:rsid w:val="00262209"/>
    <w:rsid w:val="0026251E"/>
    <w:rsid w:val="00263F92"/>
    <w:rsid w:val="002648B0"/>
    <w:rsid w:val="00265860"/>
    <w:rsid w:val="00267200"/>
    <w:rsid w:val="00267F17"/>
    <w:rsid w:val="00270BFD"/>
    <w:rsid w:val="00273F6F"/>
    <w:rsid w:val="002744FA"/>
    <w:rsid w:val="00275271"/>
    <w:rsid w:val="0027535E"/>
    <w:rsid w:val="00275681"/>
    <w:rsid w:val="00275AA6"/>
    <w:rsid w:val="0027612D"/>
    <w:rsid w:val="0027618F"/>
    <w:rsid w:val="002766B1"/>
    <w:rsid w:val="00276C94"/>
    <w:rsid w:val="00276EEF"/>
    <w:rsid w:val="002807D5"/>
    <w:rsid w:val="00281D51"/>
    <w:rsid w:val="00281FF3"/>
    <w:rsid w:val="00282CCD"/>
    <w:rsid w:val="0028418D"/>
    <w:rsid w:val="00284B44"/>
    <w:rsid w:val="00285FFF"/>
    <w:rsid w:val="00286936"/>
    <w:rsid w:val="00287713"/>
    <w:rsid w:val="00291440"/>
    <w:rsid w:val="00291B2F"/>
    <w:rsid w:val="00291DA0"/>
    <w:rsid w:val="00292201"/>
    <w:rsid w:val="00293204"/>
    <w:rsid w:val="002A0992"/>
    <w:rsid w:val="002A168C"/>
    <w:rsid w:val="002A17AE"/>
    <w:rsid w:val="002A1E32"/>
    <w:rsid w:val="002A2C48"/>
    <w:rsid w:val="002A359E"/>
    <w:rsid w:val="002A3EED"/>
    <w:rsid w:val="002A4A39"/>
    <w:rsid w:val="002A4C7F"/>
    <w:rsid w:val="002A514B"/>
    <w:rsid w:val="002A5A17"/>
    <w:rsid w:val="002A6425"/>
    <w:rsid w:val="002B14C7"/>
    <w:rsid w:val="002B3AF6"/>
    <w:rsid w:val="002B49E2"/>
    <w:rsid w:val="002B5195"/>
    <w:rsid w:val="002B5959"/>
    <w:rsid w:val="002B6B10"/>
    <w:rsid w:val="002B7B00"/>
    <w:rsid w:val="002B7C44"/>
    <w:rsid w:val="002B7EC0"/>
    <w:rsid w:val="002C0EB2"/>
    <w:rsid w:val="002C1388"/>
    <w:rsid w:val="002C2896"/>
    <w:rsid w:val="002C3224"/>
    <w:rsid w:val="002C3C6A"/>
    <w:rsid w:val="002C4A5D"/>
    <w:rsid w:val="002C4EFF"/>
    <w:rsid w:val="002D120B"/>
    <w:rsid w:val="002D22C5"/>
    <w:rsid w:val="002D3F36"/>
    <w:rsid w:val="002D42DB"/>
    <w:rsid w:val="002D53D6"/>
    <w:rsid w:val="002D6988"/>
    <w:rsid w:val="002D6B8A"/>
    <w:rsid w:val="002E03FF"/>
    <w:rsid w:val="002E094F"/>
    <w:rsid w:val="002E0AF8"/>
    <w:rsid w:val="002E1181"/>
    <w:rsid w:val="002E11BA"/>
    <w:rsid w:val="002E1F3A"/>
    <w:rsid w:val="002E28D0"/>
    <w:rsid w:val="002E298A"/>
    <w:rsid w:val="002E2EFB"/>
    <w:rsid w:val="002E3F26"/>
    <w:rsid w:val="002E63A5"/>
    <w:rsid w:val="002F02A4"/>
    <w:rsid w:val="002F043B"/>
    <w:rsid w:val="002F0E98"/>
    <w:rsid w:val="002F272B"/>
    <w:rsid w:val="002F3DDD"/>
    <w:rsid w:val="002F4A41"/>
    <w:rsid w:val="002F50F8"/>
    <w:rsid w:val="002F6039"/>
    <w:rsid w:val="002F6DC1"/>
    <w:rsid w:val="002F7C6D"/>
    <w:rsid w:val="00301C89"/>
    <w:rsid w:val="003027E4"/>
    <w:rsid w:val="00303033"/>
    <w:rsid w:val="0030332C"/>
    <w:rsid w:val="00303610"/>
    <w:rsid w:val="00305872"/>
    <w:rsid w:val="00305F67"/>
    <w:rsid w:val="0030657C"/>
    <w:rsid w:val="0030681E"/>
    <w:rsid w:val="00307207"/>
    <w:rsid w:val="00307F98"/>
    <w:rsid w:val="00310F86"/>
    <w:rsid w:val="00311B2E"/>
    <w:rsid w:val="00312296"/>
    <w:rsid w:val="003130F0"/>
    <w:rsid w:val="0031326F"/>
    <w:rsid w:val="003132B2"/>
    <w:rsid w:val="0031340E"/>
    <w:rsid w:val="003153D6"/>
    <w:rsid w:val="003161B8"/>
    <w:rsid w:val="00316464"/>
    <w:rsid w:val="0031661B"/>
    <w:rsid w:val="003176A4"/>
    <w:rsid w:val="003203D3"/>
    <w:rsid w:val="0032073A"/>
    <w:rsid w:val="00320FC4"/>
    <w:rsid w:val="00321D8E"/>
    <w:rsid w:val="00322868"/>
    <w:rsid w:val="00322BDE"/>
    <w:rsid w:val="00323B74"/>
    <w:rsid w:val="0032660D"/>
    <w:rsid w:val="003275EA"/>
    <w:rsid w:val="0032771A"/>
    <w:rsid w:val="0033008D"/>
    <w:rsid w:val="0033016A"/>
    <w:rsid w:val="00331A20"/>
    <w:rsid w:val="00332DC6"/>
    <w:rsid w:val="00333AF9"/>
    <w:rsid w:val="00333D8C"/>
    <w:rsid w:val="00334996"/>
    <w:rsid w:val="00336969"/>
    <w:rsid w:val="00336C52"/>
    <w:rsid w:val="003404C5"/>
    <w:rsid w:val="00341B3E"/>
    <w:rsid w:val="00341B42"/>
    <w:rsid w:val="00342DCC"/>
    <w:rsid w:val="00345154"/>
    <w:rsid w:val="0034560E"/>
    <w:rsid w:val="00346962"/>
    <w:rsid w:val="00346C5D"/>
    <w:rsid w:val="00347865"/>
    <w:rsid w:val="00350523"/>
    <w:rsid w:val="00351C58"/>
    <w:rsid w:val="00352685"/>
    <w:rsid w:val="003526D3"/>
    <w:rsid w:val="00352975"/>
    <w:rsid w:val="00356868"/>
    <w:rsid w:val="00356A7B"/>
    <w:rsid w:val="003602A3"/>
    <w:rsid w:val="0036094B"/>
    <w:rsid w:val="0036179E"/>
    <w:rsid w:val="00361BD2"/>
    <w:rsid w:val="00362483"/>
    <w:rsid w:val="0036485B"/>
    <w:rsid w:val="0036495B"/>
    <w:rsid w:val="00365706"/>
    <w:rsid w:val="00366B88"/>
    <w:rsid w:val="00367698"/>
    <w:rsid w:val="00367A43"/>
    <w:rsid w:val="00367C15"/>
    <w:rsid w:val="00371B1E"/>
    <w:rsid w:val="00371D1F"/>
    <w:rsid w:val="0037262C"/>
    <w:rsid w:val="00373B0D"/>
    <w:rsid w:val="00373F63"/>
    <w:rsid w:val="00374C0B"/>
    <w:rsid w:val="00375564"/>
    <w:rsid w:val="003756A6"/>
    <w:rsid w:val="00376988"/>
    <w:rsid w:val="0037730A"/>
    <w:rsid w:val="00377402"/>
    <w:rsid w:val="00380B27"/>
    <w:rsid w:val="00381A72"/>
    <w:rsid w:val="00381BA9"/>
    <w:rsid w:val="00383054"/>
    <w:rsid w:val="003873AA"/>
    <w:rsid w:val="00391C16"/>
    <w:rsid w:val="00393890"/>
    <w:rsid w:val="00394433"/>
    <w:rsid w:val="00394944"/>
    <w:rsid w:val="003949DE"/>
    <w:rsid w:val="00395135"/>
    <w:rsid w:val="0039679B"/>
    <w:rsid w:val="003970D5"/>
    <w:rsid w:val="00397633"/>
    <w:rsid w:val="00397EE5"/>
    <w:rsid w:val="003A0476"/>
    <w:rsid w:val="003A1948"/>
    <w:rsid w:val="003A2361"/>
    <w:rsid w:val="003A4098"/>
    <w:rsid w:val="003A5E4B"/>
    <w:rsid w:val="003A61A4"/>
    <w:rsid w:val="003B0B7E"/>
    <w:rsid w:val="003B13CF"/>
    <w:rsid w:val="003B152A"/>
    <w:rsid w:val="003B15FA"/>
    <w:rsid w:val="003B224A"/>
    <w:rsid w:val="003B3B24"/>
    <w:rsid w:val="003B48F9"/>
    <w:rsid w:val="003B545B"/>
    <w:rsid w:val="003C3107"/>
    <w:rsid w:val="003C47BE"/>
    <w:rsid w:val="003C7577"/>
    <w:rsid w:val="003D1257"/>
    <w:rsid w:val="003D3EE9"/>
    <w:rsid w:val="003D3F92"/>
    <w:rsid w:val="003D4756"/>
    <w:rsid w:val="003D576C"/>
    <w:rsid w:val="003D64CA"/>
    <w:rsid w:val="003D6C62"/>
    <w:rsid w:val="003D7D24"/>
    <w:rsid w:val="003D7EDE"/>
    <w:rsid w:val="003E0392"/>
    <w:rsid w:val="003E0A0D"/>
    <w:rsid w:val="003E0C89"/>
    <w:rsid w:val="003E1FEC"/>
    <w:rsid w:val="003E3B9D"/>
    <w:rsid w:val="003E3C3D"/>
    <w:rsid w:val="003E4A85"/>
    <w:rsid w:val="003E52DC"/>
    <w:rsid w:val="003E6087"/>
    <w:rsid w:val="003E61A0"/>
    <w:rsid w:val="003E66B3"/>
    <w:rsid w:val="003E6730"/>
    <w:rsid w:val="003E7681"/>
    <w:rsid w:val="003E7A4E"/>
    <w:rsid w:val="003E7A5E"/>
    <w:rsid w:val="003E7F21"/>
    <w:rsid w:val="003F0679"/>
    <w:rsid w:val="003F0809"/>
    <w:rsid w:val="003F25E6"/>
    <w:rsid w:val="003F2659"/>
    <w:rsid w:val="003F2A47"/>
    <w:rsid w:val="003F338A"/>
    <w:rsid w:val="003F396F"/>
    <w:rsid w:val="003F3C71"/>
    <w:rsid w:val="003F611C"/>
    <w:rsid w:val="003F6D8C"/>
    <w:rsid w:val="003F7340"/>
    <w:rsid w:val="003F755C"/>
    <w:rsid w:val="003F78A5"/>
    <w:rsid w:val="0040079E"/>
    <w:rsid w:val="00401980"/>
    <w:rsid w:val="0040262F"/>
    <w:rsid w:val="0040326F"/>
    <w:rsid w:val="00403C80"/>
    <w:rsid w:val="004041C6"/>
    <w:rsid w:val="00405DAB"/>
    <w:rsid w:val="00406E41"/>
    <w:rsid w:val="00406F01"/>
    <w:rsid w:val="004073D0"/>
    <w:rsid w:val="0040744A"/>
    <w:rsid w:val="00407A24"/>
    <w:rsid w:val="00411883"/>
    <w:rsid w:val="00411B36"/>
    <w:rsid w:val="004121A1"/>
    <w:rsid w:val="004121D7"/>
    <w:rsid w:val="00412669"/>
    <w:rsid w:val="004134DE"/>
    <w:rsid w:val="00414511"/>
    <w:rsid w:val="0041478C"/>
    <w:rsid w:val="00415345"/>
    <w:rsid w:val="00415590"/>
    <w:rsid w:val="00416D50"/>
    <w:rsid w:val="0041764D"/>
    <w:rsid w:val="00417772"/>
    <w:rsid w:val="00420E6A"/>
    <w:rsid w:val="00421EEF"/>
    <w:rsid w:val="004253A7"/>
    <w:rsid w:val="004260D6"/>
    <w:rsid w:val="00426621"/>
    <w:rsid w:val="004270A8"/>
    <w:rsid w:val="00427B71"/>
    <w:rsid w:val="00427E66"/>
    <w:rsid w:val="00430256"/>
    <w:rsid w:val="0043074F"/>
    <w:rsid w:val="004314B1"/>
    <w:rsid w:val="00433CA9"/>
    <w:rsid w:val="004343D2"/>
    <w:rsid w:val="00435118"/>
    <w:rsid w:val="0043521D"/>
    <w:rsid w:val="0043583E"/>
    <w:rsid w:val="00437E2B"/>
    <w:rsid w:val="00440178"/>
    <w:rsid w:val="00441FDF"/>
    <w:rsid w:val="00442024"/>
    <w:rsid w:val="0044254C"/>
    <w:rsid w:val="00443F6A"/>
    <w:rsid w:val="00444862"/>
    <w:rsid w:val="00444A44"/>
    <w:rsid w:val="004471BB"/>
    <w:rsid w:val="00450A17"/>
    <w:rsid w:val="004529AB"/>
    <w:rsid w:val="00453036"/>
    <w:rsid w:val="00461E38"/>
    <w:rsid w:val="004625DF"/>
    <w:rsid w:val="00464887"/>
    <w:rsid w:val="00465C2A"/>
    <w:rsid w:val="00466321"/>
    <w:rsid w:val="00466679"/>
    <w:rsid w:val="004672AF"/>
    <w:rsid w:val="00467AEC"/>
    <w:rsid w:val="0047075E"/>
    <w:rsid w:val="0047095E"/>
    <w:rsid w:val="004710CB"/>
    <w:rsid w:val="004727B0"/>
    <w:rsid w:val="00472AD6"/>
    <w:rsid w:val="00472D51"/>
    <w:rsid w:val="004730C4"/>
    <w:rsid w:val="004742D6"/>
    <w:rsid w:val="00474D98"/>
    <w:rsid w:val="00475E73"/>
    <w:rsid w:val="0047795C"/>
    <w:rsid w:val="00480247"/>
    <w:rsid w:val="0048081D"/>
    <w:rsid w:val="0048117E"/>
    <w:rsid w:val="004814CC"/>
    <w:rsid w:val="00482D7B"/>
    <w:rsid w:val="004836FC"/>
    <w:rsid w:val="004846D2"/>
    <w:rsid w:val="0048509C"/>
    <w:rsid w:val="004855F6"/>
    <w:rsid w:val="00485B5E"/>
    <w:rsid w:val="00485DA4"/>
    <w:rsid w:val="004869A4"/>
    <w:rsid w:val="00486F0C"/>
    <w:rsid w:val="0048736E"/>
    <w:rsid w:val="00491064"/>
    <w:rsid w:val="00493842"/>
    <w:rsid w:val="0049405C"/>
    <w:rsid w:val="00494670"/>
    <w:rsid w:val="00494985"/>
    <w:rsid w:val="00495146"/>
    <w:rsid w:val="00496CD0"/>
    <w:rsid w:val="00496CDD"/>
    <w:rsid w:val="004A0EB4"/>
    <w:rsid w:val="004A17E7"/>
    <w:rsid w:val="004A2E61"/>
    <w:rsid w:val="004A342C"/>
    <w:rsid w:val="004A3823"/>
    <w:rsid w:val="004A59BB"/>
    <w:rsid w:val="004A5C0C"/>
    <w:rsid w:val="004A79AC"/>
    <w:rsid w:val="004A7D16"/>
    <w:rsid w:val="004B0EE8"/>
    <w:rsid w:val="004B3D7E"/>
    <w:rsid w:val="004B43A3"/>
    <w:rsid w:val="004B4C49"/>
    <w:rsid w:val="004B58A5"/>
    <w:rsid w:val="004B5F15"/>
    <w:rsid w:val="004B63D9"/>
    <w:rsid w:val="004C0882"/>
    <w:rsid w:val="004C183C"/>
    <w:rsid w:val="004C1E1A"/>
    <w:rsid w:val="004C300A"/>
    <w:rsid w:val="004C3605"/>
    <w:rsid w:val="004C4D65"/>
    <w:rsid w:val="004C55BE"/>
    <w:rsid w:val="004C5715"/>
    <w:rsid w:val="004C6D04"/>
    <w:rsid w:val="004C719C"/>
    <w:rsid w:val="004C7783"/>
    <w:rsid w:val="004D05E2"/>
    <w:rsid w:val="004D2166"/>
    <w:rsid w:val="004D4156"/>
    <w:rsid w:val="004D5D00"/>
    <w:rsid w:val="004E0646"/>
    <w:rsid w:val="004E169B"/>
    <w:rsid w:val="004E186F"/>
    <w:rsid w:val="004E3DE3"/>
    <w:rsid w:val="004E4138"/>
    <w:rsid w:val="004E45EF"/>
    <w:rsid w:val="004E50FA"/>
    <w:rsid w:val="004E51EA"/>
    <w:rsid w:val="004E5B30"/>
    <w:rsid w:val="004E6A9F"/>
    <w:rsid w:val="004E6D48"/>
    <w:rsid w:val="004F03CC"/>
    <w:rsid w:val="004F0779"/>
    <w:rsid w:val="004F0EAE"/>
    <w:rsid w:val="004F1230"/>
    <w:rsid w:val="004F173F"/>
    <w:rsid w:val="004F177C"/>
    <w:rsid w:val="004F2DCE"/>
    <w:rsid w:val="004F376F"/>
    <w:rsid w:val="004F5CDE"/>
    <w:rsid w:val="004F5D46"/>
    <w:rsid w:val="00500CEA"/>
    <w:rsid w:val="0050183B"/>
    <w:rsid w:val="00503313"/>
    <w:rsid w:val="005039CB"/>
    <w:rsid w:val="00503F8E"/>
    <w:rsid w:val="0050558F"/>
    <w:rsid w:val="00505732"/>
    <w:rsid w:val="005057E0"/>
    <w:rsid w:val="00505D9E"/>
    <w:rsid w:val="00506286"/>
    <w:rsid w:val="00507B6B"/>
    <w:rsid w:val="00510732"/>
    <w:rsid w:val="00510813"/>
    <w:rsid w:val="00511320"/>
    <w:rsid w:val="00511DE0"/>
    <w:rsid w:val="0051223C"/>
    <w:rsid w:val="0051290F"/>
    <w:rsid w:val="00512BFE"/>
    <w:rsid w:val="005143DA"/>
    <w:rsid w:val="00515945"/>
    <w:rsid w:val="0051722D"/>
    <w:rsid w:val="00517F02"/>
    <w:rsid w:val="00520722"/>
    <w:rsid w:val="005209E6"/>
    <w:rsid w:val="00521821"/>
    <w:rsid w:val="00521F31"/>
    <w:rsid w:val="0052270A"/>
    <w:rsid w:val="00522766"/>
    <w:rsid w:val="00522EFC"/>
    <w:rsid w:val="005231BB"/>
    <w:rsid w:val="00524547"/>
    <w:rsid w:val="005251F6"/>
    <w:rsid w:val="00525470"/>
    <w:rsid w:val="00525475"/>
    <w:rsid w:val="005258A2"/>
    <w:rsid w:val="005264E7"/>
    <w:rsid w:val="00526A26"/>
    <w:rsid w:val="00526CCF"/>
    <w:rsid w:val="00527BF7"/>
    <w:rsid w:val="005309D2"/>
    <w:rsid w:val="00530C8B"/>
    <w:rsid w:val="00530F7C"/>
    <w:rsid w:val="00533D97"/>
    <w:rsid w:val="00534567"/>
    <w:rsid w:val="00534F43"/>
    <w:rsid w:val="00535A84"/>
    <w:rsid w:val="0053606B"/>
    <w:rsid w:val="00536889"/>
    <w:rsid w:val="00542E07"/>
    <w:rsid w:val="005443E7"/>
    <w:rsid w:val="00544DF5"/>
    <w:rsid w:val="0054544F"/>
    <w:rsid w:val="005456DF"/>
    <w:rsid w:val="005459A6"/>
    <w:rsid w:val="00546324"/>
    <w:rsid w:val="0054745D"/>
    <w:rsid w:val="00550571"/>
    <w:rsid w:val="0055147E"/>
    <w:rsid w:val="005518D8"/>
    <w:rsid w:val="005521D4"/>
    <w:rsid w:val="00552D7B"/>
    <w:rsid w:val="00554A7B"/>
    <w:rsid w:val="00554CA0"/>
    <w:rsid w:val="0055572C"/>
    <w:rsid w:val="0055633A"/>
    <w:rsid w:val="00556F5C"/>
    <w:rsid w:val="0056064F"/>
    <w:rsid w:val="00561B84"/>
    <w:rsid w:val="00561B88"/>
    <w:rsid w:val="00562FA5"/>
    <w:rsid w:val="005633CA"/>
    <w:rsid w:val="00564EB5"/>
    <w:rsid w:val="00565113"/>
    <w:rsid w:val="005667DA"/>
    <w:rsid w:val="00571D98"/>
    <w:rsid w:val="005720AE"/>
    <w:rsid w:val="00572C23"/>
    <w:rsid w:val="00573861"/>
    <w:rsid w:val="005746C7"/>
    <w:rsid w:val="005748FF"/>
    <w:rsid w:val="005749DD"/>
    <w:rsid w:val="00577250"/>
    <w:rsid w:val="005774ED"/>
    <w:rsid w:val="00577BB5"/>
    <w:rsid w:val="0058025F"/>
    <w:rsid w:val="0058030D"/>
    <w:rsid w:val="00580FB0"/>
    <w:rsid w:val="00581A89"/>
    <w:rsid w:val="00582045"/>
    <w:rsid w:val="00583F98"/>
    <w:rsid w:val="005856AD"/>
    <w:rsid w:val="00585A07"/>
    <w:rsid w:val="005861C1"/>
    <w:rsid w:val="00586281"/>
    <w:rsid w:val="00590AE3"/>
    <w:rsid w:val="00590C57"/>
    <w:rsid w:val="005918F1"/>
    <w:rsid w:val="00591B14"/>
    <w:rsid w:val="00594929"/>
    <w:rsid w:val="005949AB"/>
    <w:rsid w:val="00594F20"/>
    <w:rsid w:val="00596621"/>
    <w:rsid w:val="00597131"/>
    <w:rsid w:val="005A01E7"/>
    <w:rsid w:val="005A048F"/>
    <w:rsid w:val="005A06B7"/>
    <w:rsid w:val="005A06D1"/>
    <w:rsid w:val="005A1759"/>
    <w:rsid w:val="005A565A"/>
    <w:rsid w:val="005A5837"/>
    <w:rsid w:val="005A6000"/>
    <w:rsid w:val="005A621A"/>
    <w:rsid w:val="005A626A"/>
    <w:rsid w:val="005A6F43"/>
    <w:rsid w:val="005A7DB5"/>
    <w:rsid w:val="005B0682"/>
    <w:rsid w:val="005B115B"/>
    <w:rsid w:val="005B19DF"/>
    <w:rsid w:val="005B1AC4"/>
    <w:rsid w:val="005B47F1"/>
    <w:rsid w:val="005B48FB"/>
    <w:rsid w:val="005B68BB"/>
    <w:rsid w:val="005B6DB6"/>
    <w:rsid w:val="005B73B8"/>
    <w:rsid w:val="005C0027"/>
    <w:rsid w:val="005C1AD7"/>
    <w:rsid w:val="005C1C6F"/>
    <w:rsid w:val="005C348D"/>
    <w:rsid w:val="005C35FA"/>
    <w:rsid w:val="005C55AB"/>
    <w:rsid w:val="005C6293"/>
    <w:rsid w:val="005C6E66"/>
    <w:rsid w:val="005D0369"/>
    <w:rsid w:val="005D0A0C"/>
    <w:rsid w:val="005D20ED"/>
    <w:rsid w:val="005D4D05"/>
    <w:rsid w:val="005D53FE"/>
    <w:rsid w:val="005D584F"/>
    <w:rsid w:val="005D6666"/>
    <w:rsid w:val="005D6D91"/>
    <w:rsid w:val="005D727A"/>
    <w:rsid w:val="005D7A0F"/>
    <w:rsid w:val="005D7CE5"/>
    <w:rsid w:val="005E0438"/>
    <w:rsid w:val="005E1791"/>
    <w:rsid w:val="005E1F39"/>
    <w:rsid w:val="005E2546"/>
    <w:rsid w:val="005E2CE6"/>
    <w:rsid w:val="005E5BD7"/>
    <w:rsid w:val="005E6324"/>
    <w:rsid w:val="005F0B46"/>
    <w:rsid w:val="005F1109"/>
    <w:rsid w:val="005F228B"/>
    <w:rsid w:val="005F29CD"/>
    <w:rsid w:val="005F2E2A"/>
    <w:rsid w:val="005F4DFB"/>
    <w:rsid w:val="005F5F7E"/>
    <w:rsid w:val="005F6A18"/>
    <w:rsid w:val="005F6CC0"/>
    <w:rsid w:val="00601822"/>
    <w:rsid w:val="00601880"/>
    <w:rsid w:val="00603A40"/>
    <w:rsid w:val="00603E5B"/>
    <w:rsid w:val="00604011"/>
    <w:rsid w:val="0060447F"/>
    <w:rsid w:val="00604BC8"/>
    <w:rsid w:val="00605A21"/>
    <w:rsid w:val="00605E41"/>
    <w:rsid w:val="00606748"/>
    <w:rsid w:val="00610632"/>
    <w:rsid w:val="0061258B"/>
    <w:rsid w:val="0061406B"/>
    <w:rsid w:val="0061417F"/>
    <w:rsid w:val="00614EDA"/>
    <w:rsid w:val="00615B4C"/>
    <w:rsid w:val="00615B5D"/>
    <w:rsid w:val="0061628B"/>
    <w:rsid w:val="006167CA"/>
    <w:rsid w:val="00616F2E"/>
    <w:rsid w:val="0062146F"/>
    <w:rsid w:val="00622E20"/>
    <w:rsid w:val="00622F13"/>
    <w:rsid w:val="00623236"/>
    <w:rsid w:val="006242D0"/>
    <w:rsid w:val="00626E67"/>
    <w:rsid w:val="006278C2"/>
    <w:rsid w:val="00630AFF"/>
    <w:rsid w:val="0063316C"/>
    <w:rsid w:val="006342F3"/>
    <w:rsid w:val="006343AF"/>
    <w:rsid w:val="00635416"/>
    <w:rsid w:val="0063624F"/>
    <w:rsid w:val="0063634A"/>
    <w:rsid w:val="00641978"/>
    <w:rsid w:val="0064250D"/>
    <w:rsid w:val="00643897"/>
    <w:rsid w:val="00644521"/>
    <w:rsid w:val="00644BF1"/>
    <w:rsid w:val="006450C1"/>
    <w:rsid w:val="00645825"/>
    <w:rsid w:val="00645F9B"/>
    <w:rsid w:val="00646E99"/>
    <w:rsid w:val="00647A2F"/>
    <w:rsid w:val="00647ECE"/>
    <w:rsid w:val="006507F8"/>
    <w:rsid w:val="0065252D"/>
    <w:rsid w:val="006535EB"/>
    <w:rsid w:val="00653D32"/>
    <w:rsid w:val="006541E4"/>
    <w:rsid w:val="00654688"/>
    <w:rsid w:val="00654DBC"/>
    <w:rsid w:val="00655260"/>
    <w:rsid w:val="006554A6"/>
    <w:rsid w:val="00656555"/>
    <w:rsid w:val="00656A21"/>
    <w:rsid w:val="006575F4"/>
    <w:rsid w:val="00657833"/>
    <w:rsid w:val="00657A08"/>
    <w:rsid w:val="00657C8C"/>
    <w:rsid w:val="00662145"/>
    <w:rsid w:val="00663016"/>
    <w:rsid w:val="00664118"/>
    <w:rsid w:val="006654CF"/>
    <w:rsid w:val="00666269"/>
    <w:rsid w:val="00666680"/>
    <w:rsid w:val="00671D5F"/>
    <w:rsid w:val="0067256A"/>
    <w:rsid w:val="006736D2"/>
    <w:rsid w:val="00674605"/>
    <w:rsid w:val="006748B8"/>
    <w:rsid w:val="006753FB"/>
    <w:rsid w:val="00675938"/>
    <w:rsid w:val="00677A70"/>
    <w:rsid w:val="00680EBA"/>
    <w:rsid w:val="0068535B"/>
    <w:rsid w:val="006859D5"/>
    <w:rsid w:val="00686F1A"/>
    <w:rsid w:val="0068736E"/>
    <w:rsid w:val="006876DD"/>
    <w:rsid w:val="00687735"/>
    <w:rsid w:val="006903CD"/>
    <w:rsid w:val="00690954"/>
    <w:rsid w:val="00692376"/>
    <w:rsid w:val="0069290A"/>
    <w:rsid w:val="00692B7D"/>
    <w:rsid w:val="00696438"/>
    <w:rsid w:val="00696B54"/>
    <w:rsid w:val="00697032"/>
    <w:rsid w:val="006975AC"/>
    <w:rsid w:val="006979A6"/>
    <w:rsid w:val="00697B78"/>
    <w:rsid w:val="006A042E"/>
    <w:rsid w:val="006A0AEE"/>
    <w:rsid w:val="006A1142"/>
    <w:rsid w:val="006A15FB"/>
    <w:rsid w:val="006A2253"/>
    <w:rsid w:val="006A3DCA"/>
    <w:rsid w:val="006A477C"/>
    <w:rsid w:val="006A72BF"/>
    <w:rsid w:val="006B0969"/>
    <w:rsid w:val="006B2B6A"/>
    <w:rsid w:val="006B332A"/>
    <w:rsid w:val="006B33BD"/>
    <w:rsid w:val="006B54BA"/>
    <w:rsid w:val="006B5F24"/>
    <w:rsid w:val="006C054B"/>
    <w:rsid w:val="006C106E"/>
    <w:rsid w:val="006C12E6"/>
    <w:rsid w:val="006C19EF"/>
    <w:rsid w:val="006C3F75"/>
    <w:rsid w:val="006C46B9"/>
    <w:rsid w:val="006C49F1"/>
    <w:rsid w:val="006C58E9"/>
    <w:rsid w:val="006C5DE2"/>
    <w:rsid w:val="006C6FA7"/>
    <w:rsid w:val="006D06AB"/>
    <w:rsid w:val="006D1219"/>
    <w:rsid w:val="006D170E"/>
    <w:rsid w:val="006D418B"/>
    <w:rsid w:val="006D4202"/>
    <w:rsid w:val="006D4B1E"/>
    <w:rsid w:val="006D6CDF"/>
    <w:rsid w:val="006E06AF"/>
    <w:rsid w:val="006E0C10"/>
    <w:rsid w:val="006E17CB"/>
    <w:rsid w:val="006E1FA4"/>
    <w:rsid w:val="006E2F06"/>
    <w:rsid w:val="006E4215"/>
    <w:rsid w:val="006E5855"/>
    <w:rsid w:val="006E7364"/>
    <w:rsid w:val="006E7F0F"/>
    <w:rsid w:val="006F1789"/>
    <w:rsid w:val="006F3818"/>
    <w:rsid w:val="006F475D"/>
    <w:rsid w:val="006F6A49"/>
    <w:rsid w:val="006F75AC"/>
    <w:rsid w:val="007005BB"/>
    <w:rsid w:val="00701176"/>
    <w:rsid w:val="00701A7F"/>
    <w:rsid w:val="00703BFB"/>
    <w:rsid w:val="00704990"/>
    <w:rsid w:val="00706C5D"/>
    <w:rsid w:val="007077CC"/>
    <w:rsid w:val="00707B59"/>
    <w:rsid w:val="00710A61"/>
    <w:rsid w:val="007118E6"/>
    <w:rsid w:val="00713093"/>
    <w:rsid w:val="00713CD8"/>
    <w:rsid w:val="00715ABD"/>
    <w:rsid w:val="00716533"/>
    <w:rsid w:val="0071674A"/>
    <w:rsid w:val="007169F6"/>
    <w:rsid w:val="00721EBA"/>
    <w:rsid w:val="007225C9"/>
    <w:rsid w:val="00722E2D"/>
    <w:rsid w:val="007240A6"/>
    <w:rsid w:val="00726386"/>
    <w:rsid w:val="00730A90"/>
    <w:rsid w:val="007342AA"/>
    <w:rsid w:val="007343A1"/>
    <w:rsid w:val="00735CD7"/>
    <w:rsid w:val="007360C1"/>
    <w:rsid w:val="00737669"/>
    <w:rsid w:val="007378D7"/>
    <w:rsid w:val="0074002C"/>
    <w:rsid w:val="00742634"/>
    <w:rsid w:val="00744021"/>
    <w:rsid w:val="007463DA"/>
    <w:rsid w:val="00746DAD"/>
    <w:rsid w:val="007520E5"/>
    <w:rsid w:val="007531FF"/>
    <w:rsid w:val="00754034"/>
    <w:rsid w:val="00754BF1"/>
    <w:rsid w:val="007552D7"/>
    <w:rsid w:val="00755A30"/>
    <w:rsid w:val="00755E1C"/>
    <w:rsid w:val="00756556"/>
    <w:rsid w:val="00756C6C"/>
    <w:rsid w:val="007610DB"/>
    <w:rsid w:val="0076132B"/>
    <w:rsid w:val="007623AE"/>
    <w:rsid w:val="00762727"/>
    <w:rsid w:val="00762A44"/>
    <w:rsid w:val="00762C15"/>
    <w:rsid w:val="00762DB0"/>
    <w:rsid w:val="00763062"/>
    <w:rsid w:val="00763E8F"/>
    <w:rsid w:val="00770766"/>
    <w:rsid w:val="00770B19"/>
    <w:rsid w:val="00770EA6"/>
    <w:rsid w:val="00771126"/>
    <w:rsid w:val="007728BD"/>
    <w:rsid w:val="007746ED"/>
    <w:rsid w:val="00774E27"/>
    <w:rsid w:val="00774FA0"/>
    <w:rsid w:val="00775712"/>
    <w:rsid w:val="00775BD0"/>
    <w:rsid w:val="00776022"/>
    <w:rsid w:val="0077624B"/>
    <w:rsid w:val="00776620"/>
    <w:rsid w:val="00776986"/>
    <w:rsid w:val="00777B46"/>
    <w:rsid w:val="00777B6D"/>
    <w:rsid w:val="00777CB4"/>
    <w:rsid w:val="00780597"/>
    <w:rsid w:val="00780D7F"/>
    <w:rsid w:val="00784855"/>
    <w:rsid w:val="00784F39"/>
    <w:rsid w:val="0078545C"/>
    <w:rsid w:val="00785EE9"/>
    <w:rsid w:val="00787FC0"/>
    <w:rsid w:val="007904A6"/>
    <w:rsid w:val="007906C4"/>
    <w:rsid w:val="007917E5"/>
    <w:rsid w:val="007919DF"/>
    <w:rsid w:val="0079298E"/>
    <w:rsid w:val="007940EA"/>
    <w:rsid w:val="007941EF"/>
    <w:rsid w:val="00794B1E"/>
    <w:rsid w:val="007967E8"/>
    <w:rsid w:val="007969B9"/>
    <w:rsid w:val="007A124C"/>
    <w:rsid w:val="007A1495"/>
    <w:rsid w:val="007A1FC0"/>
    <w:rsid w:val="007A2E22"/>
    <w:rsid w:val="007A5360"/>
    <w:rsid w:val="007A5DFC"/>
    <w:rsid w:val="007A63F2"/>
    <w:rsid w:val="007A64F1"/>
    <w:rsid w:val="007B3FDF"/>
    <w:rsid w:val="007B431B"/>
    <w:rsid w:val="007B44A9"/>
    <w:rsid w:val="007B68DE"/>
    <w:rsid w:val="007B7023"/>
    <w:rsid w:val="007C1857"/>
    <w:rsid w:val="007C1A27"/>
    <w:rsid w:val="007C27A9"/>
    <w:rsid w:val="007C2CFD"/>
    <w:rsid w:val="007C4421"/>
    <w:rsid w:val="007C514F"/>
    <w:rsid w:val="007C707F"/>
    <w:rsid w:val="007D0F95"/>
    <w:rsid w:val="007D48AD"/>
    <w:rsid w:val="007D544C"/>
    <w:rsid w:val="007D649F"/>
    <w:rsid w:val="007D7BD3"/>
    <w:rsid w:val="007D7ECB"/>
    <w:rsid w:val="007E08DC"/>
    <w:rsid w:val="007E25A1"/>
    <w:rsid w:val="007E3E04"/>
    <w:rsid w:val="007E4BD2"/>
    <w:rsid w:val="007E624E"/>
    <w:rsid w:val="007E62C7"/>
    <w:rsid w:val="007E7145"/>
    <w:rsid w:val="007F112D"/>
    <w:rsid w:val="007F3611"/>
    <w:rsid w:val="007F38FE"/>
    <w:rsid w:val="007F3916"/>
    <w:rsid w:val="007F39BE"/>
    <w:rsid w:val="007F4064"/>
    <w:rsid w:val="007F4852"/>
    <w:rsid w:val="007F57C4"/>
    <w:rsid w:val="007F5821"/>
    <w:rsid w:val="007F58EA"/>
    <w:rsid w:val="007F7B0F"/>
    <w:rsid w:val="007F7D5F"/>
    <w:rsid w:val="00800C21"/>
    <w:rsid w:val="00801179"/>
    <w:rsid w:val="00802479"/>
    <w:rsid w:val="00805372"/>
    <w:rsid w:val="00805B7B"/>
    <w:rsid w:val="00805DF1"/>
    <w:rsid w:val="00807BD5"/>
    <w:rsid w:val="0081078F"/>
    <w:rsid w:val="0081293E"/>
    <w:rsid w:val="00814FFB"/>
    <w:rsid w:val="008156DC"/>
    <w:rsid w:val="00815D04"/>
    <w:rsid w:val="00817587"/>
    <w:rsid w:val="00817D82"/>
    <w:rsid w:val="00820568"/>
    <w:rsid w:val="00822473"/>
    <w:rsid w:val="00822E0F"/>
    <w:rsid w:val="00823864"/>
    <w:rsid w:val="00823886"/>
    <w:rsid w:val="008248FB"/>
    <w:rsid w:val="00824D81"/>
    <w:rsid w:val="0082723C"/>
    <w:rsid w:val="008303E2"/>
    <w:rsid w:val="0083144C"/>
    <w:rsid w:val="0083170D"/>
    <w:rsid w:val="00831A80"/>
    <w:rsid w:val="00832E90"/>
    <w:rsid w:val="00832FAD"/>
    <w:rsid w:val="008332C8"/>
    <w:rsid w:val="00833743"/>
    <w:rsid w:val="008340A4"/>
    <w:rsid w:val="00836799"/>
    <w:rsid w:val="00837028"/>
    <w:rsid w:val="00837131"/>
    <w:rsid w:val="008453D6"/>
    <w:rsid w:val="00845F57"/>
    <w:rsid w:val="00850690"/>
    <w:rsid w:val="008519D2"/>
    <w:rsid w:val="008521C5"/>
    <w:rsid w:val="008521E0"/>
    <w:rsid w:val="0085254D"/>
    <w:rsid w:val="008525B0"/>
    <w:rsid w:val="008531DA"/>
    <w:rsid w:val="008556F2"/>
    <w:rsid w:val="008576DD"/>
    <w:rsid w:val="0086048F"/>
    <w:rsid w:val="0086184C"/>
    <w:rsid w:val="0086255D"/>
    <w:rsid w:val="00862A30"/>
    <w:rsid w:val="00862EA4"/>
    <w:rsid w:val="0086338F"/>
    <w:rsid w:val="00863412"/>
    <w:rsid w:val="00864EC0"/>
    <w:rsid w:val="00867AAE"/>
    <w:rsid w:val="00867CBC"/>
    <w:rsid w:val="008722C9"/>
    <w:rsid w:val="0087417F"/>
    <w:rsid w:val="00874612"/>
    <w:rsid w:val="0087547D"/>
    <w:rsid w:val="00875DE4"/>
    <w:rsid w:val="008764E5"/>
    <w:rsid w:val="00876C30"/>
    <w:rsid w:val="00877017"/>
    <w:rsid w:val="008773C0"/>
    <w:rsid w:val="00880364"/>
    <w:rsid w:val="00881489"/>
    <w:rsid w:val="00883672"/>
    <w:rsid w:val="008838D6"/>
    <w:rsid w:val="008841F8"/>
    <w:rsid w:val="008843A3"/>
    <w:rsid w:val="00886943"/>
    <w:rsid w:val="00886C4C"/>
    <w:rsid w:val="0088711C"/>
    <w:rsid w:val="00891660"/>
    <w:rsid w:val="00892ECF"/>
    <w:rsid w:val="00892F06"/>
    <w:rsid w:val="008933E9"/>
    <w:rsid w:val="008935B5"/>
    <w:rsid w:val="00894285"/>
    <w:rsid w:val="008951BF"/>
    <w:rsid w:val="008952E7"/>
    <w:rsid w:val="008965F6"/>
    <w:rsid w:val="00896704"/>
    <w:rsid w:val="008A14D1"/>
    <w:rsid w:val="008A1F5A"/>
    <w:rsid w:val="008A2BD8"/>
    <w:rsid w:val="008A40AE"/>
    <w:rsid w:val="008A47B0"/>
    <w:rsid w:val="008A4BAE"/>
    <w:rsid w:val="008A4E19"/>
    <w:rsid w:val="008A67C5"/>
    <w:rsid w:val="008A6B79"/>
    <w:rsid w:val="008B1078"/>
    <w:rsid w:val="008B22E1"/>
    <w:rsid w:val="008B3359"/>
    <w:rsid w:val="008B3C78"/>
    <w:rsid w:val="008B4AE9"/>
    <w:rsid w:val="008B5011"/>
    <w:rsid w:val="008B5E31"/>
    <w:rsid w:val="008B72C2"/>
    <w:rsid w:val="008C05DC"/>
    <w:rsid w:val="008C1923"/>
    <w:rsid w:val="008C30AD"/>
    <w:rsid w:val="008C3A16"/>
    <w:rsid w:val="008C61FE"/>
    <w:rsid w:val="008C742C"/>
    <w:rsid w:val="008D03DD"/>
    <w:rsid w:val="008D068E"/>
    <w:rsid w:val="008D06B0"/>
    <w:rsid w:val="008D0F7A"/>
    <w:rsid w:val="008D355B"/>
    <w:rsid w:val="008D4BAE"/>
    <w:rsid w:val="008D63BE"/>
    <w:rsid w:val="008E0CFF"/>
    <w:rsid w:val="008E129D"/>
    <w:rsid w:val="008E1335"/>
    <w:rsid w:val="008E2075"/>
    <w:rsid w:val="008E34FC"/>
    <w:rsid w:val="008E3CC8"/>
    <w:rsid w:val="008E3D9D"/>
    <w:rsid w:val="008E4BF7"/>
    <w:rsid w:val="008E55EE"/>
    <w:rsid w:val="008E5D6B"/>
    <w:rsid w:val="008E689B"/>
    <w:rsid w:val="008E76F0"/>
    <w:rsid w:val="008F0213"/>
    <w:rsid w:val="008F0A8F"/>
    <w:rsid w:val="008F0D20"/>
    <w:rsid w:val="008F1248"/>
    <w:rsid w:val="008F15FE"/>
    <w:rsid w:val="008F29F6"/>
    <w:rsid w:val="008F2A94"/>
    <w:rsid w:val="008F2D7C"/>
    <w:rsid w:val="008F31AF"/>
    <w:rsid w:val="008F40DB"/>
    <w:rsid w:val="008F4341"/>
    <w:rsid w:val="008F5187"/>
    <w:rsid w:val="008F652C"/>
    <w:rsid w:val="008F658D"/>
    <w:rsid w:val="008F6A4A"/>
    <w:rsid w:val="008F709C"/>
    <w:rsid w:val="008F75B5"/>
    <w:rsid w:val="0090312B"/>
    <w:rsid w:val="00903809"/>
    <w:rsid w:val="009043F5"/>
    <w:rsid w:val="009045A4"/>
    <w:rsid w:val="00904961"/>
    <w:rsid w:val="009052B9"/>
    <w:rsid w:val="0090530A"/>
    <w:rsid w:val="009056B1"/>
    <w:rsid w:val="009056C4"/>
    <w:rsid w:val="00905AF8"/>
    <w:rsid w:val="00905F59"/>
    <w:rsid w:val="00905F74"/>
    <w:rsid w:val="00906D30"/>
    <w:rsid w:val="00906E4A"/>
    <w:rsid w:val="0090748C"/>
    <w:rsid w:val="009079A3"/>
    <w:rsid w:val="00910FB3"/>
    <w:rsid w:val="00913214"/>
    <w:rsid w:val="009155CD"/>
    <w:rsid w:val="0091736D"/>
    <w:rsid w:val="00920251"/>
    <w:rsid w:val="00920AEF"/>
    <w:rsid w:val="00922881"/>
    <w:rsid w:val="009247F5"/>
    <w:rsid w:val="00925590"/>
    <w:rsid w:val="00925E0B"/>
    <w:rsid w:val="0092734C"/>
    <w:rsid w:val="00927E37"/>
    <w:rsid w:val="0093076B"/>
    <w:rsid w:val="00931001"/>
    <w:rsid w:val="00931863"/>
    <w:rsid w:val="00933524"/>
    <w:rsid w:val="00935323"/>
    <w:rsid w:val="009400A7"/>
    <w:rsid w:val="00940902"/>
    <w:rsid w:val="0094278D"/>
    <w:rsid w:val="00942854"/>
    <w:rsid w:val="00942F93"/>
    <w:rsid w:val="00944899"/>
    <w:rsid w:val="009454B3"/>
    <w:rsid w:val="0095274E"/>
    <w:rsid w:val="0095308A"/>
    <w:rsid w:val="009534D8"/>
    <w:rsid w:val="0095521F"/>
    <w:rsid w:val="009552EB"/>
    <w:rsid w:val="00955566"/>
    <w:rsid w:val="00955AEE"/>
    <w:rsid w:val="00956F14"/>
    <w:rsid w:val="00961ADB"/>
    <w:rsid w:val="009620FD"/>
    <w:rsid w:val="0096247A"/>
    <w:rsid w:val="00964D41"/>
    <w:rsid w:val="00965004"/>
    <w:rsid w:val="00965F4B"/>
    <w:rsid w:val="00970713"/>
    <w:rsid w:val="00970F8A"/>
    <w:rsid w:val="0097177B"/>
    <w:rsid w:val="00971FB5"/>
    <w:rsid w:val="00972D2A"/>
    <w:rsid w:val="00975108"/>
    <w:rsid w:val="00975CC5"/>
    <w:rsid w:val="00975CE1"/>
    <w:rsid w:val="00976144"/>
    <w:rsid w:val="00976328"/>
    <w:rsid w:val="00976B4E"/>
    <w:rsid w:val="009806C9"/>
    <w:rsid w:val="00982B12"/>
    <w:rsid w:val="0098314A"/>
    <w:rsid w:val="00984458"/>
    <w:rsid w:val="00985283"/>
    <w:rsid w:val="00987322"/>
    <w:rsid w:val="009919BF"/>
    <w:rsid w:val="0099588C"/>
    <w:rsid w:val="00996E69"/>
    <w:rsid w:val="009A02D0"/>
    <w:rsid w:val="009A0F3B"/>
    <w:rsid w:val="009A172C"/>
    <w:rsid w:val="009A34FE"/>
    <w:rsid w:val="009A3575"/>
    <w:rsid w:val="009A5926"/>
    <w:rsid w:val="009A72C7"/>
    <w:rsid w:val="009B0897"/>
    <w:rsid w:val="009B1A98"/>
    <w:rsid w:val="009B1CBB"/>
    <w:rsid w:val="009B21AD"/>
    <w:rsid w:val="009B2522"/>
    <w:rsid w:val="009B29A6"/>
    <w:rsid w:val="009B2DA4"/>
    <w:rsid w:val="009B496F"/>
    <w:rsid w:val="009B4BBE"/>
    <w:rsid w:val="009B5374"/>
    <w:rsid w:val="009B69AA"/>
    <w:rsid w:val="009B7EB0"/>
    <w:rsid w:val="009C2C95"/>
    <w:rsid w:val="009C431A"/>
    <w:rsid w:val="009C4843"/>
    <w:rsid w:val="009C5C63"/>
    <w:rsid w:val="009C6424"/>
    <w:rsid w:val="009D012A"/>
    <w:rsid w:val="009D06E3"/>
    <w:rsid w:val="009D0852"/>
    <w:rsid w:val="009D1B89"/>
    <w:rsid w:val="009D1F7F"/>
    <w:rsid w:val="009D1FBF"/>
    <w:rsid w:val="009D255A"/>
    <w:rsid w:val="009D3856"/>
    <w:rsid w:val="009D3A77"/>
    <w:rsid w:val="009D400A"/>
    <w:rsid w:val="009D50D7"/>
    <w:rsid w:val="009D66F3"/>
    <w:rsid w:val="009E2A12"/>
    <w:rsid w:val="009E399C"/>
    <w:rsid w:val="009E43C1"/>
    <w:rsid w:val="009E4605"/>
    <w:rsid w:val="009E6F7D"/>
    <w:rsid w:val="009E70F7"/>
    <w:rsid w:val="009E7E95"/>
    <w:rsid w:val="009F0348"/>
    <w:rsid w:val="009F116F"/>
    <w:rsid w:val="009F206C"/>
    <w:rsid w:val="009F2D40"/>
    <w:rsid w:val="009F329E"/>
    <w:rsid w:val="009F32C5"/>
    <w:rsid w:val="009F40C3"/>
    <w:rsid w:val="009F4E6E"/>
    <w:rsid w:val="009F6E81"/>
    <w:rsid w:val="009F7ED3"/>
    <w:rsid w:val="00A00DBB"/>
    <w:rsid w:val="00A01657"/>
    <w:rsid w:val="00A02617"/>
    <w:rsid w:val="00A03374"/>
    <w:rsid w:val="00A03607"/>
    <w:rsid w:val="00A047FF"/>
    <w:rsid w:val="00A04FEF"/>
    <w:rsid w:val="00A06BD7"/>
    <w:rsid w:val="00A122CD"/>
    <w:rsid w:val="00A12657"/>
    <w:rsid w:val="00A1279C"/>
    <w:rsid w:val="00A12A32"/>
    <w:rsid w:val="00A13414"/>
    <w:rsid w:val="00A13FC1"/>
    <w:rsid w:val="00A14248"/>
    <w:rsid w:val="00A14947"/>
    <w:rsid w:val="00A16231"/>
    <w:rsid w:val="00A16E6F"/>
    <w:rsid w:val="00A205EE"/>
    <w:rsid w:val="00A2102D"/>
    <w:rsid w:val="00A2303B"/>
    <w:rsid w:val="00A23DC5"/>
    <w:rsid w:val="00A25869"/>
    <w:rsid w:val="00A25A5C"/>
    <w:rsid w:val="00A25B37"/>
    <w:rsid w:val="00A30372"/>
    <w:rsid w:val="00A33985"/>
    <w:rsid w:val="00A33D6C"/>
    <w:rsid w:val="00A34028"/>
    <w:rsid w:val="00A35568"/>
    <w:rsid w:val="00A36E6D"/>
    <w:rsid w:val="00A37056"/>
    <w:rsid w:val="00A3777C"/>
    <w:rsid w:val="00A41496"/>
    <w:rsid w:val="00A42247"/>
    <w:rsid w:val="00A424F2"/>
    <w:rsid w:val="00A4258E"/>
    <w:rsid w:val="00A4358F"/>
    <w:rsid w:val="00A43846"/>
    <w:rsid w:val="00A46F67"/>
    <w:rsid w:val="00A50D95"/>
    <w:rsid w:val="00A53240"/>
    <w:rsid w:val="00A54A05"/>
    <w:rsid w:val="00A54AA1"/>
    <w:rsid w:val="00A54FA3"/>
    <w:rsid w:val="00A568FF"/>
    <w:rsid w:val="00A57D30"/>
    <w:rsid w:val="00A60A57"/>
    <w:rsid w:val="00A60E90"/>
    <w:rsid w:val="00A61496"/>
    <w:rsid w:val="00A61833"/>
    <w:rsid w:val="00A624C6"/>
    <w:rsid w:val="00A6372C"/>
    <w:rsid w:val="00A63CEC"/>
    <w:rsid w:val="00A64827"/>
    <w:rsid w:val="00A65926"/>
    <w:rsid w:val="00A65E72"/>
    <w:rsid w:val="00A66368"/>
    <w:rsid w:val="00A6642B"/>
    <w:rsid w:val="00A7031E"/>
    <w:rsid w:val="00A71DEA"/>
    <w:rsid w:val="00A726B1"/>
    <w:rsid w:val="00A728B1"/>
    <w:rsid w:val="00A73543"/>
    <w:rsid w:val="00A75274"/>
    <w:rsid w:val="00A75D9A"/>
    <w:rsid w:val="00A763DE"/>
    <w:rsid w:val="00A803D6"/>
    <w:rsid w:val="00A805D2"/>
    <w:rsid w:val="00A81282"/>
    <w:rsid w:val="00A8342A"/>
    <w:rsid w:val="00A8446B"/>
    <w:rsid w:val="00A85321"/>
    <w:rsid w:val="00A864AD"/>
    <w:rsid w:val="00A86905"/>
    <w:rsid w:val="00A8713F"/>
    <w:rsid w:val="00A90860"/>
    <w:rsid w:val="00A91167"/>
    <w:rsid w:val="00A9171C"/>
    <w:rsid w:val="00A919F1"/>
    <w:rsid w:val="00A9291E"/>
    <w:rsid w:val="00A92FFD"/>
    <w:rsid w:val="00A93030"/>
    <w:rsid w:val="00A94869"/>
    <w:rsid w:val="00A949C2"/>
    <w:rsid w:val="00A95975"/>
    <w:rsid w:val="00A95E30"/>
    <w:rsid w:val="00A969CC"/>
    <w:rsid w:val="00A9708D"/>
    <w:rsid w:val="00A977AD"/>
    <w:rsid w:val="00A97E05"/>
    <w:rsid w:val="00A97FAC"/>
    <w:rsid w:val="00AA1A7D"/>
    <w:rsid w:val="00AA2C17"/>
    <w:rsid w:val="00AA4172"/>
    <w:rsid w:val="00AA6588"/>
    <w:rsid w:val="00AA7647"/>
    <w:rsid w:val="00AB07D5"/>
    <w:rsid w:val="00AB121F"/>
    <w:rsid w:val="00AB12EA"/>
    <w:rsid w:val="00AB1914"/>
    <w:rsid w:val="00AB3451"/>
    <w:rsid w:val="00AB4DE8"/>
    <w:rsid w:val="00AB5330"/>
    <w:rsid w:val="00AB6604"/>
    <w:rsid w:val="00AB66EB"/>
    <w:rsid w:val="00AB6C59"/>
    <w:rsid w:val="00AB717A"/>
    <w:rsid w:val="00AB722E"/>
    <w:rsid w:val="00AB7747"/>
    <w:rsid w:val="00AC021B"/>
    <w:rsid w:val="00AC0415"/>
    <w:rsid w:val="00AC07E3"/>
    <w:rsid w:val="00AC1BE0"/>
    <w:rsid w:val="00AC2532"/>
    <w:rsid w:val="00AC2F30"/>
    <w:rsid w:val="00AC3D34"/>
    <w:rsid w:val="00AC3E2E"/>
    <w:rsid w:val="00AC440F"/>
    <w:rsid w:val="00AC6E59"/>
    <w:rsid w:val="00AC7FB0"/>
    <w:rsid w:val="00AD1507"/>
    <w:rsid w:val="00AD38A2"/>
    <w:rsid w:val="00AD4A82"/>
    <w:rsid w:val="00AD5A70"/>
    <w:rsid w:val="00AD5D68"/>
    <w:rsid w:val="00AD738B"/>
    <w:rsid w:val="00AD7533"/>
    <w:rsid w:val="00AE1BF4"/>
    <w:rsid w:val="00AE4991"/>
    <w:rsid w:val="00AE5D97"/>
    <w:rsid w:val="00AE6794"/>
    <w:rsid w:val="00AF306D"/>
    <w:rsid w:val="00AF3E2B"/>
    <w:rsid w:val="00AF4F20"/>
    <w:rsid w:val="00AF55CE"/>
    <w:rsid w:val="00AF6062"/>
    <w:rsid w:val="00AF60AE"/>
    <w:rsid w:val="00B00314"/>
    <w:rsid w:val="00B0055E"/>
    <w:rsid w:val="00B01110"/>
    <w:rsid w:val="00B021BC"/>
    <w:rsid w:val="00B02262"/>
    <w:rsid w:val="00B02850"/>
    <w:rsid w:val="00B02F0E"/>
    <w:rsid w:val="00B03CEC"/>
    <w:rsid w:val="00B03E6A"/>
    <w:rsid w:val="00B06092"/>
    <w:rsid w:val="00B06AE0"/>
    <w:rsid w:val="00B06BCC"/>
    <w:rsid w:val="00B06E47"/>
    <w:rsid w:val="00B07207"/>
    <w:rsid w:val="00B1209F"/>
    <w:rsid w:val="00B12949"/>
    <w:rsid w:val="00B12AD0"/>
    <w:rsid w:val="00B167C2"/>
    <w:rsid w:val="00B16A6A"/>
    <w:rsid w:val="00B23D3C"/>
    <w:rsid w:val="00B24F30"/>
    <w:rsid w:val="00B2557A"/>
    <w:rsid w:val="00B26426"/>
    <w:rsid w:val="00B26875"/>
    <w:rsid w:val="00B27E43"/>
    <w:rsid w:val="00B3128A"/>
    <w:rsid w:val="00B312B9"/>
    <w:rsid w:val="00B31ABF"/>
    <w:rsid w:val="00B324D1"/>
    <w:rsid w:val="00B32582"/>
    <w:rsid w:val="00B330D4"/>
    <w:rsid w:val="00B335AE"/>
    <w:rsid w:val="00B338F5"/>
    <w:rsid w:val="00B34CA3"/>
    <w:rsid w:val="00B34D70"/>
    <w:rsid w:val="00B3559F"/>
    <w:rsid w:val="00B35788"/>
    <w:rsid w:val="00B37CE1"/>
    <w:rsid w:val="00B40841"/>
    <w:rsid w:val="00B40ACF"/>
    <w:rsid w:val="00B437A8"/>
    <w:rsid w:val="00B44503"/>
    <w:rsid w:val="00B45DF0"/>
    <w:rsid w:val="00B46BAA"/>
    <w:rsid w:val="00B505AE"/>
    <w:rsid w:val="00B50B5F"/>
    <w:rsid w:val="00B51A79"/>
    <w:rsid w:val="00B54128"/>
    <w:rsid w:val="00B54C17"/>
    <w:rsid w:val="00B551E6"/>
    <w:rsid w:val="00B55826"/>
    <w:rsid w:val="00B55F42"/>
    <w:rsid w:val="00B56E7F"/>
    <w:rsid w:val="00B577BD"/>
    <w:rsid w:val="00B57A55"/>
    <w:rsid w:val="00B57CDA"/>
    <w:rsid w:val="00B6041C"/>
    <w:rsid w:val="00B60426"/>
    <w:rsid w:val="00B622DD"/>
    <w:rsid w:val="00B62337"/>
    <w:rsid w:val="00B62D05"/>
    <w:rsid w:val="00B63522"/>
    <w:rsid w:val="00B641DB"/>
    <w:rsid w:val="00B653A5"/>
    <w:rsid w:val="00B65C70"/>
    <w:rsid w:val="00B67656"/>
    <w:rsid w:val="00B707FE"/>
    <w:rsid w:val="00B71D13"/>
    <w:rsid w:val="00B73272"/>
    <w:rsid w:val="00B737DF"/>
    <w:rsid w:val="00B73AD8"/>
    <w:rsid w:val="00B7665C"/>
    <w:rsid w:val="00B76F1D"/>
    <w:rsid w:val="00B77363"/>
    <w:rsid w:val="00B7739F"/>
    <w:rsid w:val="00B803D4"/>
    <w:rsid w:val="00B814AD"/>
    <w:rsid w:val="00B81608"/>
    <w:rsid w:val="00B85A7B"/>
    <w:rsid w:val="00B85D33"/>
    <w:rsid w:val="00B911A1"/>
    <w:rsid w:val="00B915AB"/>
    <w:rsid w:val="00B91A61"/>
    <w:rsid w:val="00B92418"/>
    <w:rsid w:val="00B92A19"/>
    <w:rsid w:val="00B93DA5"/>
    <w:rsid w:val="00B93DFB"/>
    <w:rsid w:val="00B9544C"/>
    <w:rsid w:val="00B95FF6"/>
    <w:rsid w:val="00B96614"/>
    <w:rsid w:val="00B97530"/>
    <w:rsid w:val="00BA03AA"/>
    <w:rsid w:val="00BA2784"/>
    <w:rsid w:val="00BA285C"/>
    <w:rsid w:val="00BA29E9"/>
    <w:rsid w:val="00BA4686"/>
    <w:rsid w:val="00BA7669"/>
    <w:rsid w:val="00BB2926"/>
    <w:rsid w:val="00BB2C4B"/>
    <w:rsid w:val="00BB3618"/>
    <w:rsid w:val="00BB36E7"/>
    <w:rsid w:val="00BB6500"/>
    <w:rsid w:val="00BB68F5"/>
    <w:rsid w:val="00BB6DCB"/>
    <w:rsid w:val="00BB740B"/>
    <w:rsid w:val="00BB7673"/>
    <w:rsid w:val="00BC04CB"/>
    <w:rsid w:val="00BC0C9E"/>
    <w:rsid w:val="00BC0D7C"/>
    <w:rsid w:val="00BC175C"/>
    <w:rsid w:val="00BC32DC"/>
    <w:rsid w:val="00BD1B51"/>
    <w:rsid w:val="00BD3224"/>
    <w:rsid w:val="00BD39B0"/>
    <w:rsid w:val="00BD47F6"/>
    <w:rsid w:val="00BD720E"/>
    <w:rsid w:val="00BD7230"/>
    <w:rsid w:val="00BE0A00"/>
    <w:rsid w:val="00BE2216"/>
    <w:rsid w:val="00BE27E8"/>
    <w:rsid w:val="00BE2C8D"/>
    <w:rsid w:val="00BE2CBE"/>
    <w:rsid w:val="00BE312D"/>
    <w:rsid w:val="00BE3F42"/>
    <w:rsid w:val="00BE3FCA"/>
    <w:rsid w:val="00BE45D3"/>
    <w:rsid w:val="00BE45F2"/>
    <w:rsid w:val="00BE5946"/>
    <w:rsid w:val="00BE6E64"/>
    <w:rsid w:val="00BE7337"/>
    <w:rsid w:val="00BF00C9"/>
    <w:rsid w:val="00BF191E"/>
    <w:rsid w:val="00BF1E5C"/>
    <w:rsid w:val="00BF34BA"/>
    <w:rsid w:val="00BF3722"/>
    <w:rsid w:val="00BF674B"/>
    <w:rsid w:val="00BF6AE2"/>
    <w:rsid w:val="00BF7439"/>
    <w:rsid w:val="00C001A0"/>
    <w:rsid w:val="00C0065D"/>
    <w:rsid w:val="00C01D73"/>
    <w:rsid w:val="00C030E7"/>
    <w:rsid w:val="00C03F7A"/>
    <w:rsid w:val="00C05719"/>
    <w:rsid w:val="00C07D57"/>
    <w:rsid w:val="00C104DB"/>
    <w:rsid w:val="00C10578"/>
    <w:rsid w:val="00C111EC"/>
    <w:rsid w:val="00C13252"/>
    <w:rsid w:val="00C15229"/>
    <w:rsid w:val="00C1605E"/>
    <w:rsid w:val="00C16908"/>
    <w:rsid w:val="00C16969"/>
    <w:rsid w:val="00C17D62"/>
    <w:rsid w:val="00C21D54"/>
    <w:rsid w:val="00C21FDC"/>
    <w:rsid w:val="00C22FB5"/>
    <w:rsid w:val="00C23BF5"/>
    <w:rsid w:val="00C23C36"/>
    <w:rsid w:val="00C24EE7"/>
    <w:rsid w:val="00C2596A"/>
    <w:rsid w:val="00C271BE"/>
    <w:rsid w:val="00C27425"/>
    <w:rsid w:val="00C27C0E"/>
    <w:rsid w:val="00C30179"/>
    <w:rsid w:val="00C308E4"/>
    <w:rsid w:val="00C310FF"/>
    <w:rsid w:val="00C31A00"/>
    <w:rsid w:val="00C328FE"/>
    <w:rsid w:val="00C338D1"/>
    <w:rsid w:val="00C33A05"/>
    <w:rsid w:val="00C37009"/>
    <w:rsid w:val="00C4006C"/>
    <w:rsid w:val="00C4032E"/>
    <w:rsid w:val="00C419D6"/>
    <w:rsid w:val="00C41EB0"/>
    <w:rsid w:val="00C42500"/>
    <w:rsid w:val="00C43BE9"/>
    <w:rsid w:val="00C4409D"/>
    <w:rsid w:val="00C440F2"/>
    <w:rsid w:val="00C444F8"/>
    <w:rsid w:val="00C44511"/>
    <w:rsid w:val="00C455BE"/>
    <w:rsid w:val="00C4607F"/>
    <w:rsid w:val="00C47A02"/>
    <w:rsid w:val="00C50495"/>
    <w:rsid w:val="00C50880"/>
    <w:rsid w:val="00C51042"/>
    <w:rsid w:val="00C51E5F"/>
    <w:rsid w:val="00C52201"/>
    <w:rsid w:val="00C52FC8"/>
    <w:rsid w:val="00C54207"/>
    <w:rsid w:val="00C54761"/>
    <w:rsid w:val="00C5659B"/>
    <w:rsid w:val="00C57253"/>
    <w:rsid w:val="00C61E4B"/>
    <w:rsid w:val="00C62E3A"/>
    <w:rsid w:val="00C64503"/>
    <w:rsid w:val="00C64A1F"/>
    <w:rsid w:val="00C64BFF"/>
    <w:rsid w:val="00C661B7"/>
    <w:rsid w:val="00C66462"/>
    <w:rsid w:val="00C67728"/>
    <w:rsid w:val="00C67E9C"/>
    <w:rsid w:val="00C70990"/>
    <w:rsid w:val="00C71691"/>
    <w:rsid w:val="00C71F44"/>
    <w:rsid w:val="00C74ADC"/>
    <w:rsid w:val="00C763C9"/>
    <w:rsid w:val="00C76C53"/>
    <w:rsid w:val="00C80057"/>
    <w:rsid w:val="00C8048F"/>
    <w:rsid w:val="00C80F86"/>
    <w:rsid w:val="00C8141F"/>
    <w:rsid w:val="00C817A9"/>
    <w:rsid w:val="00C82C79"/>
    <w:rsid w:val="00C82F87"/>
    <w:rsid w:val="00C83C59"/>
    <w:rsid w:val="00C8440E"/>
    <w:rsid w:val="00C84753"/>
    <w:rsid w:val="00C903F3"/>
    <w:rsid w:val="00C90818"/>
    <w:rsid w:val="00C91611"/>
    <w:rsid w:val="00C92762"/>
    <w:rsid w:val="00C92DA1"/>
    <w:rsid w:val="00C94437"/>
    <w:rsid w:val="00C964ED"/>
    <w:rsid w:val="00C97C08"/>
    <w:rsid w:val="00C97FD0"/>
    <w:rsid w:val="00CA0472"/>
    <w:rsid w:val="00CA0FC1"/>
    <w:rsid w:val="00CA22FB"/>
    <w:rsid w:val="00CA3053"/>
    <w:rsid w:val="00CA3585"/>
    <w:rsid w:val="00CA3D5A"/>
    <w:rsid w:val="00CA4C7C"/>
    <w:rsid w:val="00CA5121"/>
    <w:rsid w:val="00CA7AEB"/>
    <w:rsid w:val="00CB0183"/>
    <w:rsid w:val="00CB0FD8"/>
    <w:rsid w:val="00CB13FF"/>
    <w:rsid w:val="00CB1D2E"/>
    <w:rsid w:val="00CB1EA3"/>
    <w:rsid w:val="00CB2F2D"/>
    <w:rsid w:val="00CB45F5"/>
    <w:rsid w:val="00CB552C"/>
    <w:rsid w:val="00CB5BDB"/>
    <w:rsid w:val="00CB649E"/>
    <w:rsid w:val="00CB672A"/>
    <w:rsid w:val="00CB6A9E"/>
    <w:rsid w:val="00CC1C0D"/>
    <w:rsid w:val="00CC3EC9"/>
    <w:rsid w:val="00CC3F76"/>
    <w:rsid w:val="00CC6181"/>
    <w:rsid w:val="00CD0AC8"/>
    <w:rsid w:val="00CD1615"/>
    <w:rsid w:val="00CD2BCD"/>
    <w:rsid w:val="00CD36AA"/>
    <w:rsid w:val="00CD3791"/>
    <w:rsid w:val="00CD3FE9"/>
    <w:rsid w:val="00CD65B0"/>
    <w:rsid w:val="00CE02CD"/>
    <w:rsid w:val="00CE10E9"/>
    <w:rsid w:val="00CE125A"/>
    <w:rsid w:val="00CE1326"/>
    <w:rsid w:val="00CE4B9B"/>
    <w:rsid w:val="00CE7CE7"/>
    <w:rsid w:val="00CE7EEC"/>
    <w:rsid w:val="00CF1CC8"/>
    <w:rsid w:val="00CF3EE8"/>
    <w:rsid w:val="00CF5599"/>
    <w:rsid w:val="00D0072E"/>
    <w:rsid w:val="00D010BD"/>
    <w:rsid w:val="00D03EA0"/>
    <w:rsid w:val="00D05959"/>
    <w:rsid w:val="00D0764D"/>
    <w:rsid w:val="00D109A1"/>
    <w:rsid w:val="00D115A1"/>
    <w:rsid w:val="00D14DC6"/>
    <w:rsid w:val="00D14F7F"/>
    <w:rsid w:val="00D15727"/>
    <w:rsid w:val="00D16332"/>
    <w:rsid w:val="00D17014"/>
    <w:rsid w:val="00D24242"/>
    <w:rsid w:val="00D2495F"/>
    <w:rsid w:val="00D24972"/>
    <w:rsid w:val="00D2515E"/>
    <w:rsid w:val="00D2708F"/>
    <w:rsid w:val="00D303B2"/>
    <w:rsid w:val="00D308ED"/>
    <w:rsid w:val="00D32EC3"/>
    <w:rsid w:val="00D345F4"/>
    <w:rsid w:val="00D353BC"/>
    <w:rsid w:val="00D35A84"/>
    <w:rsid w:val="00D37DA6"/>
    <w:rsid w:val="00D4327F"/>
    <w:rsid w:val="00D44593"/>
    <w:rsid w:val="00D47B90"/>
    <w:rsid w:val="00D47E93"/>
    <w:rsid w:val="00D513B0"/>
    <w:rsid w:val="00D51BAE"/>
    <w:rsid w:val="00D51CCA"/>
    <w:rsid w:val="00D535B1"/>
    <w:rsid w:val="00D5522F"/>
    <w:rsid w:val="00D56178"/>
    <w:rsid w:val="00D563C6"/>
    <w:rsid w:val="00D565A5"/>
    <w:rsid w:val="00D56CF0"/>
    <w:rsid w:val="00D56F5C"/>
    <w:rsid w:val="00D57259"/>
    <w:rsid w:val="00D57BCE"/>
    <w:rsid w:val="00D57F98"/>
    <w:rsid w:val="00D60C81"/>
    <w:rsid w:val="00D60F50"/>
    <w:rsid w:val="00D62673"/>
    <w:rsid w:val="00D62D24"/>
    <w:rsid w:val="00D645FC"/>
    <w:rsid w:val="00D65FE2"/>
    <w:rsid w:val="00D662F9"/>
    <w:rsid w:val="00D67389"/>
    <w:rsid w:val="00D67B57"/>
    <w:rsid w:val="00D704B1"/>
    <w:rsid w:val="00D70B63"/>
    <w:rsid w:val="00D70D78"/>
    <w:rsid w:val="00D726F0"/>
    <w:rsid w:val="00D72B92"/>
    <w:rsid w:val="00D72ED4"/>
    <w:rsid w:val="00D73F61"/>
    <w:rsid w:val="00D7488F"/>
    <w:rsid w:val="00D754C0"/>
    <w:rsid w:val="00D75FAC"/>
    <w:rsid w:val="00D776A2"/>
    <w:rsid w:val="00D801C4"/>
    <w:rsid w:val="00D8047B"/>
    <w:rsid w:val="00D82551"/>
    <w:rsid w:val="00D82D36"/>
    <w:rsid w:val="00D82E55"/>
    <w:rsid w:val="00D837C5"/>
    <w:rsid w:val="00D83800"/>
    <w:rsid w:val="00D847AB"/>
    <w:rsid w:val="00D85DC0"/>
    <w:rsid w:val="00D878E4"/>
    <w:rsid w:val="00D905A3"/>
    <w:rsid w:val="00D90836"/>
    <w:rsid w:val="00D90E43"/>
    <w:rsid w:val="00D9305A"/>
    <w:rsid w:val="00D93B41"/>
    <w:rsid w:val="00D94224"/>
    <w:rsid w:val="00D95896"/>
    <w:rsid w:val="00D95BC4"/>
    <w:rsid w:val="00D95CC6"/>
    <w:rsid w:val="00D97FCC"/>
    <w:rsid w:val="00DA0A4B"/>
    <w:rsid w:val="00DA1092"/>
    <w:rsid w:val="00DA143F"/>
    <w:rsid w:val="00DA2DA3"/>
    <w:rsid w:val="00DA2E3C"/>
    <w:rsid w:val="00DA304B"/>
    <w:rsid w:val="00DA5045"/>
    <w:rsid w:val="00DA6615"/>
    <w:rsid w:val="00DA76AE"/>
    <w:rsid w:val="00DB0798"/>
    <w:rsid w:val="00DB1293"/>
    <w:rsid w:val="00DB181E"/>
    <w:rsid w:val="00DB1C7A"/>
    <w:rsid w:val="00DB1FD1"/>
    <w:rsid w:val="00DB268F"/>
    <w:rsid w:val="00DB2764"/>
    <w:rsid w:val="00DB2983"/>
    <w:rsid w:val="00DB343D"/>
    <w:rsid w:val="00DB5579"/>
    <w:rsid w:val="00DB5CFE"/>
    <w:rsid w:val="00DB7961"/>
    <w:rsid w:val="00DC01E0"/>
    <w:rsid w:val="00DC13AB"/>
    <w:rsid w:val="00DC20E3"/>
    <w:rsid w:val="00DC292D"/>
    <w:rsid w:val="00DC314D"/>
    <w:rsid w:val="00DC3973"/>
    <w:rsid w:val="00DC4126"/>
    <w:rsid w:val="00DC4797"/>
    <w:rsid w:val="00DC58C4"/>
    <w:rsid w:val="00DC643B"/>
    <w:rsid w:val="00DC72A6"/>
    <w:rsid w:val="00DC75B9"/>
    <w:rsid w:val="00DD1300"/>
    <w:rsid w:val="00DD1DBA"/>
    <w:rsid w:val="00DD2113"/>
    <w:rsid w:val="00DD265E"/>
    <w:rsid w:val="00DD5CED"/>
    <w:rsid w:val="00DD5D03"/>
    <w:rsid w:val="00DD5F3F"/>
    <w:rsid w:val="00DD79E8"/>
    <w:rsid w:val="00DD7FAF"/>
    <w:rsid w:val="00DE20F4"/>
    <w:rsid w:val="00DE3D1E"/>
    <w:rsid w:val="00DE3D82"/>
    <w:rsid w:val="00DE5BD3"/>
    <w:rsid w:val="00DE646F"/>
    <w:rsid w:val="00DE7C5E"/>
    <w:rsid w:val="00DF1930"/>
    <w:rsid w:val="00DF494A"/>
    <w:rsid w:val="00DF514A"/>
    <w:rsid w:val="00DF6688"/>
    <w:rsid w:val="00E02404"/>
    <w:rsid w:val="00E027A7"/>
    <w:rsid w:val="00E0358D"/>
    <w:rsid w:val="00E039A4"/>
    <w:rsid w:val="00E045D4"/>
    <w:rsid w:val="00E06327"/>
    <w:rsid w:val="00E1058C"/>
    <w:rsid w:val="00E10E27"/>
    <w:rsid w:val="00E11B64"/>
    <w:rsid w:val="00E11B80"/>
    <w:rsid w:val="00E133DD"/>
    <w:rsid w:val="00E17B87"/>
    <w:rsid w:val="00E2064B"/>
    <w:rsid w:val="00E23CAD"/>
    <w:rsid w:val="00E24603"/>
    <w:rsid w:val="00E25239"/>
    <w:rsid w:val="00E255DB"/>
    <w:rsid w:val="00E25A59"/>
    <w:rsid w:val="00E26286"/>
    <w:rsid w:val="00E265B1"/>
    <w:rsid w:val="00E27159"/>
    <w:rsid w:val="00E272C2"/>
    <w:rsid w:val="00E272FA"/>
    <w:rsid w:val="00E275B0"/>
    <w:rsid w:val="00E27C1B"/>
    <w:rsid w:val="00E3086D"/>
    <w:rsid w:val="00E30CE6"/>
    <w:rsid w:val="00E31490"/>
    <w:rsid w:val="00E31BB5"/>
    <w:rsid w:val="00E3393E"/>
    <w:rsid w:val="00E33DE9"/>
    <w:rsid w:val="00E34D3E"/>
    <w:rsid w:val="00E3551C"/>
    <w:rsid w:val="00E35FD8"/>
    <w:rsid w:val="00E367AA"/>
    <w:rsid w:val="00E378F7"/>
    <w:rsid w:val="00E37D7F"/>
    <w:rsid w:val="00E40A30"/>
    <w:rsid w:val="00E41102"/>
    <w:rsid w:val="00E412D0"/>
    <w:rsid w:val="00E41AD6"/>
    <w:rsid w:val="00E43FB5"/>
    <w:rsid w:val="00E46AB8"/>
    <w:rsid w:val="00E47CDB"/>
    <w:rsid w:val="00E50134"/>
    <w:rsid w:val="00E50AA8"/>
    <w:rsid w:val="00E50E69"/>
    <w:rsid w:val="00E518A8"/>
    <w:rsid w:val="00E51A01"/>
    <w:rsid w:val="00E520EC"/>
    <w:rsid w:val="00E52B45"/>
    <w:rsid w:val="00E53304"/>
    <w:rsid w:val="00E534CC"/>
    <w:rsid w:val="00E55844"/>
    <w:rsid w:val="00E55F57"/>
    <w:rsid w:val="00E566BC"/>
    <w:rsid w:val="00E56A66"/>
    <w:rsid w:val="00E5720F"/>
    <w:rsid w:val="00E6043F"/>
    <w:rsid w:val="00E60982"/>
    <w:rsid w:val="00E60C8D"/>
    <w:rsid w:val="00E610C3"/>
    <w:rsid w:val="00E6162F"/>
    <w:rsid w:val="00E6168E"/>
    <w:rsid w:val="00E617FF"/>
    <w:rsid w:val="00E61F4F"/>
    <w:rsid w:val="00E62759"/>
    <w:rsid w:val="00E62AD3"/>
    <w:rsid w:val="00E6311B"/>
    <w:rsid w:val="00E64A22"/>
    <w:rsid w:val="00E64F28"/>
    <w:rsid w:val="00E65D97"/>
    <w:rsid w:val="00E67EFD"/>
    <w:rsid w:val="00E702DC"/>
    <w:rsid w:val="00E71881"/>
    <w:rsid w:val="00E71FFB"/>
    <w:rsid w:val="00E726C0"/>
    <w:rsid w:val="00E73CC4"/>
    <w:rsid w:val="00E76D1D"/>
    <w:rsid w:val="00E77167"/>
    <w:rsid w:val="00E806F8"/>
    <w:rsid w:val="00E807BE"/>
    <w:rsid w:val="00E807DD"/>
    <w:rsid w:val="00E80A34"/>
    <w:rsid w:val="00E81620"/>
    <w:rsid w:val="00E81D77"/>
    <w:rsid w:val="00E82B36"/>
    <w:rsid w:val="00E85506"/>
    <w:rsid w:val="00E86098"/>
    <w:rsid w:val="00E86A71"/>
    <w:rsid w:val="00E86E4D"/>
    <w:rsid w:val="00E87752"/>
    <w:rsid w:val="00E8793B"/>
    <w:rsid w:val="00E9081E"/>
    <w:rsid w:val="00E90F81"/>
    <w:rsid w:val="00E91A6D"/>
    <w:rsid w:val="00E920F9"/>
    <w:rsid w:val="00E9242D"/>
    <w:rsid w:val="00E92C2A"/>
    <w:rsid w:val="00E92EF8"/>
    <w:rsid w:val="00E93FFF"/>
    <w:rsid w:val="00E95080"/>
    <w:rsid w:val="00E95888"/>
    <w:rsid w:val="00E975A6"/>
    <w:rsid w:val="00E97B7C"/>
    <w:rsid w:val="00E97F53"/>
    <w:rsid w:val="00EA0B02"/>
    <w:rsid w:val="00EA21C5"/>
    <w:rsid w:val="00EA3EAD"/>
    <w:rsid w:val="00EA4BB8"/>
    <w:rsid w:val="00EA4F71"/>
    <w:rsid w:val="00EA5192"/>
    <w:rsid w:val="00EA6941"/>
    <w:rsid w:val="00EB041C"/>
    <w:rsid w:val="00EB09E3"/>
    <w:rsid w:val="00EB16AC"/>
    <w:rsid w:val="00EB177B"/>
    <w:rsid w:val="00EB292B"/>
    <w:rsid w:val="00EB29A6"/>
    <w:rsid w:val="00EB2CBA"/>
    <w:rsid w:val="00EB3726"/>
    <w:rsid w:val="00EB43BF"/>
    <w:rsid w:val="00EB5FD2"/>
    <w:rsid w:val="00EB60BC"/>
    <w:rsid w:val="00EB6EB4"/>
    <w:rsid w:val="00EB750C"/>
    <w:rsid w:val="00EB772C"/>
    <w:rsid w:val="00EB7CA1"/>
    <w:rsid w:val="00EC0318"/>
    <w:rsid w:val="00EC0B88"/>
    <w:rsid w:val="00EC0C0D"/>
    <w:rsid w:val="00EC21C2"/>
    <w:rsid w:val="00EC4E92"/>
    <w:rsid w:val="00EC5874"/>
    <w:rsid w:val="00ED12E5"/>
    <w:rsid w:val="00ED192D"/>
    <w:rsid w:val="00ED22E4"/>
    <w:rsid w:val="00ED30B4"/>
    <w:rsid w:val="00ED31F5"/>
    <w:rsid w:val="00ED6036"/>
    <w:rsid w:val="00ED6A65"/>
    <w:rsid w:val="00EE1D25"/>
    <w:rsid w:val="00EE35C7"/>
    <w:rsid w:val="00EE50AC"/>
    <w:rsid w:val="00EE73BE"/>
    <w:rsid w:val="00EE7DCE"/>
    <w:rsid w:val="00EF2759"/>
    <w:rsid w:val="00EF431C"/>
    <w:rsid w:val="00EF45EB"/>
    <w:rsid w:val="00EF4719"/>
    <w:rsid w:val="00EF5099"/>
    <w:rsid w:val="00EF5962"/>
    <w:rsid w:val="00EF5E33"/>
    <w:rsid w:val="00F00075"/>
    <w:rsid w:val="00F008AF"/>
    <w:rsid w:val="00F04212"/>
    <w:rsid w:val="00F062E3"/>
    <w:rsid w:val="00F07822"/>
    <w:rsid w:val="00F11917"/>
    <w:rsid w:val="00F1204D"/>
    <w:rsid w:val="00F123BB"/>
    <w:rsid w:val="00F12459"/>
    <w:rsid w:val="00F1366C"/>
    <w:rsid w:val="00F141A4"/>
    <w:rsid w:val="00F143C9"/>
    <w:rsid w:val="00F1482C"/>
    <w:rsid w:val="00F14C6D"/>
    <w:rsid w:val="00F15C95"/>
    <w:rsid w:val="00F2035C"/>
    <w:rsid w:val="00F21206"/>
    <w:rsid w:val="00F215AD"/>
    <w:rsid w:val="00F22000"/>
    <w:rsid w:val="00F22985"/>
    <w:rsid w:val="00F233B9"/>
    <w:rsid w:val="00F241AB"/>
    <w:rsid w:val="00F24FAC"/>
    <w:rsid w:val="00F258F5"/>
    <w:rsid w:val="00F25C73"/>
    <w:rsid w:val="00F26A60"/>
    <w:rsid w:val="00F272EE"/>
    <w:rsid w:val="00F311B0"/>
    <w:rsid w:val="00F31382"/>
    <w:rsid w:val="00F3206C"/>
    <w:rsid w:val="00F32DBE"/>
    <w:rsid w:val="00F34EA6"/>
    <w:rsid w:val="00F35829"/>
    <w:rsid w:val="00F35EC4"/>
    <w:rsid w:val="00F406AC"/>
    <w:rsid w:val="00F4179A"/>
    <w:rsid w:val="00F41B1B"/>
    <w:rsid w:val="00F4231F"/>
    <w:rsid w:val="00F42868"/>
    <w:rsid w:val="00F44740"/>
    <w:rsid w:val="00F452BB"/>
    <w:rsid w:val="00F45A88"/>
    <w:rsid w:val="00F465A7"/>
    <w:rsid w:val="00F478B8"/>
    <w:rsid w:val="00F47D9C"/>
    <w:rsid w:val="00F50289"/>
    <w:rsid w:val="00F50A9E"/>
    <w:rsid w:val="00F50B7C"/>
    <w:rsid w:val="00F5202D"/>
    <w:rsid w:val="00F52CF6"/>
    <w:rsid w:val="00F53835"/>
    <w:rsid w:val="00F54496"/>
    <w:rsid w:val="00F557A8"/>
    <w:rsid w:val="00F56A84"/>
    <w:rsid w:val="00F56DA4"/>
    <w:rsid w:val="00F61097"/>
    <w:rsid w:val="00F61EFB"/>
    <w:rsid w:val="00F62BDC"/>
    <w:rsid w:val="00F62D79"/>
    <w:rsid w:val="00F64452"/>
    <w:rsid w:val="00F6580F"/>
    <w:rsid w:val="00F67AFD"/>
    <w:rsid w:val="00F70521"/>
    <w:rsid w:val="00F71F67"/>
    <w:rsid w:val="00F728EB"/>
    <w:rsid w:val="00F74345"/>
    <w:rsid w:val="00F74441"/>
    <w:rsid w:val="00F7487E"/>
    <w:rsid w:val="00F75165"/>
    <w:rsid w:val="00F7765F"/>
    <w:rsid w:val="00F77F30"/>
    <w:rsid w:val="00F80D0B"/>
    <w:rsid w:val="00F80DDA"/>
    <w:rsid w:val="00F82589"/>
    <w:rsid w:val="00F82B19"/>
    <w:rsid w:val="00F82B53"/>
    <w:rsid w:val="00F832D3"/>
    <w:rsid w:val="00F8394D"/>
    <w:rsid w:val="00F84024"/>
    <w:rsid w:val="00F84072"/>
    <w:rsid w:val="00F85424"/>
    <w:rsid w:val="00F855D8"/>
    <w:rsid w:val="00F86826"/>
    <w:rsid w:val="00F8717C"/>
    <w:rsid w:val="00F8736C"/>
    <w:rsid w:val="00F90AA7"/>
    <w:rsid w:val="00F9212D"/>
    <w:rsid w:val="00F9358C"/>
    <w:rsid w:val="00F9483E"/>
    <w:rsid w:val="00F94D5C"/>
    <w:rsid w:val="00F9627E"/>
    <w:rsid w:val="00F9763E"/>
    <w:rsid w:val="00F97B97"/>
    <w:rsid w:val="00FA1507"/>
    <w:rsid w:val="00FA2FB9"/>
    <w:rsid w:val="00FA301A"/>
    <w:rsid w:val="00FA3261"/>
    <w:rsid w:val="00FA406A"/>
    <w:rsid w:val="00FA4422"/>
    <w:rsid w:val="00FA447D"/>
    <w:rsid w:val="00FA4526"/>
    <w:rsid w:val="00FA5CB6"/>
    <w:rsid w:val="00FA638D"/>
    <w:rsid w:val="00FA798B"/>
    <w:rsid w:val="00FB00D4"/>
    <w:rsid w:val="00FB1553"/>
    <w:rsid w:val="00FB1DE6"/>
    <w:rsid w:val="00FB2781"/>
    <w:rsid w:val="00FB2823"/>
    <w:rsid w:val="00FB2F5D"/>
    <w:rsid w:val="00FB448A"/>
    <w:rsid w:val="00FB6C41"/>
    <w:rsid w:val="00FC1598"/>
    <w:rsid w:val="00FC5E01"/>
    <w:rsid w:val="00FC66AC"/>
    <w:rsid w:val="00FC709D"/>
    <w:rsid w:val="00FC7375"/>
    <w:rsid w:val="00FC7868"/>
    <w:rsid w:val="00FD0EEC"/>
    <w:rsid w:val="00FD182A"/>
    <w:rsid w:val="00FD18F4"/>
    <w:rsid w:val="00FD1B69"/>
    <w:rsid w:val="00FD37A4"/>
    <w:rsid w:val="00FD617B"/>
    <w:rsid w:val="00FD74B4"/>
    <w:rsid w:val="00FD754B"/>
    <w:rsid w:val="00FD7F2D"/>
    <w:rsid w:val="00FE2542"/>
    <w:rsid w:val="00FE331B"/>
    <w:rsid w:val="00FE3789"/>
    <w:rsid w:val="00FE4144"/>
    <w:rsid w:val="00FE4801"/>
    <w:rsid w:val="00FE4B9A"/>
    <w:rsid w:val="00FE518C"/>
    <w:rsid w:val="00FE6802"/>
    <w:rsid w:val="00FF088A"/>
    <w:rsid w:val="00FF1997"/>
    <w:rsid w:val="00FF22DC"/>
    <w:rsid w:val="00FF2611"/>
    <w:rsid w:val="00FF26DF"/>
    <w:rsid w:val="00FF626C"/>
    <w:rsid w:val="00FF6FCE"/>
    <w:rsid w:val="00FF7141"/>
    <w:rsid w:val="00FF7518"/>
    <w:rsid w:val="00FF7FD8"/>
    <w:rsid w:val="013A1A54"/>
    <w:rsid w:val="01F4405F"/>
    <w:rsid w:val="02CC3A61"/>
    <w:rsid w:val="035E5051"/>
    <w:rsid w:val="04762FF4"/>
    <w:rsid w:val="05742AC8"/>
    <w:rsid w:val="060744A6"/>
    <w:rsid w:val="06352F05"/>
    <w:rsid w:val="063E7D85"/>
    <w:rsid w:val="070875E0"/>
    <w:rsid w:val="07293586"/>
    <w:rsid w:val="07295285"/>
    <w:rsid w:val="07770C56"/>
    <w:rsid w:val="07AA7AF4"/>
    <w:rsid w:val="08E458C1"/>
    <w:rsid w:val="092217DD"/>
    <w:rsid w:val="093A7294"/>
    <w:rsid w:val="09947D97"/>
    <w:rsid w:val="0A0C0AB0"/>
    <w:rsid w:val="0AA31E1C"/>
    <w:rsid w:val="0B151643"/>
    <w:rsid w:val="0B7D1FFD"/>
    <w:rsid w:val="0BD27BF6"/>
    <w:rsid w:val="0C2B491F"/>
    <w:rsid w:val="0C385A6D"/>
    <w:rsid w:val="0C4412B6"/>
    <w:rsid w:val="0CF94E5A"/>
    <w:rsid w:val="0D1F760B"/>
    <w:rsid w:val="0E110D06"/>
    <w:rsid w:val="0E2812FC"/>
    <w:rsid w:val="0F13775A"/>
    <w:rsid w:val="0F6A3358"/>
    <w:rsid w:val="0F8A4D0B"/>
    <w:rsid w:val="0F9A112B"/>
    <w:rsid w:val="106D2F64"/>
    <w:rsid w:val="10B63710"/>
    <w:rsid w:val="111C2F7A"/>
    <w:rsid w:val="113013DE"/>
    <w:rsid w:val="116865E6"/>
    <w:rsid w:val="122B06C2"/>
    <w:rsid w:val="122D652B"/>
    <w:rsid w:val="12BA15D0"/>
    <w:rsid w:val="13951726"/>
    <w:rsid w:val="14396509"/>
    <w:rsid w:val="1447165C"/>
    <w:rsid w:val="14A305E4"/>
    <w:rsid w:val="15B8798E"/>
    <w:rsid w:val="15E078FA"/>
    <w:rsid w:val="16714AA4"/>
    <w:rsid w:val="17735226"/>
    <w:rsid w:val="17806B0A"/>
    <w:rsid w:val="17A57EBA"/>
    <w:rsid w:val="18633624"/>
    <w:rsid w:val="18C31363"/>
    <w:rsid w:val="195A372A"/>
    <w:rsid w:val="1A1C66C0"/>
    <w:rsid w:val="1A4213EC"/>
    <w:rsid w:val="1A42393B"/>
    <w:rsid w:val="1AA13496"/>
    <w:rsid w:val="1AB16FE2"/>
    <w:rsid w:val="1B046F80"/>
    <w:rsid w:val="1B3267B5"/>
    <w:rsid w:val="1BC2410F"/>
    <w:rsid w:val="1BC25DC8"/>
    <w:rsid w:val="1C1912CC"/>
    <w:rsid w:val="1C5E7925"/>
    <w:rsid w:val="1C62373B"/>
    <w:rsid w:val="1C887FC8"/>
    <w:rsid w:val="1D2E5041"/>
    <w:rsid w:val="1D5F6196"/>
    <w:rsid w:val="1D6132A5"/>
    <w:rsid w:val="1D8E56D5"/>
    <w:rsid w:val="1DE01005"/>
    <w:rsid w:val="1E7A43DA"/>
    <w:rsid w:val="1EB277FE"/>
    <w:rsid w:val="1EC907A8"/>
    <w:rsid w:val="1FE7539E"/>
    <w:rsid w:val="20963CB8"/>
    <w:rsid w:val="20B07FB6"/>
    <w:rsid w:val="20D109C9"/>
    <w:rsid w:val="212249B1"/>
    <w:rsid w:val="213B74B1"/>
    <w:rsid w:val="215A2310"/>
    <w:rsid w:val="21B40A21"/>
    <w:rsid w:val="21DB451D"/>
    <w:rsid w:val="21DE318A"/>
    <w:rsid w:val="21EF5B80"/>
    <w:rsid w:val="22276E0A"/>
    <w:rsid w:val="2253315F"/>
    <w:rsid w:val="22576990"/>
    <w:rsid w:val="229C4EAB"/>
    <w:rsid w:val="22BE7A7C"/>
    <w:rsid w:val="22F9140B"/>
    <w:rsid w:val="23777846"/>
    <w:rsid w:val="23B31DFD"/>
    <w:rsid w:val="24324864"/>
    <w:rsid w:val="252D53FE"/>
    <w:rsid w:val="25EC2D81"/>
    <w:rsid w:val="25F07CC2"/>
    <w:rsid w:val="26177FFE"/>
    <w:rsid w:val="262C41BF"/>
    <w:rsid w:val="264528BD"/>
    <w:rsid w:val="265E6D8D"/>
    <w:rsid w:val="26BC44AC"/>
    <w:rsid w:val="278907F5"/>
    <w:rsid w:val="27AE497A"/>
    <w:rsid w:val="27C7778D"/>
    <w:rsid w:val="27D15DD1"/>
    <w:rsid w:val="280B0B5C"/>
    <w:rsid w:val="28A76295"/>
    <w:rsid w:val="28E60D8A"/>
    <w:rsid w:val="29206EB8"/>
    <w:rsid w:val="292F3C47"/>
    <w:rsid w:val="29585AA2"/>
    <w:rsid w:val="29E325E0"/>
    <w:rsid w:val="2A452503"/>
    <w:rsid w:val="2B2B6AA0"/>
    <w:rsid w:val="2BA936A8"/>
    <w:rsid w:val="2BC146BE"/>
    <w:rsid w:val="2BDC5E04"/>
    <w:rsid w:val="2C315A5A"/>
    <w:rsid w:val="2D637EA6"/>
    <w:rsid w:val="2D926AE7"/>
    <w:rsid w:val="2D9E56F5"/>
    <w:rsid w:val="2E667F96"/>
    <w:rsid w:val="2E7E72B4"/>
    <w:rsid w:val="2E8226AB"/>
    <w:rsid w:val="2EE031FD"/>
    <w:rsid w:val="2F832C79"/>
    <w:rsid w:val="2FB95452"/>
    <w:rsid w:val="2FEF2D58"/>
    <w:rsid w:val="30580BC9"/>
    <w:rsid w:val="311E2ED7"/>
    <w:rsid w:val="315C449C"/>
    <w:rsid w:val="31B82709"/>
    <w:rsid w:val="32400B34"/>
    <w:rsid w:val="32816180"/>
    <w:rsid w:val="329E6876"/>
    <w:rsid w:val="3301136B"/>
    <w:rsid w:val="33466FF4"/>
    <w:rsid w:val="33D934D4"/>
    <w:rsid w:val="33EF1B0B"/>
    <w:rsid w:val="33FE2F6A"/>
    <w:rsid w:val="34FF38D4"/>
    <w:rsid w:val="357A3761"/>
    <w:rsid w:val="35D97C1A"/>
    <w:rsid w:val="36074A7F"/>
    <w:rsid w:val="368309C5"/>
    <w:rsid w:val="36923549"/>
    <w:rsid w:val="36B75FBF"/>
    <w:rsid w:val="36FB4891"/>
    <w:rsid w:val="37C97ABF"/>
    <w:rsid w:val="38F12CD3"/>
    <w:rsid w:val="38F94775"/>
    <w:rsid w:val="392971ED"/>
    <w:rsid w:val="39460864"/>
    <w:rsid w:val="39800AEC"/>
    <w:rsid w:val="3AB80B4B"/>
    <w:rsid w:val="3B3763D1"/>
    <w:rsid w:val="3B8A573B"/>
    <w:rsid w:val="3C7A25BB"/>
    <w:rsid w:val="3CDA245A"/>
    <w:rsid w:val="3CEE0A37"/>
    <w:rsid w:val="3D7604D6"/>
    <w:rsid w:val="3E1058FB"/>
    <w:rsid w:val="3E5C5054"/>
    <w:rsid w:val="3F412128"/>
    <w:rsid w:val="3F660E74"/>
    <w:rsid w:val="407A6407"/>
    <w:rsid w:val="4110563C"/>
    <w:rsid w:val="416E335B"/>
    <w:rsid w:val="423A3BCC"/>
    <w:rsid w:val="431F532D"/>
    <w:rsid w:val="433A6FE6"/>
    <w:rsid w:val="4350713C"/>
    <w:rsid w:val="436653E0"/>
    <w:rsid w:val="436B43D9"/>
    <w:rsid w:val="4488000B"/>
    <w:rsid w:val="44CD14E0"/>
    <w:rsid w:val="452D0683"/>
    <w:rsid w:val="458946E9"/>
    <w:rsid w:val="459C4852"/>
    <w:rsid w:val="46D955A7"/>
    <w:rsid w:val="47133957"/>
    <w:rsid w:val="47174838"/>
    <w:rsid w:val="4779329E"/>
    <w:rsid w:val="47A07E0C"/>
    <w:rsid w:val="47C94713"/>
    <w:rsid w:val="481D17A2"/>
    <w:rsid w:val="4870272E"/>
    <w:rsid w:val="48C92FA0"/>
    <w:rsid w:val="48EF545A"/>
    <w:rsid w:val="49073402"/>
    <w:rsid w:val="49C652C0"/>
    <w:rsid w:val="49DC7715"/>
    <w:rsid w:val="4A023139"/>
    <w:rsid w:val="4A7B576F"/>
    <w:rsid w:val="4AB3655F"/>
    <w:rsid w:val="4B2D21E0"/>
    <w:rsid w:val="4BCC7C51"/>
    <w:rsid w:val="4C073133"/>
    <w:rsid w:val="4C441CC0"/>
    <w:rsid w:val="4C4A0649"/>
    <w:rsid w:val="4C774153"/>
    <w:rsid w:val="4CE470D3"/>
    <w:rsid w:val="4D562417"/>
    <w:rsid w:val="4D733781"/>
    <w:rsid w:val="4DEC4FB0"/>
    <w:rsid w:val="4E075D8A"/>
    <w:rsid w:val="4ECF5D42"/>
    <w:rsid w:val="4F042E81"/>
    <w:rsid w:val="4F070D45"/>
    <w:rsid w:val="4FBB7155"/>
    <w:rsid w:val="4FC62A8C"/>
    <w:rsid w:val="4FE20F0D"/>
    <w:rsid w:val="4FED55C7"/>
    <w:rsid w:val="50504C4B"/>
    <w:rsid w:val="50511612"/>
    <w:rsid w:val="509C6E7C"/>
    <w:rsid w:val="50BD4B06"/>
    <w:rsid w:val="5162104E"/>
    <w:rsid w:val="51FE2DBB"/>
    <w:rsid w:val="53920830"/>
    <w:rsid w:val="53A039CC"/>
    <w:rsid w:val="53A1505A"/>
    <w:rsid w:val="54063E08"/>
    <w:rsid w:val="542157F3"/>
    <w:rsid w:val="543437E8"/>
    <w:rsid w:val="54A651AA"/>
    <w:rsid w:val="54BB00C5"/>
    <w:rsid w:val="559630AA"/>
    <w:rsid w:val="559B174B"/>
    <w:rsid w:val="55CE0CF4"/>
    <w:rsid w:val="56933C1B"/>
    <w:rsid w:val="56B22A9C"/>
    <w:rsid w:val="56C037A5"/>
    <w:rsid w:val="56E41A33"/>
    <w:rsid w:val="57045299"/>
    <w:rsid w:val="570764E1"/>
    <w:rsid w:val="57425932"/>
    <w:rsid w:val="57B72A76"/>
    <w:rsid w:val="5A030919"/>
    <w:rsid w:val="5A3C747D"/>
    <w:rsid w:val="5A715E56"/>
    <w:rsid w:val="5ABE2233"/>
    <w:rsid w:val="5AFC776D"/>
    <w:rsid w:val="5AFE0D0D"/>
    <w:rsid w:val="5B001BF9"/>
    <w:rsid w:val="5B276D18"/>
    <w:rsid w:val="5B487E1F"/>
    <w:rsid w:val="5BDF5D95"/>
    <w:rsid w:val="5D52490A"/>
    <w:rsid w:val="5DCE2404"/>
    <w:rsid w:val="5DF87A0F"/>
    <w:rsid w:val="5E6D22A2"/>
    <w:rsid w:val="5E970D10"/>
    <w:rsid w:val="5F1A2B43"/>
    <w:rsid w:val="5FB837BB"/>
    <w:rsid w:val="62364782"/>
    <w:rsid w:val="62C7500B"/>
    <w:rsid w:val="637D755B"/>
    <w:rsid w:val="63D40BE9"/>
    <w:rsid w:val="63E0211F"/>
    <w:rsid w:val="6432037A"/>
    <w:rsid w:val="64DD28D2"/>
    <w:rsid w:val="64EE0449"/>
    <w:rsid w:val="652515F4"/>
    <w:rsid w:val="65373578"/>
    <w:rsid w:val="6554152C"/>
    <w:rsid w:val="673F2C7A"/>
    <w:rsid w:val="674F1A43"/>
    <w:rsid w:val="67544317"/>
    <w:rsid w:val="67F56379"/>
    <w:rsid w:val="681F6961"/>
    <w:rsid w:val="68610A2F"/>
    <w:rsid w:val="68805514"/>
    <w:rsid w:val="694E2071"/>
    <w:rsid w:val="697A3B33"/>
    <w:rsid w:val="699E2456"/>
    <w:rsid w:val="6B322639"/>
    <w:rsid w:val="6BE93BEE"/>
    <w:rsid w:val="6C636C38"/>
    <w:rsid w:val="6DB34098"/>
    <w:rsid w:val="6DB545B6"/>
    <w:rsid w:val="6E4375A0"/>
    <w:rsid w:val="6E514CED"/>
    <w:rsid w:val="6E79491A"/>
    <w:rsid w:val="6E7D5B80"/>
    <w:rsid w:val="6EB563D5"/>
    <w:rsid w:val="6F056C2E"/>
    <w:rsid w:val="6F225983"/>
    <w:rsid w:val="6F2E3493"/>
    <w:rsid w:val="6FFC5590"/>
    <w:rsid w:val="70301DA3"/>
    <w:rsid w:val="706D1DD0"/>
    <w:rsid w:val="707D048F"/>
    <w:rsid w:val="70856B87"/>
    <w:rsid w:val="70D527EE"/>
    <w:rsid w:val="70D87435"/>
    <w:rsid w:val="710C5D8B"/>
    <w:rsid w:val="715B5300"/>
    <w:rsid w:val="715F4BD7"/>
    <w:rsid w:val="71865F54"/>
    <w:rsid w:val="71D27F8A"/>
    <w:rsid w:val="71F744C6"/>
    <w:rsid w:val="71F960CF"/>
    <w:rsid w:val="731F5D5E"/>
    <w:rsid w:val="73361954"/>
    <w:rsid w:val="739C1E1C"/>
    <w:rsid w:val="741E793C"/>
    <w:rsid w:val="7463340D"/>
    <w:rsid w:val="746A7008"/>
    <w:rsid w:val="75517D80"/>
    <w:rsid w:val="758C7094"/>
    <w:rsid w:val="758D75E2"/>
    <w:rsid w:val="76550D7C"/>
    <w:rsid w:val="76C65DBA"/>
    <w:rsid w:val="76DC70AE"/>
    <w:rsid w:val="77762421"/>
    <w:rsid w:val="780F09F4"/>
    <w:rsid w:val="789C4F47"/>
    <w:rsid w:val="78A90480"/>
    <w:rsid w:val="79811327"/>
    <w:rsid w:val="7A364017"/>
    <w:rsid w:val="7A8265E1"/>
    <w:rsid w:val="7AD0348B"/>
    <w:rsid w:val="7B686D42"/>
    <w:rsid w:val="7B841746"/>
    <w:rsid w:val="7CF12340"/>
    <w:rsid w:val="7D0239FF"/>
    <w:rsid w:val="7D5E40CD"/>
    <w:rsid w:val="7D693BED"/>
    <w:rsid w:val="7D914C6A"/>
    <w:rsid w:val="7D99550F"/>
    <w:rsid w:val="7E523381"/>
    <w:rsid w:val="7E8E7261"/>
    <w:rsid w:val="7F7F5853"/>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nhideWhenUsed="0" w:uiPriority="0" w:semiHidden="0" w:name="heading 6" w:locked="1"/>
    <w:lsdException w:qFormat="1" w:uiPriority="0" w:name="heading 7" w:locked="1"/>
    <w:lsdException w:qFormat="1" w:uiPriority="0" w:name="heading 8" w:locked="1"/>
    <w:lsdException w:qFormat="1" w:uiPriority="0" w:name="heading 9" w:locked="1"/>
    <w:lsdException w:qFormat="1"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ocked="1"/>
    <w:lsdException w:qFormat="1" w:uiPriority="39" w:semiHidden="0" w:name="toc 2" w:locked="1"/>
    <w:lsdException w:qFormat="1"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5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2"/>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121"/>
    <w:qFormat/>
    <w:locked/>
    <w:uiPriority w:val="0"/>
    <w:pPr>
      <w:keepNext/>
      <w:snapToGrid w:val="0"/>
      <w:outlineLvl w:val="1"/>
    </w:pPr>
    <w:rPr>
      <w:kern w:val="0"/>
      <w:sz w:val="25"/>
      <w:szCs w:val="20"/>
    </w:rPr>
  </w:style>
  <w:style w:type="paragraph" w:styleId="4">
    <w:name w:val="heading 3"/>
    <w:basedOn w:val="1"/>
    <w:next w:val="1"/>
    <w:link w:val="77"/>
    <w:qFormat/>
    <w:locked/>
    <w:uiPriority w:val="0"/>
    <w:pPr>
      <w:keepNext/>
      <w:keepLines/>
      <w:spacing w:before="260" w:after="260" w:line="416" w:lineRule="auto"/>
      <w:outlineLvl w:val="2"/>
    </w:pPr>
    <w:rPr>
      <w:b/>
      <w:bCs/>
      <w:sz w:val="32"/>
      <w:szCs w:val="32"/>
    </w:rPr>
  </w:style>
  <w:style w:type="paragraph" w:styleId="5">
    <w:name w:val="heading 4"/>
    <w:basedOn w:val="1"/>
    <w:next w:val="1"/>
    <w:link w:val="111"/>
    <w:qFormat/>
    <w:locked/>
    <w:uiPriority w:val="0"/>
    <w:pPr>
      <w:keepNext/>
      <w:keepLines/>
      <w:tabs>
        <w:tab w:val="left" w:pos="2880"/>
      </w:tabs>
      <w:spacing w:before="280" w:after="290" w:line="372" w:lineRule="auto"/>
      <w:ind w:left="2880" w:hanging="360"/>
      <w:outlineLvl w:val="3"/>
    </w:pPr>
    <w:rPr>
      <w:rFonts w:ascii="Arial" w:hAnsi="Arial" w:eastAsia="黑体" w:cs="宋体"/>
      <w:b/>
      <w:bCs/>
      <w:kern w:val="0"/>
      <w:sz w:val="28"/>
      <w:szCs w:val="28"/>
    </w:rPr>
  </w:style>
  <w:style w:type="paragraph" w:styleId="6">
    <w:name w:val="heading 6"/>
    <w:basedOn w:val="1"/>
    <w:next w:val="1"/>
    <w:link w:val="74"/>
    <w:qFormat/>
    <w:locked/>
    <w:uiPriority w:val="0"/>
    <w:pPr>
      <w:keepNext/>
      <w:keepLines/>
      <w:adjustRightInd w:val="0"/>
      <w:spacing w:before="240" w:after="64" w:line="320" w:lineRule="atLeast"/>
      <w:textAlignment w:val="baseline"/>
      <w:outlineLvl w:val="5"/>
    </w:pPr>
    <w:rPr>
      <w:rFonts w:ascii="Cambria" w:hAnsi="Cambria" w:eastAsia="宋体" w:cs="Times New Roman"/>
      <w:b/>
      <w:bCs/>
      <w:kern w:val="0"/>
      <w:sz w:val="24"/>
    </w:rPr>
  </w:style>
  <w:style w:type="character" w:default="1" w:styleId="32">
    <w:name w:val="Default Paragraph Font"/>
    <w:semiHidden/>
    <w:qFormat/>
    <w:uiPriority w:val="0"/>
  </w:style>
  <w:style w:type="table" w:default="1" w:styleId="30">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7">
    <w:name w:val="Normal Indent"/>
    <w:basedOn w:val="1"/>
    <w:link w:val="56"/>
    <w:qFormat/>
    <w:uiPriority w:val="0"/>
    <w:pPr>
      <w:ind w:firstLine="420" w:firstLineChars="200"/>
    </w:pPr>
  </w:style>
  <w:style w:type="paragraph" w:styleId="8">
    <w:name w:val="caption"/>
    <w:basedOn w:val="1"/>
    <w:next w:val="1"/>
    <w:link w:val="63"/>
    <w:qFormat/>
    <w:locked/>
    <w:uiPriority w:val="0"/>
    <w:pPr>
      <w:spacing w:line="328" w:lineRule="auto"/>
      <w:ind w:firstLine="200" w:firstLineChars="200"/>
      <w:jc w:val="center"/>
    </w:pPr>
    <w:rPr>
      <w:rFonts w:ascii="黑体" w:hAnsi="Arial" w:eastAsia="黑体" w:cs="Arial"/>
      <w:b/>
      <w:sz w:val="24"/>
    </w:rPr>
  </w:style>
  <w:style w:type="paragraph" w:styleId="9">
    <w:name w:val="Document Map"/>
    <w:basedOn w:val="1"/>
    <w:link w:val="114"/>
    <w:qFormat/>
    <w:uiPriority w:val="0"/>
    <w:pPr>
      <w:shd w:val="clear" w:color="auto" w:fill="000080"/>
    </w:pPr>
    <w:rPr>
      <w:kern w:val="0"/>
      <w:sz w:val="20"/>
      <w:szCs w:val="20"/>
    </w:rPr>
  </w:style>
  <w:style w:type="paragraph" w:styleId="10">
    <w:name w:val="annotation text"/>
    <w:basedOn w:val="1"/>
    <w:link w:val="139"/>
    <w:qFormat/>
    <w:uiPriority w:val="0"/>
    <w:pPr>
      <w:jc w:val="left"/>
    </w:pPr>
    <w:rPr>
      <w:kern w:val="0"/>
      <w:sz w:val="20"/>
    </w:rPr>
  </w:style>
  <w:style w:type="paragraph" w:styleId="11">
    <w:name w:val="Body Text"/>
    <w:basedOn w:val="1"/>
    <w:link w:val="93"/>
    <w:qFormat/>
    <w:uiPriority w:val="0"/>
    <w:pPr>
      <w:widowControl/>
      <w:snapToGrid w:val="0"/>
      <w:spacing w:before="60" w:after="160" w:line="259" w:lineRule="auto"/>
      <w:ind w:right="113"/>
    </w:pPr>
    <w:rPr>
      <w:kern w:val="0"/>
      <w:sz w:val="18"/>
      <w:szCs w:val="18"/>
    </w:rPr>
  </w:style>
  <w:style w:type="paragraph" w:styleId="12">
    <w:name w:val="Body Text Indent"/>
    <w:basedOn w:val="1"/>
    <w:link w:val="41"/>
    <w:qFormat/>
    <w:uiPriority w:val="0"/>
    <w:pPr>
      <w:spacing w:after="120"/>
      <w:ind w:left="420" w:leftChars="200"/>
    </w:pPr>
  </w:style>
  <w:style w:type="paragraph" w:styleId="13">
    <w:name w:val="Block Text"/>
    <w:basedOn w:val="1"/>
    <w:qFormat/>
    <w:uiPriority w:val="0"/>
    <w:pPr>
      <w:adjustRightInd w:val="0"/>
      <w:snapToGrid w:val="0"/>
      <w:spacing w:line="360" w:lineRule="auto"/>
      <w:ind w:left="105" w:leftChars="50" w:right="105" w:firstLine="557" w:firstLineChars="199"/>
    </w:pPr>
    <w:rPr>
      <w:sz w:val="28"/>
      <w:szCs w:val="20"/>
    </w:rPr>
  </w:style>
  <w:style w:type="paragraph" w:styleId="14">
    <w:name w:val="toc 3"/>
    <w:basedOn w:val="1"/>
    <w:next w:val="1"/>
    <w:unhideWhenUsed/>
    <w:qFormat/>
    <w:locked/>
    <w:uiPriority w:val="39"/>
    <w:pPr>
      <w:widowControl/>
      <w:spacing w:after="100" w:line="276" w:lineRule="auto"/>
      <w:ind w:left="440"/>
      <w:jc w:val="left"/>
    </w:pPr>
    <w:rPr>
      <w:rFonts w:ascii="Calibri" w:hAnsi="Calibri" w:eastAsia="宋体" w:cs="Times New Roman"/>
      <w:kern w:val="0"/>
      <w:sz w:val="22"/>
      <w:szCs w:val="22"/>
    </w:rPr>
  </w:style>
  <w:style w:type="paragraph" w:styleId="15">
    <w:name w:val="Plain Text"/>
    <w:basedOn w:val="1"/>
    <w:link w:val="53"/>
    <w:qFormat/>
    <w:uiPriority w:val="0"/>
    <w:rPr>
      <w:rFonts w:ascii="宋体" w:hAnsi="Courier New"/>
      <w:szCs w:val="20"/>
    </w:rPr>
  </w:style>
  <w:style w:type="paragraph" w:styleId="16">
    <w:name w:val="Date"/>
    <w:basedOn w:val="1"/>
    <w:next w:val="1"/>
    <w:link w:val="118"/>
    <w:qFormat/>
    <w:uiPriority w:val="0"/>
    <w:pPr>
      <w:ind w:left="100" w:leftChars="2500"/>
    </w:pPr>
    <w:rPr>
      <w:kern w:val="0"/>
      <w:sz w:val="20"/>
    </w:rPr>
  </w:style>
  <w:style w:type="paragraph" w:styleId="17">
    <w:name w:val="Body Text Indent 2"/>
    <w:basedOn w:val="1"/>
    <w:link w:val="143"/>
    <w:qFormat/>
    <w:uiPriority w:val="0"/>
    <w:pPr>
      <w:spacing w:after="120" w:line="480" w:lineRule="auto"/>
      <w:ind w:left="420" w:leftChars="200"/>
    </w:pPr>
  </w:style>
  <w:style w:type="paragraph" w:styleId="18">
    <w:name w:val="Balloon Text"/>
    <w:basedOn w:val="1"/>
    <w:link w:val="141"/>
    <w:semiHidden/>
    <w:qFormat/>
    <w:uiPriority w:val="0"/>
    <w:rPr>
      <w:sz w:val="18"/>
      <w:szCs w:val="18"/>
    </w:rPr>
  </w:style>
  <w:style w:type="paragraph" w:styleId="19">
    <w:name w:val="footer"/>
    <w:basedOn w:val="1"/>
    <w:link w:val="73"/>
    <w:qFormat/>
    <w:uiPriority w:val="99"/>
    <w:pPr>
      <w:tabs>
        <w:tab w:val="center" w:pos="4153"/>
        <w:tab w:val="right" w:pos="8306"/>
      </w:tabs>
      <w:snapToGrid w:val="0"/>
      <w:jc w:val="left"/>
    </w:pPr>
    <w:rPr>
      <w:sz w:val="18"/>
      <w:szCs w:val="18"/>
    </w:rPr>
  </w:style>
  <w:style w:type="paragraph" w:styleId="20">
    <w:name w:val="header"/>
    <w:basedOn w:val="1"/>
    <w:link w:val="108"/>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qFormat/>
    <w:locked/>
    <w:uiPriority w:val="39"/>
    <w:pPr>
      <w:widowControl/>
      <w:spacing w:after="100" w:line="276" w:lineRule="auto"/>
      <w:jc w:val="left"/>
    </w:pPr>
    <w:rPr>
      <w:rFonts w:ascii="Calibri" w:hAnsi="Calibri" w:eastAsia="宋体" w:cs="Times New Roman"/>
      <w:kern w:val="0"/>
      <w:sz w:val="22"/>
      <w:szCs w:val="22"/>
    </w:rPr>
  </w:style>
  <w:style w:type="paragraph" w:styleId="22">
    <w:name w:val="Body Text Indent 3"/>
    <w:basedOn w:val="1"/>
    <w:link w:val="51"/>
    <w:qFormat/>
    <w:uiPriority w:val="0"/>
    <w:pPr>
      <w:spacing w:after="120"/>
      <w:ind w:left="420" w:leftChars="200"/>
    </w:pPr>
    <w:rPr>
      <w:sz w:val="16"/>
      <w:szCs w:val="16"/>
    </w:rPr>
  </w:style>
  <w:style w:type="paragraph" w:styleId="23">
    <w:name w:val="toc 2"/>
    <w:basedOn w:val="1"/>
    <w:next w:val="1"/>
    <w:unhideWhenUsed/>
    <w:qFormat/>
    <w:locked/>
    <w:uiPriority w:val="39"/>
    <w:pPr>
      <w:ind w:left="420" w:leftChars="200"/>
    </w:pPr>
    <w:rPr>
      <w:szCs w:val="20"/>
    </w:rPr>
  </w:style>
  <w:style w:type="paragraph" w:styleId="24">
    <w:name w:val="Body Text 2"/>
    <w:basedOn w:val="1"/>
    <w:link w:val="45"/>
    <w:qFormat/>
    <w:uiPriority w:val="0"/>
    <w:pPr>
      <w:snapToGrid w:val="0"/>
      <w:spacing w:line="360" w:lineRule="auto"/>
    </w:pPr>
    <w:rPr>
      <w:rFonts w:eastAsia="楷体_GB2312"/>
      <w:kern w:val="0"/>
      <w:sz w:val="28"/>
      <w:szCs w:val="20"/>
    </w:rPr>
  </w:style>
  <w:style w:type="paragraph" w:styleId="25">
    <w:name w:val="Normal (Web)"/>
    <w:basedOn w:val="1"/>
    <w:link w:val="52"/>
    <w:qFormat/>
    <w:uiPriority w:val="0"/>
    <w:pPr>
      <w:widowControl/>
      <w:spacing w:before="100" w:beforeAutospacing="1" w:after="100" w:afterAutospacing="1"/>
      <w:jc w:val="left"/>
    </w:pPr>
    <w:rPr>
      <w:rFonts w:ascii="宋体" w:hAnsi="宋体"/>
      <w:kern w:val="0"/>
      <w:sz w:val="24"/>
    </w:rPr>
  </w:style>
  <w:style w:type="paragraph" w:styleId="26">
    <w:name w:val="index 1"/>
    <w:basedOn w:val="1"/>
    <w:next w:val="1"/>
    <w:unhideWhenUsed/>
    <w:qFormat/>
    <w:uiPriority w:val="0"/>
    <w:pPr>
      <w:spacing w:line="280" w:lineRule="exact"/>
    </w:pPr>
    <w:rPr>
      <w:rFonts w:ascii="Calibri" w:hAnsi="Calibri"/>
    </w:rPr>
  </w:style>
  <w:style w:type="paragraph" w:styleId="27">
    <w:name w:val="Title"/>
    <w:basedOn w:val="1"/>
    <w:next w:val="1"/>
    <w:link w:val="76"/>
    <w:qFormat/>
    <w:locked/>
    <w:uiPriority w:val="0"/>
    <w:pPr>
      <w:spacing w:before="60" w:after="60" w:line="480" w:lineRule="exact"/>
      <w:jc w:val="left"/>
      <w:outlineLvl w:val="0"/>
    </w:pPr>
    <w:rPr>
      <w:rFonts w:ascii="Cambria" w:hAnsi="Cambria"/>
      <w:b/>
      <w:bCs/>
      <w:color w:val="000000"/>
      <w:sz w:val="32"/>
      <w:szCs w:val="32"/>
    </w:rPr>
  </w:style>
  <w:style w:type="paragraph" w:styleId="28">
    <w:name w:val="annotation subject"/>
    <w:basedOn w:val="10"/>
    <w:next w:val="10"/>
    <w:link w:val="81"/>
    <w:qFormat/>
    <w:uiPriority w:val="0"/>
    <w:rPr>
      <w:b/>
      <w:bCs/>
    </w:rPr>
  </w:style>
  <w:style w:type="paragraph" w:styleId="29">
    <w:name w:val="Body Text First Indent"/>
    <w:basedOn w:val="11"/>
    <w:link w:val="96"/>
    <w:unhideWhenUsed/>
    <w:qFormat/>
    <w:uiPriority w:val="0"/>
    <w:pPr>
      <w:widowControl w:val="0"/>
      <w:snapToGrid/>
      <w:spacing w:before="0" w:after="120" w:line="240" w:lineRule="auto"/>
      <w:ind w:right="0" w:firstLine="420" w:firstLineChars="100"/>
    </w:pPr>
    <w:rPr>
      <w:kern w:val="2"/>
      <w:sz w:val="21"/>
      <w:szCs w:val="20"/>
    </w:rPr>
  </w:style>
  <w:style w:type="table" w:styleId="31">
    <w:name w:val="Table Grid"/>
    <w:basedOn w:val="30"/>
    <w:qFormat/>
    <w:uiPriority w:val="59"/>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locked/>
    <w:uiPriority w:val="0"/>
    <w:rPr>
      <w:b/>
      <w:bCs/>
    </w:rPr>
  </w:style>
  <w:style w:type="character" w:styleId="34">
    <w:name w:val="page number"/>
    <w:qFormat/>
    <w:uiPriority w:val="0"/>
  </w:style>
  <w:style w:type="character" w:styleId="35">
    <w:name w:val="Hyperlink"/>
    <w:qFormat/>
    <w:uiPriority w:val="99"/>
    <w:rPr>
      <w:color w:val="0000FF"/>
      <w:u w:val="single"/>
    </w:rPr>
  </w:style>
  <w:style w:type="character" w:styleId="36">
    <w:name w:val="annotation reference"/>
    <w:qFormat/>
    <w:uiPriority w:val="99"/>
    <w:rPr>
      <w:sz w:val="21"/>
    </w:rPr>
  </w:style>
  <w:style w:type="character" w:customStyle="1" w:styleId="37">
    <w:name w:val="报告表正文 Char"/>
    <w:link w:val="38"/>
    <w:qFormat/>
    <w:uiPriority w:val="0"/>
    <w:rPr>
      <w:kern w:val="2"/>
      <w:sz w:val="24"/>
      <w:szCs w:val="24"/>
    </w:rPr>
  </w:style>
  <w:style w:type="paragraph" w:customStyle="1" w:styleId="38">
    <w:name w:val="报告表正文"/>
    <w:basedOn w:val="17"/>
    <w:link w:val="37"/>
    <w:qFormat/>
    <w:uiPriority w:val="0"/>
    <w:pPr>
      <w:spacing w:after="0" w:line="360" w:lineRule="auto"/>
      <w:ind w:left="0" w:leftChars="0" w:firstLine="200" w:firstLineChars="200"/>
    </w:pPr>
    <w:rPr>
      <w:sz w:val="24"/>
    </w:rPr>
  </w:style>
  <w:style w:type="character" w:customStyle="1" w:styleId="39">
    <w:name w:val="样式7 Char"/>
    <w:link w:val="40"/>
    <w:qFormat/>
    <w:uiPriority w:val="0"/>
    <w:rPr>
      <w:b/>
      <w:bCs/>
      <w:kern w:val="2"/>
      <w:sz w:val="28"/>
      <w:szCs w:val="28"/>
    </w:rPr>
  </w:style>
  <w:style w:type="paragraph" w:customStyle="1" w:styleId="40">
    <w:name w:val="样式7"/>
    <w:basedOn w:val="23"/>
    <w:link w:val="39"/>
    <w:qFormat/>
    <w:uiPriority w:val="0"/>
    <w:pPr>
      <w:spacing w:line="360" w:lineRule="auto"/>
      <w:ind w:left="560" w:leftChars="100" w:right="100" w:rightChars="100"/>
      <w:jc w:val="left"/>
    </w:pPr>
    <w:rPr>
      <w:b/>
      <w:bCs/>
      <w:sz w:val="28"/>
      <w:szCs w:val="28"/>
    </w:rPr>
  </w:style>
  <w:style w:type="character" w:customStyle="1" w:styleId="41">
    <w:name w:val="正文文本缩进 Char"/>
    <w:link w:val="12"/>
    <w:qFormat/>
    <w:locked/>
    <w:uiPriority w:val="0"/>
    <w:rPr>
      <w:rFonts w:ascii="Times New Roman" w:hAnsi="Times New Roman" w:eastAsia="宋体" w:cs="Times New Roman"/>
      <w:sz w:val="24"/>
      <w:szCs w:val="24"/>
    </w:rPr>
  </w:style>
  <w:style w:type="character" w:customStyle="1" w:styleId="42">
    <w:name w:val="报告书正文 Char"/>
    <w:link w:val="43"/>
    <w:qFormat/>
    <w:uiPriority w:val="0"/>
    <w:rPr>
      <w:rFonts w:ascii="Arial" w:hAnsi="Arial"/>
      <w:sz w:val="24"/>
      <w:szCs w:val="24"/>
    </w:rPr>
  </w:style>
  <w:style w:type="paragraph" w:customStyle="1" w:styleId="43">
    <w:name w:val="报告书正文"/>
    <w:basedOn w:val="1"/>
    <w:link w:val="42"/>
    <w:qFormat/>
    <w:uiPriority w:val="0"/>
    <w:pPr>
      <w:adjustRightInd w:val="0"/>
      <w:snapToGrid w:val="0"/>
      <w:spacing w:line="360" w:lineRule="auto"/>
      <w:ind w:firstLine="425"/>
      <w:textAlignment w:val="baseline"/>
    </w:pPr>
    <w:rPr>
      <w:rFonts w:ascii="Arial" w:hAnsi="Arial"/>
      <w:kern w:val="0"/>
      <w:sz w:val="24"/>
    </w:rPr>
  </w:style>
  <w:style w:type="character" w:customStyle="1" w:styleId="44">
    <w:name w:val="纯文本 Char"/>
    <w:qFormat/>
    <w:uiPriority w:val="0"/>
    <w:rPr>
      <w:rFonts w:ascii="宋体" w:hAnsi="Courier New"/>
      <w:kern w:val="2"/>
      <w:sz w:val="21"/>
    </w:rPr>
  </w:style>
  <w:style w:type="character" w:customStyle="1" w:styleId="45">
    <w:name w:val="正文文本 2 Char1"/>
    <w:link w:val="24"/>
    <w:qFormat/>
    <w:uiPriority w:val="0"/>
    <w:rPr>
      <w:rFonts w:eastAsia="楷体_GB2312"/>
      <w:sz w:val="28"/>
    </w:rPr>
  </w:style>
  <w:style w:type="character" w:customStyle="1" w:styleId="46">
    <w:name w:val="自定义正文 Char"/>
    <w:link w:val="47"/>
    <w:qFormat/>
    <w:locked/>
    <w:uiPriority w:val="0"/>
    <w:rPr>
      <w:rFonts w:ascii="宋体" w:hAnsi="宋体"/>
      <w:sz w:val="28"/>
      <w:szCs w:val="21"/>
    </w:rPr>
  </w:style>
  <w:style w:type="paragraph" w:customStyle="1" w:styleId="47">
    <w:name w:val="自定义正文"/>
    <w:basedOn w:val="7"/>
    <w:link w:val="46"/>
    <w:qFormat/>
    <w:uiPriority w:val="0"/>
    <w:pPr>
      <w:adjustRightInd w:val="0"/>
      <w:spacing w:line="360" w:lineRule="auto"/>
      <w:ind w:firstLine="200"/>
    </w:pPr>
    <w:rPr>
      <w:rFonts w:ascii="宋体" w:hAnsi="宋体"/>
      <w:kern w:val="0"/>
      <w:sz w:val="28"/>
      <w:szCs w:val="21"/>
    </w:rPr>
  </w:style>
  <w:style w:type="character" w:customStyle="1" w:styleId="48">
    <w:name w:val="要点1"/>
    <w:qFormat/>
    <w:uiPriority w:val="0"/>
    <w:rPr>
      <w:b/>
    </w:rPr>
  </w:style>
  <w:style w:type="character" w:customStyle="1" w:styleId="49">
    <w:name w:val="标题 3 字符"/>
    <w:qFormat/>
    <w:uiPriority w:val="0"/>
    <w:rPr>
      <w:rFonts w:ascii="Times New Roman" w:hAnsi="Times New Roman" w:eastAsia="楷体_GB2312" w:cs="Times New Roman"/>
      <w:sz w:val="28"/>
      <w:szCs w:val="20"/>
    </w:rPr>
  </w:style>
  <w:style w:type="character" w:customStyle="1" w:styleId="50">
    <w:name w:val="批注文字 字符"/>
    <w:semiHidden/>
    <w:qFormat/>
    <w:uiPriority w:val="0"/>
    <w:rPr>
      <w:rFonts w:ascii="Times New Roman" w:hAnsi="Times New Roman"/>
      <w:kern w:val="2"/>
      <w:sz w:val="21"/>
    </w:rPr>
  </w:style>
  <w:style w:type="character" w:customStyle="1" w:styleId="51">
    <w:name w:val="正文文本缩进 3 Char"/>
    <w:link w:val="22"/>
    <w:qFormat/>
    <w:uiPriority w:val="0"/>
    <w:rPr>
      <w:kern w:val="2"/>
      <w:sz w:val="16"/>
      <w:szCs w:val="16"/>
    </w:rPr>
  </w:style>
  <w:style w:type="character" w:customStyle="1" w:styleId="52">
    <w:name w:val="普通(网站) Char1"/>
    <w:link w:val="25"/>
    <w:qFormat/>
    <w:locked/>
    <w:uiPriority w:val="0"/>
    <w:rPr>
      <w:rFonts w:ascii="宋体" w:hAnsi="宋体" w:eastAsia="宋体"/>
      <w:sz w:val="24"/>
    </w:rPr>
  </w:style>
  <w:style w:type="character" w:customStyle="1" w:styleId="53">
    <w:name w:val="纯文本 Char1"/>
    <w:link w:val="15"/>
    <w:qFormat/>
    <w:uiPriority w:val="0"/>
    <w:rPr>
      <w:rFonts w:ascii="宋体" w:hAnsi="Courier New"/>
      <w:kern w:val="2"/>
      <w:sz w:val="21"/>
    </w:rPr>
  </w:style>
  <w:style w:type="character" w:customStyle="1" w:styleId="54">
    <w:name w:val="样式4 Char"/>
    <w:qFormat/>
    <w:locked/>
    <w:uiPriority w:val="0"/>
    <w:rPr>
      <w:rFonts w:ascii="黑体" w:hAnsi="宋体" w:eastAsia="黑体"/>
      <w:color w:val="FF00FF"/>
      <w:kern w:val="2"/>
      <w:sz w:val="28"/>
      <w:szCs w:val="28"/>
      <w:lang w:val="en-US" w:eastAsia="zh-CN" w:bidi="ar-SA"/>
    </w:rPr>
  </w:style>
  <w:style w:type="character" w:customStyle="1" w:styleId="55">
    <w:name w:val="已访问的超链接1"/>
    <w:qFormat/>
    <w:uiPriority w:val="0"/>
    <w:rPr>
      <w:color w:val="800080"/>
      <w:u w:val="single"/>
    </w:rPr>
  </w:style>
  <w:style w:type="character" w:customStyle="1" w:styleId="56">
    <w:name w:val="正文缩进 Char2"/>
    <w:link w:val="7"/>
    <w:qFormat/>
    <w:locked/>
    <w:uiPriority w:val="0"/>
    <w:rPr>
      <w:kern w:val="2"/>
      <w:sz w:val="21"/>
      <w:szCs w:val="24"/>
    </w:rPr>
  </w:style>
  <w:style w:type="character" w:customStyle="1" w:styleId="57">
    <w:name w:val="批注文字 字符1"/>
    <w:semiHidden/>
    <w:qFormat/>
    <w:uiPriority w:val="0"/>
    <w:rPr>
      <w:rFonts w:ascii="Times New Roman" w:hAnsi="Times New Roman" w:eastAsia="宋体" w:cs="Times New Roman"/>
      <w:sz w:val="24"/>
      <w:szCs w:val="24"/>
    </w:rPr>
  </w:style>
  <w:style w:type="character" w:customStyle="1" w:styleId="58">
    <w:name w:val="正文文本缩进 2 Char"/>
    <w:qFormat/>
    <w:uiPriority w:val="0"/>
    <w:rPr>
      <w:rFonts w:ascii="Times New Roman" w:hAnsi="Times New Roman" w:eastAsia="楷体_GB2312" w:cs="Times New Roman"/>
      <w:b/>
      <w:sz w:val="28"/>
      <w:szCs w:val="20"/>
    </w:rPr>
  </w:style>
  <w:style w:type="character" w:customStyle="1" w:styleId="59">
    <w:name w:val="Char Char5"/>
    <w:qFormat/>
    <w:uiPriority w:val="0"/>
    <w:rPr>
      <w:rFonts w:eastAsia="宋体"/>
      <w:kern w:val="2"/>
      <w:sz w:val="21"/>
      <w:lang w:val="en-US" w:eastAsia="zh-CN" w:bidi="ar-SA"/>
    </w:rPr>
  </w:style>
  <w:style w:type="character" w:customStyle="1" w:styleId="60">
    <w:name w:val="上标样式"/>
    <w:qFormat/>
    <w:uiPriority w:val="0"/>
    <w:rPr>
      <w:rFonts w:ascii="宋体" w:eastAsia="宋体"/>
      <w:b/>
      <w:sz w:val="21"/>
      <w:szCs w:val="21"/>
      <w:vertAlign w:val="superscript"/>
    </w:rPr>
  </w:style>
  <w:style w:type="character" w:customStyle="1" w:styleId="61">
    <w:name w:val="提头 Char"/>
    <w:link w:val="62"/>
    <w:qFormat/>
    <w:uiPriority w:val="0"/>
    <w:rPr>
      <w:b/>
      <w:kern w:val="2"/>
      <w:sz w:val="24"/>
      <w:szCs w:val="24"/>
    </w:rPr>
  </w:style>
  <w:style w:type="paragraph" w:customStyle="1" w:styleId="62">
    <w:name w:val="提头"/>
    <w:basedOn w:val="1"/>
    <w:next w:val="1"/>
    <w:link w:val="61"/>
    <w:qFormat/>
    <w:uiPriority w:val="0"/>
    <w:pPr>
      <w:tabs>
        <w:tab w:val="left" w:pos="227"/>
      </w:tabs>
      <w:spacing w:beforeLines="20" w:line="360" w:lineRule="auto"/>
      <w:jc w:val="center"/>
    </w:pPr>
    <w:rPr>
      <w:b/>
      <w:sz w:val="24"/>
    </w:rPr>
  </w:style>
  <w:style w:type="character" w:customStyle="1" w:styleId="63">
    <w:name w:val="题注 Char"/>
    <w:link w:val="8"/>
    <w:semiHidden/>
    <w:qFormat/>
    <w:locked/>
    <w:uiPriority w:val="0"/>
    <w:rPr>
      <w:rFonts w:ascii="黑体" w:hAnsi="Arial" w:eastAsia="黑体" w:cs="Arial"/>
      <w:b/>
      <w:kern w:val="2"/>
      <w:sz w:val="24"/>
      <w:szCs w:val="24"/>
    </w:rPr>
  </w:style>
  <w:style w:type="character" w:customStyle="1" w:styleId="64">
    <w:name w:val="正文内容 Char Char"/>
    <w:link w:val="65"/>
    <w:qFormat/>
    <w:uiPriority w:val="0"/>
    <w:rPr>
      <w:rFonts w:ascii="宋体" w:hAnsi="宋体"/>
      <w:kern w:val="2"/>
      <w:sz w:val="24"/>
    </w:rPr>
  </w:style>
  <w:style w:type="paragraph" w:customStyle="1" w:styleId="65">
    <w:name w:val="正文内容"/>
    <w:basedOn w:val="1"/>
    <w:link w:val="64"/>
    <w:qFormat/>
    <w:uiPriority w:val="0"/>
    <w:pPr>
      <w:spacing w:line="360" w:lineRule="auto"/>
      <w:ind w:firstLine="200" w:firstLineChars="200"/>
      <w:jc w:val="left"/>
    </w:pPr>
    <w:rPr>
      <w:rFonts w:ascii="宋体" w:hAnsi="宋体"/>
      <w:sz w:val="24"/>
      <w:szCs w:val="20"/>
    </w:rPr>
  </w:style>
  <w:style w:type="character" w:customStyle="1" w:styleId="66">
    <w:name w:val="表格 Char"/>
    <w:link w:val="67"/>
    <w:qFormat/>
    <w:locked/>
    <w:uiPriority w:val="0"/>
    <w:rPr>
      <w:rFonts w:ascii="宋体"/>
      <w:sz w:val="21"/>
    </w:rPr>
  </w:style>
  <w:style w:type="paragraph" w:customStyle="1" w:styleId="67">
    <w:name w:val="表格"/>
    <w:basedOn w:val="1"/>
    <w:next w:val="1"/>
    <w:link w:val="66"/>
    <w:qFormat/>
    <w:uiPriority w:val="0"/>
    <w:pPr>
      <w:adjustRightInd w:val="0"/>
      <w:snapToGrid w:val="0"/>
      <w:spacing w:beforeLines="10" w:afterLines="10" w:line="259" w:lineRule="auto"/>
      <w:jc w:val="center"/>
    </w:pPr>
    <w:rPr>
      <w:rFonts w:ascii="宋体"/>
      <w:kern w:val="0"/>
      <w:sz w:val="20"/>
      <w:szCs w:val="21"/>
    </w:rPr>
  </w:style>
  <w:style w:type="character" w:customStyle="1" w:styleId="68">
    <w:name w:val="普通(网站) 字符1"/>
    <w:qFormat/>
    <w:locked/>
    <w:uiPriority w:val="0"/>
    <w:rPr>
      <w:rFonts w:ascii="宋体" w:hAnsi="宋体" w:eastAsia="宋体"/>
      <w:sz w:val="24"/>
    </w:rPr>
  </w:style>
  <w:style w:type="character" w:customStyle="1" w:styleId="69">
    <w:name w:val="fontstyle01"/>
    <w:qFormat/>
    <w:uiPriority w:val="0"/>
    <w:rPr>
      <w:rFonts w:hint="eastAsia" w:ascii="宋体" w:hAnsi="宋体" w:eastAsia="宋体"/>
      <w:color w:val="000000"/>
      <w:sz w:val="24"/>
      <w:szCs w:val="24"/>
    </w:rPr>
  </w:style>
  <w:style w:type="character" w:customStyle="1" w:styleId="70">
    <w:name w:val="样式 正文 首行缩进:  2 字符 SL CON + 首行缩进:  2 字符 Char Char"/>
    <w:link w:val="71"/>
    <w:qFormat/>
    <w:locked/>
    <w:uiPriority w:val="0"/>
    <w:rPr>
      <w:rFonts w:ascii="宋体" w:hAnsi="宋体" w:cs="宋体"/>
      <w:sz w:val="28"/>
    </w:rPr>
  </w:style>
  <w:style w:type="paragraph" w:customStyle="1" w:styleId="71">
    <w:name w:val="样式 正文 首行缩进:  2 字符 SL CON + 首行缩进:  2 字符"/>
    <w:basedOn w:val="1"/>
    <w:link w:val="70"/>
    <w:qFormat/>
    <w:uiPriority w:val="0"/>
    <w:pPr>
      <w:widowControl/>
      <w:tabs>
        <w:tab w:val="left" w:pos="377"/>
      </w:tabs>
      <w:spacing w:line="360" w:lineRule="auto"/>
      <w:ind w:firstLine="200" w:firstLineChars="200"/>
    </w:pPr>
    <w:rPr>
      <w:rFonts w:ascii="宋体" w:hAnsi="宋体" w:cs="宋体"/>
      <w:kern w:val="0"/>
      <w:sz w:val="28"/>
      <w:szCs w:val="20"/>
    </w:rPr>
  </w:style>
  <w:style w:type="character" w:customStyle="1" w:styleId="72">
    <w:name w:val="标题 1 Char1"/>
    <w:link w:val="2"/>
    <w:qFormat/>
    <w:uiPriority w:val="0"/>
    <w:rPr>
      <w:rFonts w:eastAsia="黑体"/>
      <w:b/>
      <w:bCs/>
      <w:color w:val="000000"/>
      <w:kern w:val="44"/>
      <w:sz w:val="30"/>
      <w:szCs w:val="30"/>
    </w:rPr>
  </w:style>
  <w:style w:type="character" w:customStyle="1" w:styleId="73">
    <w:name w:val="页脚 Char"/>
    <w:link w:val="19"/>
    <w:qFormat/>
    <w:locked/>
    <w:uiPriority w:val="99"/>
    <w:rPr>
      <w:rFonts w:cs="Times New Roman"/>
      <w:sz w:val="18"/>
      <w:szCs w:val="18"/>
    </w:rPr>
  </w:style>
  <w:style w:type="character" w:customStyle="1" w:styleId="74">
    <w:name w:val="标题 6 Char"/>
    <w:link w:val="6"/>
    <w:semiHidden/>
    <w:qFormat/>
    <w:uiPriority w:val="0"/>
    <w:rPr>
      <w:rFonts w:ascii="Cambria" w:hAnsi="Cambria"/>
      <w:b/>
      <w:bCs/>
      <w:sz w:val="24"/>
      <w:szCs w:val="24"/>
    </w:rPr>
  </w:style>
  <w:style w:type="character" w:customStyle="1" w:styleId="75">
    <w:name w:val="search_content1"/>
    <w:qFormat/>
    <w:uiPriority w:val="0"/>
    <w:rPr>
      <w:sz w:val="20"/>
      <w:szCs w:val="20"/>
    </w:rPr>
  </w:style>
  <w:style w:type="character" w:customStyle="1" w:styleId="76">
    <w:name w:val="标题 Char1"/>
    <w:link w:val="27"/>
    <w:qFormat/>
    <w:uiPriority w:val="0"/>
    <w:rPr>
      <w:rFonts w:ascii="Cambria" w:hAnsi="Cambria"/>
      <w:b/>
      <w:bCs/>
      <w:color w:val="000000"/>
      <w:kern w:val="2"/>
      <w:sz w:val="32"/>
      <w:szCs w:val="32"/>
    </w:rPr>
  </w:style>
  <w:style w:type="character" w:customStyle="1" w:styleId="77">
    <w:name w:val="标题 3 Char"/>
    <w:link w:val="4"/>
    <w:qFormat/>
    <w:uiPriority w:val="0"/>
    <w:rPr>
      <w:b/>
      <w:bCs/>
      <w:kern w:val="2"/>
      <w:sz w:val="32"/>
      <w:szCs w:val="32"/>
    </w:rPr>
  </w:style>
  <w:style w:type="character" w:customStyle="1" w:styleId="78">
    <w:name w:val="title"/>
    <w:qFormat/>
    <w:uiPriority w:val="0"/>
  </w:style>
  <w:style w:type="character" w:customStyle="1" w:styleId="79">
    <w:name w:val="ae正文zzzzzzzz Char"/>
    <w:link w:val="80"/>
    <w:qFormat/>
    <w:locked/>
    <w:uiPriority w:val="0"/>
    <w:rPr>
      <w:rFonts w:ascii="宋体" w:hAnsi="宋体" w:cs="宋体"/>
      <w:kern w:val="2"/>
      <w:sz w:val="24"/>
      <w:szCs w:val="24"/>
    </w:rPr>
  </w:style>
  <w:style w:type="paragraph" w:customStyle="1" w:styleId="80">
    <w:name w:val="ae正文zzzzzzzz"/>
    <w:basedOn w:val="1"/>
    <w:link w:val="79"/>
    <w:qFormat/>
    <w:uiPriority w:val="0"/>
    <w:pPr>
      <w:spacing w:line="520" w:lineRule="exact"/>
      <w:ind w:firstLine="200" w:firstLineChars="200"/>
    </w:pPr>
    <w:rPr>
      <w:rFonts w:ascii="宋体" w:hAnsi="宋体" w:cs="宋体"/>
      <w:sz w:val="24"/>
    </w:rPr>
  </w:style>
  <w:style w:type="character" w:customStyle="1" w:styleId="81">
    <w:name w:val="批注主题 Char"/>
    <w:link w:val="28"/>
    <w:semiHidden/>
    <w:qFormat/>
    <w:locked/>
    <w:uiPriority w:val="0"/>
    <w:rPr>
      <w:rFonts w:ascii="Times New Roman" w:hAnsi="Times New Roman" w:eastAsia="宋体" w:cs="Times New Roman"/>
      <w:b/>
      <w:bCs/>
      <w:kern w:val="2"/>
      <w:sz w:val="24"/>
      <w:szCs w:val="24"/>
    </w:rPr>
  </w:style>
  <w:style w:type="character" w:customStyle="1" w:styleId="82">
    <w:name w:val="font11"/>
    <w:qFormat/>
    <w:uiPriority w:val="0"/>
    <w:rPr>
      <w:rFonts w:hint="eastAsia" w:ascii="宋体" w:hAnsi="宋体" w:eastAsia="宋体"/>
      <w:color w:val="000000"/>
      <w:sz w:val="22"/>
      <w:szCs w:val="22"/>
      <w:u w:val="none"/>
    </w:rPr>
  </w:style>
  <w:style w:type="character" w:customStyle="1" w:styleId="83">
    <w:name w:val="hei141"/>
    <w:qFormat/>
    <w:uiPriority w:val="0"/>
    <w:rPr>
      <w:color w:val="000000"/>
      <w:sz w:val="21"/>
      <w:szCs w:val="21"/>
    </w:rPr>
  </w:style>
  <w:style w:type="character" w:customStyle="1" w:styleId="84">
    <w:name w:val="pv110title"/>
    <w:qFormat/>
    <w:uiPriority w:val="0"/>
  </w:style>
  <w:style w:type="character" w:customStyle="1" w:styleId="85">
    <w:name w:val="正文首行缩进 Char"/>
    <w:qFormat/>
    <w:uiPriority w:val="99"/>
    <w:rPr>
      <w:rFonts w:ascii="Times New Roman" w:hAnsi="Times New Roman" w:eastAsia="宋体" w:cs="Times New Roman"/>
      <w:kern w:val="2"/>
      <w:sz w:val="21"/>
      <w:szCs w:val="24"/>
    </w:rPr>
  </w:style>
  <w:style w:type="character" w:customStyle="1" w:styleId="86">
    <w:name w:val="样式1 Char Char"/>
    <w:link w:val="87"/>
    <w:qFormat/>
    <w:uiPriority w:val="0"/>
    <w:rPr>
      <w:sz w:val="24"/>
    </w:rPr>
  </w:style>
  <w:style w:type="paragraph" w:customStyle="1" w:styleId="87">
    <w:name w:val="样式1"/>
    <w:basedOn w:val="2"/>
    <w:next w:val="13"/>
    <w:link w:val="86"/>
    <w:qFormat/>
    <w:uiPriority w:val="0"/>
    <w:pPr>
      <w:overflowPunct/>
      <w:snapToGrid/>
      <w:spacing w:before="0" w:after="0" w:line="240" w:lineRule="auto"/>
      <w:ind w:left="0" w:firstLine="200" w:firstLineChars="200"/>
      <w:jc w:val="left"/>
      <w:outlineLvl w:val="9"/>
    </w:pPr>
    <w:rPr>
      <w:rFonts w:eastAsia="宋体"/>
      <w:b w:val="0"/>
      <w:bCs w:val="0"/>
      <w:color w:val="auto"/>
      <w:kern w:val="0"/>
      <w:sz w:val="24"/>
      <w:szCs w:val="20"/>
    </w:rPr>
  </w:style>
  <w:style w:type="character" w:customStyle="1" w:styleId="88">
    <w:name w:val="正文文本 2 Char"/>
    <w:qFormat/>
    <w:uiPriority w:val="0"/>
    <w:rPr>
      <w:rFonts w:ascii="Times New Roman" w:hAnsi="Times New Roman" w:eastAsia="楷体_GB2312" w:cs="Times New Roman"/>
      <w:sz w:val="28"/>
      <w:szCs w:val="20"/>
    </w:rPr>
  </w:style>
  <w:style w:type="character" w:customStyle="1" w:styleId="89">
    <w:name w:val="样式5 Char1"/>
    <w:qFormat/>
    <w:locked/>
    <w:uiPriority w:val="0"/>
    <w:rPr>
      <w:rFonts w:ascii="宋体" w:hAnsi="宋体" w:eastAsia="宋体" w:cs="宋体"/>
      <w:bCs/>
      <w:color w:val="FF0000"/>
      <w:kern w:val="2"/>
      <w:sz w:val="24"/>
      <w:szCs w:val="24"/>
      <w:lang w:val="en-US" w:eastAsia="zh-CN" w:bidi="ar-SA"/>
    </w:rPr>
  </w:style>
  <w:style w:type="character" w:customStyle="1" w:styleId="90">
    <w:name w:val="正文01 Char1"/>
    <w:link w:val="91"/>
    <w:qFormat/>
    <w:locked/>
    <w:uiPriority w:val="0"/>
    <w:rPr>
      <w:bCs/>
      <w:sz w:val="24"/>
      <w:szCs w:val="24"/>
    </w:rPr>
  </w:style>
  <w:style w:type="paragraph" w:customStyle="1" w:styleId="91">
    <w:name w:val="正文01"/>
    <w:basedOn w:val="3"/>
    <w:link w:val="90"/>
    <w:qFormat/>
    <w:uiPriority w:val="0"/>
    <w:pPr>
      <w:keepNext w:val="0"/>
      <w:tabs>
        <w:tab w:val="left" w:pos="576"/>
      </w:tabs>
      <w:spacing w:beforeLines="50" w:line="460" w:lineRule="exact"/>
      <w:ind w:firstLine="200" w:firstLineChars="200"/>
      <w:outlineLvl w:val="9"/>
    </w:pPr>
    <w:rPr>
      <w:bCs/>
      <w:sz w:val="24"/>
      <w:szCs w:val="24"/>
    </w:rPr>
  </w:style>
  <w:style w:type="character" w:customStyle="1" w:styleId="92">
    <w:name w:val="正文文本 字符1"/>
    <w:semiHidden/>
    <w:qFormat/>
    <w:uiPriority w:val="0"/>
    <w:rPr>
      <w:rFonts w:ascii="Times New Roman" w:hAnsi="Times New Roman" w:eastAsia="宋体" w:cs="Times New Roman"/>
      <w:sz w:val="24"/>
      <w:szCs w:val="24"/>
    </w:rPr>
  </w:style>
  <w:style w:type="character" w:customStyle="1" w:styleId="93">
    <w:name w:val="正文文本 Char"/>
    <w:link w:val="11"/>
    <w:qFormat/>
    <w:locked/>
    <w:uiPriority w:val="0"/>
    <w:rPr>
      <w:sz w:val="18"/>
    </w:rPr>
  </w:style>
  <w:style w:type="character" w:customStyle="1" w:styleId="94">
    <w:name w:val="1  表头-苏4 Char"/>
    <w:link w:val="95"/>
    <w:qFormat/>
    <w:uiPriority w:val="0"/>
    <w:rPr>
      <w:b/>
      <w:bCs/>
      <w:kern w:val="32"/>
      <w:sz w:val="24"/>
      <w:szCs w:val="28"/>
    </w:rPr>
  </w:style>
  <w:style w:type="paragraph" w:customStyle="1" w:styleId="95">
    <w:name w:val="1  表头-苏4"/>
    <w:basedOn w:val="1"/>
    <w:next w:val="1"/>
    <w:link w:val="94"/>
    <w:qFormat/>
    <w:uiPriority w:val="0"/>
    <w:pPr>
      <w:widowControl/>
      <w:snapToGrid w:val="0"/>
      <w:ind w:firstLine="482"/>
      <w:jc w:val="center"/>
    </w:pPr>
    <w:rPr>
      <w:b/>
      <w:bCs/>
      <w:kern w:val="32"/>
      <w:sz w:val="24"/>
      <w:szCs w:val="28"/>
    </w:rPr>
  </w:style>
  <w:style w:type="character" w:customStyle="1" w:styleId="96">
    <w:name w:val="正文首行缩进 Char1"/>
    <w:link w:val="29"/>
    <w:qFormat/>
    <w:uiPriority w:val="99"/>
    <w:rPr>
      <w:kern w:val="2"/>
      <w:sz w:val="21"/>
    </w:rPr>
  </w:style>
  <w:style w:type="character" w:customStyle="1" w:styleId="97">
    <w:name w:val="样式4 Char1"/>
    <w:link w:val="98"/>
    <w:qFormat/>
    <w:uiPriority w:val="0"/>
    <w:rPr>
      <w:rFonts w:ascii="Arial" w:hAnsi="Arial"/>
      <w:kern w:val="2"/>
      <w:sz w:val="24"/>
    </w:rPr>
  </w:style>
  <w:style w:type="paragraph" w:customStyle="1" w:styleId="98">
    <w:name w:val="样式4"/>
    <w:basedOn w:val="7"/>
    <w:link w:val="97"/>
    <w:qFormat/>
    <w:uiPriority w:val="0"/>
    <w:pPr>
      <w:snapToGrid w:val="0"/>
      <w:spacing w:line="460" w:lineRule="exact"/>
      <w:ind w:firstLine="0" w:firstLineChars="0"/>
    </w:pPr>
    <w:rPr>
      <w:rFonts w:ascii="Arial" w:hAnsi="Arial"/>
      <w:sz w:val="24"/>
      <w:szCs w:val="20"/>
    </w:rPr>
  </w:style>
  <w:style w:type="character" w:customStyle="1" w:styleId="99">
    <w:name w:val="**图题格式 Char Char"/>
    <w:link w:val="100"/>
    <w:qFormat/>
    <w:uiPriority w:val="0"/>
    <w:rPr>
      <w:rFonts w:eastAsia="仿宋_GB2312"/>
      <w:b/>
      <w:kern w:val="2"/>
      <w:sz w:val="24"/>
      <w:szCs w:val="24"/>
    </w:rPr>
  </w:style>
  <w:style w:type="paragraph" w:customStyle="1" w:styleId="100">
    <w:name w:val="**图题格式"/>
    <w:basedOn w:val="1"/>
    <w:link w:val="99"/>
    <w:qFormat/>
    <w:uiPriority w:val="0"/>
    <w:pPr>
      <w:jc w:val="center"/>
    </w:pPr>
    <w:rPr>
      <w:rFonts w:eastAsia="仿宋_GB2312"/>
      <w:b/>
      <w:sz w:val="24"/>
    </w:rPr>
  </w:style>
  <w:style w:type="character" w:customStyle="1" w:styleId="101">
    <w:name w:val="SSEC正文 20150323 Char"/>
    <w:link w:val="102"/>
    <w:qFormat/>
    <w:locked/>
    <w:uiPriority w:val="0"/>
    <w:rPr>
      <w:rFonts w:ascii="宋体" w:hAnsi="宋体"/>
      <w:kern w:val="2"/>
      <w:sz w:val="24"/>
      <w:szCs w:val="24"/>
    </w:rPr>
  </w:style>
  <w:style w:type="paragraph" w:customStyle="1" w:styleId="102">
    <w:name w:val="SSEC正文 20150323"/>
    <w:link w:val="101"/>
    <w:qFormat/>
    <w:uiPriority w:val="0"/>
    <w:pPr>
      <w:adjustRightInd w:val="0"/>
      <w:snapToGrid w:val="0"/>
      <w:spacing w:line="328" w:lineRule="auto"/>
      <w:ind w:firstLine="200" w:firstLineChars="200"/>
      <w:jc w:val="both"/>
    </w:pPr>
    <w:rPr>
      <w:rFonts w:ascii="宋体" w:hAnsi="宋体" w:eastAsia="宋体" w:cs="Times New Roman"/>
      <w:kern w:val="2"/>
      <w:sz w:val="24"/>
      <w:szCs w:val="24"/>
      <w:lang w:val="en-US" w:eastAsia="zh-CN" w:bidi="ar-SA"/>
    </w:rPr>
  </w:style>
  <w:style w:type="character" w:customStyle="1" w:styleId="103">
    <w:name w:val="info3"/>
    <w:qFormat/>
    <w:uiPriority w:val="0"/>
  </w:style>
  <w:style w:type="character" w:customStyle="1" w:styleId="104">
    <w:name w:val="SSEC 正文 字符"/>
    <w:link w:val="105"/>
    <w:qFormat/>
    <w:locked/>
    <w:uiPriority w:val="0"/>
    <w:rPr>
      <w:rFonts w:ascii="宋体" w:hAnsi="宋体"/>
      <w:kern w:val="2"/>
      <w:sz w:val="24"/>
      <w:szCs w:val="24"/>
    </w:rPr>
  </w:style>
  <w:style w:type="paragraph" w:customStyle="1" w:styleId="105">
    <w:name w:val="SSEC 正文"/>
    <w:link w:val="104"/>
    <w:qFormat/>
    <w:uiPriority w:val="0"/>
    <w:pPr>
      <w:widowControl w:val="0"/>
      <w:adjustRightInd w:val="0"/>
      <w:snapToGrid w:val="0"/>
      <w:spacing w:line="328" w:lineRule="auto"/>
      <w:ind w:firstLine="200" w:firstLineChars="200"/>
      <w:jc w:val="both"/>
    </w:pPr>
    <w:rPr>
      <w:rFonts w:ascii="宋体" w:hAnsi="宋体" w:eastAsia="宋体" w:cs="Times New Roman"/>
      <w:kern w:val="2"/>
      <w:sz w:val="24"/>
      <w:szCs w:val="24"/>
      <w:lang w:val="en-US" w:eastAsia="zh-CN" w:bidi="ar-SA"/>
    </w:rPr>
  </w:style>
  <w:style w:type="character" w:customStyle="1" w:styleId="106">
    <w:name w:val="apple-converted-space"/>
    <w:qFormat/>
    <w:uiPriority w:val="0"/>
  </w:style>
  <w:style w:type="character" w:customStyle="1" w:styleId="107">
    <w:name w:val="批注主题 字符"/>
    <w:semiHidden/>
    <w:qFormat/>
    <w:uiPriority w:val="0"/>
    <w:rPr>
      <w:rFonts w:ascii="Times New Roman" w:hAnsi="Times New Roman"/>
      <w:b/>
      <w:bCs/>
      <w:kern w:val="2"/>
      <w:sz w:val="21"/>
    </w:rPr>
  </w:style>
  <w:style w:type="character" w:customStyle="1" w:styleId="108">
    <w:name w:val="页眉 Char"/>
    <w:link w:val="20"/>
    <w:qFormat/>
    <w:locked/>
    <w:uiPriority w:val="99"/>
    <w:rPr>
      <w:rFonts w:cs="Times New Roman"/>
      <w:sz w:val="18"/>
      <w:szCs w:val="18"/>
    </w:rPr>
  </w:style>
  <w:style w:type="character" w:customStyle="1" w:styleId="109">
    <w:name w:val="样式5 Char"/>
    <w:link w:val="110"/>
    <w:qFormat/>
    <w:uiPriority w:val="0"/>
    <w:rPr>
      <w:kern w:val="2"/>
      <w:sz w:val="24"/>
      <w:szCs w:val="24"/>
    </w:rPr>
  </w:style>
  <w:style w:type="paragraph" w:customStyle="1" w:styleId="110">
    <w:name w:val="样式5"/>
    <w:basedOn w:val="1"/>
    <w:link w:val="109"/>
    <w:qFormat/>
    <w:uiPriority w:val="0"/>
    <w:pPr>
      <w:snapToGrid w:val="0"/>
      <w:spacing w:line="360" w:lineRule="auto"/>
      <w:ind w:firstLine="510"/>
    </w:pPr>
    <w:rPr>
      <w:sz w:val="24"/>
    </w:rPr>
  </w:style>
  <w:style w:type="character" w:customStyle="1" w:styleId="111">
    <w:name w:val="标题 4 Char"/>
    <w:link w:val="5"/>
    <w:qFormat/>
    <w:uiPriority w:val="0"/>
    <w:rPr>
      <w:rFonts w:ascii="Arial" w:hAnsi="Arial" w:eastAsia="黑体" w:cs="宋体"/>
      <w:b/>
      <w:bCs/>
      <w:sz w:val="28"/>
      <w:szCs w:val="28"/>
    </w:rPr>
  </w:style>
  <w:style w:type="character" w:customStyle="1" w:styleId="112">
    <w:name w:val="日期 字符"/>
    <w:qFormat/>
    <w:uiPriority w:val="0"/>
    <w:rPr>
      <w:rFonts w:ascii="Times New Roman" w:hAnsi="Times New Roman" w:eastAsia="宋体" w:cs="Times New Roman"/>
      <w:sz w:val="24"/>
      <w:szCs w:val="24"/>
    </w:rPr>
  </w:style>
  <w:style w:type="character" w:customStyle="1" w:styleId="113">
    <w:name w:val="标题 2 Char"/>
    <w:qFormat/>
    <w:uiPriority w:val="0"/>
    <w:rPr>
      <w:rFonts w:ascii="Times New Roman" w:hAnsi="Times New Roman" w:eastAsia="宋体" w:cs="Times New Roman"/>
      <w:sz w:val="25"/>
      <w:szCs w:val="20"/>
    </w:rPr>
  </w:style>
  <w:style w:type="character" w:customStyle="1" w:styleId="114">
    <w:name w:val="文档结构图 Char1"/>
    <w:link w:val="9"/>
    <w:qFormat/>
    <w:uiPriority w:val="0"/>
    <w:rPr>
      <w:shd w:val="clear" w:color="auto" w:fill="000080"/>
    </w:rPr>
  </w:style>
  <w:style w:type="character" w:customStyle="1" w:styleId="115">
    <w:name w:val="apple-style-span"/>
    <w:qFormat/>
    <w:uiPriority w:val="0"/>
  </w:style>
  <w:style w:type="character" w:customStyle="1" w:styleId="116">
    <w:name w:val="**表格文字 Char"/>
    <w:link w:val="117"/>
    <w:qFormat/>
    <w:uiPriority w:val="0"/>
    <w:rPr>
      <w:rFonts w:eastAsia="仿宋_GB2312"/>
      <w:kern w:val="2"/>
      <w:sz w:val="24"/>
      <w:szCs w:val="24"/>
    </w:rPr>
  </w:style>
  <w:style w:type="paragraph" w:customStyle="1" w:styleId="117">
    <w:name w:val="**表格文字"/>
    <w:basedOn w:val="1"/>
    <w:link w:val="116"/>
    <w:qFormat/>
    <w:uiPriority w:val="0"/>
    <w:pPr>
      <w:adjustRightInd w:val="0"/>
      <w:spacing w:line="160" w:lineRule="atLeast"/>
      <w:jc w:val="center"/>
      <w:outlineLvl w:val="8"/>
    </w:pPr>
    <w:rPr>
      <w:rFonts w:eastAsia="仿宋_GB2312"/>
      <w:sz w:val="24"/>
    </w:rPr>
  </w:style>
  <w:style w:type="character" w:customStyle="1" w:styleId="118">
    <w:name w:val="日期 Char"/>
    <w:link w:val="16"/>
    <w:qFormat/>
    <w:locked/>
    <w:uiPriority w:val="0"/>
    <w:rPr>
      <w:rFonts w:ascii="Times New Roman" w:hAnsi="Times New Roman" w:eastAsia="宋体"/>
      <w:sz w:val="24"/>
    </w:rPr>
  </w:style>
  <w:style w:type="character" w:customStyle="1" w:styleId="119">
    <w:name w:val="样式2 Char"/>
    <w:link w:val="120"/>
    <w:qFormat/>
    <w:uiPriority w:val="0"/>
    <w:rPr>
      <w:rFonts w:ascii="Arial" w:hAnsi="Arial"/>
      <w:kern w:val="2"/>
      <w:sz w:val="24"/>
      <w:szCs w:val="24"/>
    </w:rPr>
  </w:style>
  <w:style w:type="paragraph" w:customStyle="1" w:styleId="120">
    <w:name w:val="样式2"/>
    <w:basedOn w:val="1"/>
    <w:link w:val="119"/>
    <w:qFormat/>
    <w:uiPriority w:val="0"/>
    <w:pPr>
      <w:spacing w:line="440" w:lineRule="exact"/>
      <w:ind w:firstLine="454"/>
    </w:pPr>
    <w:rPr>
      <w:rFonts w:ascii="Arial" w:hAnsi="Arial"/>
      <w:sz w:val="24"/>
    </w:rPr>
  </w:style>
  <w:style w:type="character" w:customStyle="1" w:styleId="121">
    <w:name w:val="标题 2 Char1"/>
    <w:link w:val="3"/>
    <w:qFormat/>
    <w:uiPriority w:val="0"/>
    <w:rPr>
      <w:sz w:val="25"/>
    </w:rPr>
  </w:style>
  <w:style w:type="character" w:customStyle="1" w:styleId="122">
    <w:name w:val="2 表头 Char"/>
    <w:link w:val="123"/>
    <w:qFormat/>
    <w:uiPriority w:val="0"/>
    <w:rPr>
      <w:b/>
      <w:color w:val="000000"/>
      <w:kern w:val="2"/>
      <w:sz w:val="24"/>
      <w:szCs w:val="22"/>
    </w:rPr>
  </w:style>
  <w:style w:type="paragraph" w:customStyle="1" w:styleId="123">
    <w:name w:val="2 表头"/>
    <w:basedOn w:val="1"/>
    <w:link w:val="122"/>
    <w:qFormat/>
    <w:uiPriority w:val="0"/>
    <w:pPr>
      <w:widowControl/>
      <w:spacing w:beforeLines="50" w:line="360" w:lineRule="auto"/>
      <w:jc w:val="center"/>
    </w:pPr>
    <w:rPr>
      <w:b/>
      <w:color w:val="000000"/>
      <w:sz w:val="24"/>
      <w:szCs w:val="22"/>
    </w:rPr>
  </w:style>
  <w:style w:type="character" w:customStyle="1" w:styleId="124">
    <w:name w:val="1 表格样式 Char"/>
    <w:link w:val="125"/>
    <w:qFormat/>
    <w:uiPriority w:val="0"/>
    <w:rPr>
      <w:color w:val="000000"/>
      <w:kern w:val="2"/>
      <w:sz w:val="24"/>
      <w:szCs w:val="22"/>
    </w:rPr>
  </w:style>
  <w:style w:type="paragraph" w:customStyle="1" w:styleId="125">
    <w:name w:val="1 表格样式"/>
    <w:basedOn w:val="1"/>
    <w:link w:val="124"/>
    <w:qFormat/>
    <w:uiPriority w:val="0"/>
    <w:pPr>
      <w:widowControl/>
      <w:spacing w:beforeLines="50"/>
      <w:jc w:val="center"/>
    </w:pPr>
    <w:rPr>
      <w:color w:val="000000"/>
      <w:sz w:val="24"/>
      <w:szCs w:val="22"/>
    </w:rPr>
  </w:style>
  <w:style w:type="character" w:customStyle="1" w:styleId="126">
    <w:name w:val="链接"/>
    <w:qFormat/>
    <w:uiPriority w:val="0"/>
    <w:rPr>
      <w:color w:val="0000FF"/>
      <w:u w:val="single" w:color="0000FF"/>
    </w:rPr>
  </w:style>
  <w:style w:type="character" w:customStyle="1" w:styleId="127">
    <w:name w:val="样式 报告正文 + 首行缩进:  2 字符 Char Char"/>
    <w:link w:val="128"/>
    <w:qFormat/>
    <w:uiPriority w:val="0"/>
    <w:rPr>
      <w:rFonts w:cs="宋体"/>
      <w:snapToGrid/>
      <w:sz w:val="24"/>
    </w:rPr>
  </w:style>
  <w:style w:type="paragraph" w:customStyle="1" w:styleId="128">
    <w:name w:val="样式 报告正文 + 首行缩进:  2 字符"/>
    <w:basedOn w:val="1"/>
    <w:next w:val="1"/>
    <w:link w:val="127"/>
    <w:qFormat/>
    <w:uiPriority w:val="0"/>
    <w:pPr>
      <w:snapToGrid w:val="0"/>
      <w:spacing w:line="360" w:lineRule="auto"/>
      <w:ind w:firstLine="560" w:firstLineChars="200"/>
    </w:pPr>
    <w:rPr>
      <w:rFonts w:cs="宋体"/>
      <w:snapToGrid w:val="0"/>
      <w:kern w:val="0"/>
      <w:sz w:val="24"/>
      <w:szCs w:val="20"/>
    </w:rPr>
  </w:style>
  <w:style w:type="character" w:customStyle="1" w:styleId="129">
    <w:name w:val="正文缩进 Char"/>
    <w:qFormat/>
    <w:locked/>
    <w:uiPriority w:val="0"/>
    <w:rPr>
      <w:rFonts w:ascii="Times New Roman" w:hAnsi="Times New Roman"/>
      <w:kern w:val="2"/>
      <w:sz w:val="21"/>
      <w:szCs w:val="24"/>
    </w:rPr>
  </w:style>
  <w:style w:type="character" w:customStyle="1" w:styleId="130">
    <w:name w:val="页脚 字符"/>
    <w:qFormat/>
    <w:uiPriority w:val="99"/>
    <w:rPr>
      <w:sz w:val="18"/>
      <w:szCs w:val="18"/>
    </w:rPr>
  </w:style>
  <w:style w:type="character" w:customStyle="1" w:styleId="131">
    <w:name w:val="普通(网站) Char"/>
    <w:qFormat/>
    <w:locked/>
    <w:uiPriority w:val="0"/>
    <w:rPr>
      <w:rFonts w:ascii="宋体" w:hAnsi="宋体" w:eastAsia="宋体"/>
      <w:sz w:val="24"/>
    </w:rPr>
  </w:style>
  <w:style w:type="character" w:customStyle="1" w:styleId="132">
    <w:name w:val="a正文 Char"/>
    <w:link w:val="133"/>
    <w:qFormat/>
    <w:uiPriority w:val="0"/>
    <w:rPr>
      <w:snapToGrid/>
      <w:spacing w:val="5"/>
      <w:sz w:val="24"/>
      <w:szCs w:val="25"/>
    </w:rPr>
  </w:style>
  <w:style w:type="paragraph" w:customStyle="1" w:styleId="133">
    <w:name w:val="a正文"/>
    <w:link w:val="132"/>
    <w:qFormat/>
    <w:uiPriority w:val="0"/>
    <w:pPr>
      <w:spacing w:line="360" w:lineRule="auto"/>
      <w:ind w:firstLine="500" w:firstLineChars="200"/>
      <w:jc w:val="both"/>
    </w:pPr>
    <w:rPr>
      <w:rFonts w:ascii="Times New Roman" w:hAnsi="Times New Roman" w:eastAsia="宋体" w:cs="Times New Roman"/>
      <w:snapToGrid w:val="0"/>
      <w:spacing w:val="5"/>
      <w:sz w:val="24"/>
      <w:szCs w:val="25"/>
      <w:lang w:val="en-US" w:eastAsia="zh-CN" w:bidi="ar-SA"/>
    </w:rPr>
  </w:style>
  <w:style w:type="character" w:customStyle="1" w:styleId="134">
    <w:name w:val="正文文本 字符"/>
    <w:qFormat/>
    <w:uiPriority w:val="0"/>
    <w:rPr>
      <w:rFonts w:ascii="Times New Roman" w:hAnsi="Times New Roman" w:eastAsia="宋体" w:cs="Times New Roman"/>
      <w:szCs w:val="24"/>
    </w:rPr>
  </w:style>
  <w:style w:type="character" w:customStyle="1" w:styleId="135">
    <w:name w:val="表格正文居中 Char"/>
    <w:link w:val="136"/>
    <w:qFormat/>
    <w:uiPriority w:val="0"/>
    <w:rPr>
      <w:rFonts w:cs="Arial"/>
      <w:kern w:val="2"/>
      <w:sz w:val="24"/>
      <w:szCs w:val="24"/>
    </w:rPr>
  </w:style>
  <w:style w:type="paragraph" w:customStyle="1" w:styleId="136">
    <w:name w:val="表格正文居中"/>
    <w:basedOn w:val="1"/>
    <w:link w:val="135"/>
    <w:qFormat/>
    <w:uiPriority w:val="0"/>
    <w:pPr>
      <w:adjustRightInd w:val="0"/>
      <w:snapToGrid w:val="0"/>
      <w:spacing w:line="360" w:lineRule="auto"/>
      <w:ind w:firstLine="437" w:firstLineChars="182"/>
    </w:pPr>
    <w:rPr>
      <w:rFonts w:cs="Arial"/>
      <w:sz w:val="24"/>
    </w:rPr>
  </w:style>
  <w:style w:type="character" w:customStyle="1" w:styleId="137">
    <w:name w:val="标题 1 Char"/>
    <w:qFormat/>
    <w:uiPriority w:val="0"/>
    <w:rPr>
      <w:rFonts w:ascii="Times New Roman" w:hAnsi="Times New Roman" w:eastAsia="楷体_GB2312" w:cs="Times New Roman"/>
      <w:b/>
      <w:sz w:val="28"/>
      <w:szCs w:val="20"/>
    </w:rPr>
  </w:style>
  <w:style w:type="character" w:customStyle="1" w:styleId="138">
    <w:name w:val="样式 小四 加粗"/>
    <w:qFormat/>
    <w:uiPriority w:val="0"/>
    <w:rPr>
      <w:b/>
      <w:bCs/>
      <w:sz w:val="24"/>
    </w:rPr>
  </w:style>
  <w:style w:type="character" w:customStyle="1" w:styleId="139">
    <w:name w:val="批注文字 Char"/>
    <w:link w:val="10"/>
    <w:qFormat/>
    <w:locked/>
    <w:uiPriority w:val="0"/>
    <w:rPr>
      <w:rFonts w:ascii="Times New Roman" w:hAnsi="Times New Roman" w:eastAsia="宋体"/>
      <w:sz w:val="24"/>
    </w:rPr>
  </w:style>
  <w:style w:type="character" w:customStyle="1" w:styleId="140">
    <w:name w:val="文档结构图 Char"/>
    <w:qFormat/>
    <w:uiPriority w:val="0"/>
    <w:rPr>
      <w:rFonts w:ascii="Times New Roman" w:hAnsi="Times New Roman" w:eastAsia="宋体" w:cs="Times New Roman"/>
      <w:szCs w:val="20"/>
      <w:shd w:val="clear" w:color="auto" w:fill="000080"/>
    </w:rPr>
  </w:style>
  <w:style w:type="character" w:customStyle="1" w:styleId="141">
    <w:name w:val="批注框文本 Char"/>
    <w:link w:val="18"/>
    <w:semiHidden/>
    <w:qFormat/>
    <w:locked/>
    <w:uiPriority w:val="0"/>
    <w:rPr>
      <w:rFonts w:ascii="Times New Roman" w:hAnsi="Times New Roman" w:eastAsia="宋体" w:cs="Times New Roman"/>
      <w:sz w:val="18"/>
      <w:szCs w:val="18"/>
    </w:rPr>
  </w:style>
  <w:style w:type="character" w:customStyle="1" w:styleId="142">
    <w:name w:val="样式5 Char2"/>
    <w:qFormat/>
    <w:locked/>
    <w:uiPriority w:val="0"/>
    <w:rPr>
      <w:rFonts w:ascii="宋体" w:hAnsi="宋体" w:eastAsia="宋体"/>
      <w:kern w:val="2"/>
      <w:sz w:val="24"/>
      <w:szCs w:val="24"/>
      <w:lang w:val="en-US" w:eastAsia="zh-CN" w:bidi="ar-SA"/>
    </w:rPr>
  </w:style>
  <w:style w:type="character" w:customStyle="1" w:styleId="143">
    <w:name w:val="正文文本缩进 2 Char1"/>
    <w:link w:val="17"/>
    <w:qFormat/>
    <w:uiPriority w:val="0"/>
    <w:rPr>
      <w:kern w:val="2"/>
      <w:sz w:val="21"/>
      <w:szCs w:val="24"/>
    </w:rPr>
  </w:style>
  <w:style w:type="character" w:customStyle="1" w:styleId="144">
    <w:name w:val="正文1 Char"/>
    <w:link w:val="145"/>
    <w:qFormat/>
    <w:uiPriority w:val="0"/>
    <w:rPr>
      <w:rFonts w:ascii="Calibri" w:hAnsi="Calibri"/>
      <w:kern w:val="2"/>
      <w:sz w:val="24"/>
    </w:rPr>
  </w:style>
  <w:style w:type="paragraph" w:customStyle="1" w:styleId="145">
    <w:name w:val="正文1"/>
    <w:basedOn w:val="1"/>
    <w:link w:val="144"/>
    <w:qFormat/>
    <w:uiPriority w:val="0"/>
    <w:pPr>
      <w:adjustRightInd w:val="0"/>
      <w:snapToGrid w:val="0"/>
      <w:spacing w:line="480" w:lineRule="exact"/>
      <w:ind w:firstLine="200" w:firstLineChars="200"/>
    </w:pPr>
    <w:rPr>
      <w:rFonts w:ascii="Calibri" w:hAnsi="Calibri"/>
      <w:sz w:val="24"/>
      <w:szCs w:val="20"/>
    </w:rPr>
  </w:style>
  <w:style w:type="character" w:customStyle="1" w:styleId="146">
    <w:name w:val="超链接1"/>
    <w:qFormat/>
    <w:uiPriority w:val="0"/>
    <w:rPr>
      <w:color w:val="auto"/>
      <w:sz w:val="18"/>
      <w:u w:val="none"/>
    </w:rPr>
  </w:style>
  <w:style w:type="character" w:customStyle="1" w:styleId="147">
    <w:name w:val="正文缩进 Char1"/>
    <w:qFormat/>
    <w:uiPriority w:val="0"/>
    <w:rPr>
      <w:rFonts w:eastAsia="宋体"/>
      <w:kern w:val="2"/>
      <w:sz w:val="24"/>
      <w:lang w:val="en-US" w:eastAsia="zh-CN" w:bidi="ar-SA"/>
    </w:rPr>
  </w:style>
  <w:style w:type="character" w:customStyle="1" w:styleId="148">
    <w:name w:val="标题 Char"/>
    <w:qFormat/>
    <w:uiPriority w:val="0"/>
    <w:rPr>
      <w:rFonts w:ascii="Cambria" w:hAnsi="Cambria"/>
      <w:b/>
      <w:bCs/>
      <w:color w:val="000000"/>
      <w:kern w:val="2"/>
      <w:sz w:val="32"/>
      <w:szCs w:val="32"/>
    </w:rPr>
  </w:style>
  <w:style w:type="character" w:customStyle="1" w:styleId="149">
    <w:name w:val="页眉 字符"/>
    <w:semiHidden/>
    <w:qFormat/>
    <w:uiPriority w:val="99"/>
    <w:rPr>
      <w:sz w:val="18"/>
      <w:szCs w:val="18"/>
    </w:rPr>
  </w:style>
  <w:style w:type="character" w:customStyle="1" w:styleId="150">
    <w:name w:val="正文文本缩进 字符"/>
    <w:qFormat/>
    <w:uiPriority w:val="0"/>
    <w:rPr>
      <w:rFonts w:ascii="Times New Roman" w:hAnsi="Times New Roman" w:eastAsia="宋体" w:cs="Times New Roman"/>
      <w:kern w:val="0"/>
      <w:sz w:val="28"/>
      <w:szCs w:val="20"/>
    </w:rPr>
  </w:style>
  <w:style w:type="character" w:customStyle="1" w:styleId="151">
    <w:name w:val="标题1"/>
    <w:qFormat/>
    <w:uiPriority w:val="0"/>
  </w:style>
  <w:style w:type="character" w:customStyle="1" w:styleId="152">
    <w:name w:val="black1"/>
    <w:qFormat/>
    <w:uiPriority w:val="0"/>
    <w:rPr>
      <w:b/>
      <w:bCs/>
      <w:color w:val="000000"/>
      <w:sz w:val="36"/>
      <w:szCs w:val="36"/>
      <w:u w:val="none"/>
    </w:rPr>
  </w:style>
  <w:style w:type="character" w:customStyle="1" w:styleId="153">
    <w:name w:val="正文文本缩进 3 字符"/>
    <w:qFormat/>
    <w:uiPriority w:val="0"/>
    <w:rPr>
      <w:rFonts w:ascii="Times New Roman" w:hAnsi="Times New Roman" w:eastAsia="宋体" w:cs="Times New Roman"/>
      <w:sz w:val="30"/>
      <w:szCs w:val="20"/>
    </w:rPr>
  </w:style>
  <w:style w:type="character" w:customStyle="1" w:styleId="154">
    <w:name w:val="f241"/>
    <w:qFormat/>
    <w:uiPriority w:val="0"/>
    <w:rPr>
      <w:sz w:val="36"/>
      <w:szCs w:val="36"/>
    </w:rPr>
  </w:style>
  <w:style w:type="character" w:customStyle="1" w:styleId="155">
    <w:name w:val="普通(网站) 字符"/>
    <w:qFormat/>
    <w:locked/>
    <w:uiPriority w:val="0"/>
    <w:rPr>
      <w:rFonts w:ascii="Times New Roman" w:hAnsi="Times New Roman" w:cs="Times New Roman"/>
      <w:kern w:val="2"/>
      <w:sz w:val="24"/>
      <w:szCs w:val="24"/>
    </w:rPr>
  </w:style>
  <w:style w:type="character" w:customStyle="1" w:styleId="156">
    <w:name w:val="表格1 Char"/>
    <w:link w:val="157"/>
    <w:qFormat/>
    <w:uiPriority w:val="0"/>
    <w:rPr>
      <w:kern w:val="2"/>
      <w:sz w:val="21"/>
    </w:rPr>
  </w:style>
  <w:style w:type="paragraph" w:customStyle="1" w:styleId="157">
    <w:name w:val="表格1"/>
    <w:basedOn w:val="7"/>
    <w:next w:val="7"/>
    <w:link w:val="156"/>
    <w:qFormat/>
    <w:uiPriority w:val="0"/>
    <w:pPr>
      <w:adjustRightInd w:val="0"/>
      <w:snapToGrid w:val="0"/>
      <w:spacing w:line="340" w:lineRule="exact"/>
      <w:ind w:firstLine="0" w:firstLineChars="0"/>
      <w:jc w:val="center"/>
    </w:pPr>
    <w:rPr>
      <w:szCs w:val="20"/>
    </w:rPr>
  </w:style>
  <w:style w:type="character" w:customStyle="1" w:styleId="158">
    <w:name w:val="font21"/>
    <w:qFormat/>
    <w:uiPriority w:val="99"/>
    <w:rPr>
      <w:rFonts w:ascii="仿宋_GB2312" w:eastAsia="仿宋_GB2312" w:cs="仿宋_GB2312"/>
      <w:color w:val="000000"/>
      <w:sz w:val="24"/>
      <w:szCs w:val="24"/>
      <w:u w:val="none"/>
      <w:vertAlign w:val="superscript"/>
    </w:rPr>
  </w:style>
  <w:style w:type="character" w:customStyle="1" w:styleId="159">
    <w:name w:val="tpc_content1"/>
    <w:qFormat/>
    <w:uiPriority w:val="0"/>
    <w:rPr>
      <w:sz w:val="18"/>
      <w:szCs w:val="18"/>
    </w:rPr>
  </w:style>
  <w:style w:type="character" w:customStyle="1" w:styleId="160">
    <w:name w:val="批注框文本 字符"/>
    <w:semiHidden/>
    <w:qFormat/>
    <w:uiPriority w:val="0"/>
    <w:rPr>
      <w:rFonts w:ascii="Times New Roman" w:hAnsi="Times New Roman" w:eastAsia="宋体" w:cs="Times New Roman"/>
      <w:sz w:val="18"/>
      <w:szCs w:val="18"/>
    </w:rPr>
  </w:style>
  <w:style w:type="paragraph" w:customStyle="1" w:styleId="161">
    <w:name w:val="默认段落字体 Para Char Char Char1 Char"/>
    <w:basedOn w:val="1"/>
    <w:qFormat/>
    <w:uiPriority w:val="0"/>
    <w:pPr>
      <w:spacing w:line="240" w:lineRule="atLeast"/>
      <w:ind w:left="420" w:firstLine="420"/>
    </w:pPr>
  </w:style>
  <w:style w:type="paragraph" w:customStyle="1" w:styleId="162">
    <w:name w:val="武正文"/>
    <w:basedOn w:val="1"/>
    <w:qFormat/>
    <w:uiPriority w:val="0"/>
    <w:pPr>
      <w:spacing w:line="460" w:lineRule="exact"/>
      <w:ind w:firstLine="200"/>
    </w:pPr>
  </w:style>
  <w:style w:type="paragraph" w:customStyle="1" w:styleId="163">
    <w:name w:val="正文文本缩进 21"/>
    <w:basedOn w:val="1"/>
    <w:qFormat/>
    <w:uiPriority w:val="0"/>
    <w:pPr>
      <w:adjustRightInd w:val="0"/>
      <w:ind w:firstLine="640"/>
      <w:textAlignment w:val="baseline"/>
    </w:pPr>
    <w:rPr>
      <w:rFonts w:eastAsia="仿宋_GB2312"/>
      <w:color w:val="0000FF"/>
      <w:sz w:val="32"/>
      <w:szCs w:val="20"/>
    </w:rPr>
  </w:style>
  <w:style w:type="paragraph" w:customStyle="1" w:styleId="164">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165">
    <w:name w:val="报告正文"/>
    <w:basedOn w:val="1"/>
    <w:qFormat/>
    <w:uiPriority w:val="0"/>
    <w:pPr>
      <w:snapToGrid w:val="0"/>
      <w:spacing w:line="360" w:lineRule="auto"/>
      <w:ind w:firstLine="200" w:firstLineChars="200"/>
    </w:pPr>
    <w:rPr>
      <w:rFonts w:ascii="Calibri" w:hAnsi="Calibri"/>
      <w:sz w:val="24"/>
    </w:rPr>
  </w:style>
  <w:style w:type="paragraph" w:customStyle="1" w:styleId="166">
    <w:name w:val="_Style 114"/>
    <w:basedOn w:val="1"/>
    <w:next w:val="167"/>
    <w:qFormat/>
    <w:uiPriority w:val="99"/>
    <w:pPr>
      <w:ind w:firstLine="420" w:firstLineChars="200"/>
    </w:pPr>
    <w:rPr>
      <w:rFonts w:ascii="Calibri" w:hAnsi="Calibri"/>
      <w:szCs w:val="20"/>
    </w:rPr>
  </w:style>
  <w:style w:type="paragraph" w:styleId="167">
    <w:name w:val="List Paragraph"/>
    <w:basedOn w:val="1"/>
    <w:qFormat/>
    <w:uiPriority w:val="99"/>
    <w:pPr>
      <w:ind w:firstLine="420" w:firstLineChars="200"/>
    </w:pPr>
    <w:rPr>
      <w:rFonts w:ascii="Calibri" w:hAnsi="Calibri"/>
      <w:szCs w:val="22"/>
    </w:rPr>
  </w:style>
  <w:style w:type="paragraph" w:customStyle="1" w:styleId="168">
    <w:name w:val="三级标题"/>
    <w:basedOn w:val="1"/>
    <w:qFormat/>
    <w:uiPriority w:val="0"/>
    <w:pPr>
      <w:spacing w:line="360" w:lineRule="auto"/>
    </w:pPr>
    <w:rPr>
      <w:rFonts w:ascii="宋体" w:hAnsi="宋体"/>
      <w:bCs/>
      <w:sz w:val="24"/>
    </w:rPr>
  </w:style>
  <w:style w:type="paragraph" w:customStyle="1" w:styleId="169">
    <w:name w:val="xxxxx正文"/>
    <w:basedOn w:val="1"/>
    <w:qFormat/>
    <w:uiPriority w:val="0"/>
    <w:pPr>
      <w:topLinePunct/>
      <w:spacing w:line="440" w:lineRule="exact"/>
      <w:ind w:firstLine="200" w:firstLineChars="200"/>
    </w:pPr>
    <w:rPr>
      <w:rFonts w:ascii="Calibri" w:hAnsi="Calibri"/>
      <w:sz w:val="24"/>
      <w:szCs w:val="20"/>
      <w:lang w:val="zh-CN"/>
    </w:rPr>
  </w:style>
  <w:style w:type="paragraph" w:customStyle="1" w:styleId="170">
    <w:name w:val="0环评正文"/>
    <w:basedOn w:val="1"/>
    <w:qFormat/>
    <w:uiPriority w:val="0"/>
    <w:pPr>
      <w:spacing w:line="480" w:lineRule="exact"/>
      <w:ind w:firstLine="200" w:firstLineChars="200"/>
    </w:pPr>
    <w:rPr>
      <w:rFonts w:ascii="Calibri" w:hAnsi="Calibri"/>
      <w:sz w:val="26"/>
      <w:szCs w:val="22"/>
    </w:rPr>
  </w:style>
  <w:style w:type="paragraph" w:customStyle="1" w:styleId="171">
    <w:name w:val="Table Paragraph"/>
    <w:basedOn w:val="1"/>
    <w:qFormat/>
    <w:uiPriority w:val="0"/>
    <w:pPr>
      <w:jc w:val="left"/>
    </w:pPr>
    <w:rPr>
      <w:rFonts w:ascii="Calibri" w:hAnsi="Calibri"/>
      <w:kern w:val="0"/>
      <w:sz w:val="22"/>
      <w:szCs w:val="22"/>
      <w:lang w:eastAsia="en-US"/>
    </w:rPr>
  </w:style>
  <w:style w:type="paragraph" w:customStyle="1" w:styleId="172">
    <w:name w:val="1正文-吉泰"/>
    <w:basedOn w:val="1"/>
    <w:qFormat/>
    <w:uiPriority w:val="0"/>
    <w:pPr>
      <w:snapToGrid w:val="0"/>
      <w:spacing w:line="360" w:lineRule="auto"/>
      <w:ind w:firstLine="200" w:firstLineChars="200"/>
    </w:pPr>
    <w:rPr>
      <w:kern w:val="0"/>
      <w:sz w:val="24"/>
      <w:szCs w:val="20"/>
      <w:lang w:eastAsia="en-US"/>
    </w:rPr>
  </w:style>
  <w:style w:type="paragraph" w:customStyle="1" w:styleId="173">
    <w:name w:val="表格样式"/>
    <w:basedOn w:val="1"/>
    <w:qFormat/>
    <w:uiPriority w:val="0"/>
    <w:pPr>
      <w:adjustRightInd w:val="0"/>
      <w:snapToGrid w:val="0"/>
      <w:jc w:val="center"/>
    </w:pPr>
    <w:rPr>
      <w:sz w:val="28"/>
    </w:rPr>
  </w:style>
  <w:style w:type="paragraph" w:customStyle="1" w:styleId="174">
    <w:name w:val="Char12"/>
    <w:basedOn w:val="1"/>
    <w:qFormat/>
    <w:uiPriority w:val="0"/>
  </w:style>
  <w:style w:type="paragraph" w:styleId="175">
    <w:name w:val="No Spacing"/>
    <w:qFormat/>
    <w:uiPriority w:val="0"/>
    <w:pPr>
      <w:ind w:firstLine="200" w:firstLineChars="200"/>
    </w:pPr>
    <w:rPr>
      <w:rFonts w:ascii="Times New Roman" w:hAnsi="Times New Roman" w:eastAsia="Times New Roman" w:cs="Times New Roman"/>
      <w:color w:val="000000"/>
      <w:kern w:val="2"/>
      <w:sz w:val="28"/>
      <w:szCs w:val="22"/>
      <w:lang w:val="en-US" w:eastAsia="zh-CN" w:bidi="ar-SA"/>
    </w:rPr>
  </w:style>
  <w:style w:type="paragraph" w:customStyle="1" w:styleId="176">
    <w:name w:val="Char11"/>
    <w:basedOn w:val="1"/>
    <w:qFormat/>
    <w:uiPriority w:val="0"/>
    <w:rPr>
      <w:sz w:val="24"/>
    </w:rPr>
  </w:style>
  <w:style w:type="paragraph" w:customStyle="1" w:styleId="177">
    <w:name w:val="Char Char Char1"/>
    <w:basedOn w:val="1"/>
    <w:qFormat/>
    <w:uiPriority w:val="0"/>
  </w:style>
  <w:style w:type="paragraph" w:customStyle="1" w:styleId="178">
    <w:name w:val="ZWWZ"/>
    <w:basedOn w:val="1"/>
    <w:qFormat/>
    <w:uiPriority w:val="0"/>
    <w:pPr>
      <w:widowControl/>
      <w:adjustRightInd w:val="0"/>
      <w:snapToGrid w:val="0"/>
      <w:spacing w:before="120" w:line="300" w:lineRule="auto"/>
      <w:ind w:firstLine="200" w:firstLineChars="200"/>
      <w:jc w:val="left"/>
    </w:pPr>
    <w:rPr>
      <w:rFonts w:ascii="宋体" w:hAnsi="宋体" w:cs="宋体"/>
      <w:snapToGrid w:val="0"/>
      <w:kern w:val="0"/>
      <w:sz w:val="24"/>
    </w:rPr>
  </w:style>
  <w:style w:type="paragraph" w:customStyle="1" w:styleId="179">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olor w:val="000000"/>
      <w:sz w:val="24"/>
    </w:rPr>
  </w:style>
  <w:style w:type="paragraph" w:customStyle="1" w:styleId="180">
    <w:name w:val="表格文字"/>
    <w:qFormat/>
    <w:uiPriority w:val="0"/>
    <w:pPr>
      <w:widowControl w:val="0"/>
      <w:autoSpaceDE w:val="0"/>
      <w:autoSpaceDN w:val="0"/>
      <w:adjustRightInd w:val="0"/>
      <w:textAlignment w:val="baseline"/>
    </w:pPr>
    <w:rPr>
      <w:rFonts w:ascii="宋体" w:hAnsi="Times New Roman" w:eastAsia="宋体" w:cs="Times New Roman"/>
      <w:color w:val="000000"/>
      <w:sz w:val="24"/>
      <w:lang w:val="en-US" w:eastAsia="zh-CN" w:bidi="ar-SA"/>
    </w:rPr>
  </w:style>
  <w:style w:type="paragraph" w:customStyle="1" w:styleId="181">
    <w:name w:val="标题3 Char Char Char Char"/>
    <w:basedOn w:val="1"/>
    <w:qFormat/>
    <w:uiPriority w:val="0"/>
    <w:pPr>
      <w:spacing w:afterLines="50" w:line="560" w:lineRule="exact"/>
    </w:pPr>
    <w:rPr>
      <w:rFonts w:eastAsia="黑体"/>
      <w:sz w:val="30"/>
      <w:szCs w:val="30"/>
    </w:rPr>
  </w:style>
  <w:style w:type="paragraph" w:customStyle="1" w:styleId="182">
    <w:name w:val="文章副标题"/>
    <w:basedOn w:val="1"/>
    <w:next w:val="2"/>
    <w:qFormat/>
    <w:uiPriority w:val="0"/>
    <w:pPr>
      <w:spacing w:before="104" w:after="104" w:line="0" w:lineRule="atLeast"/>
      <w:ind w:left="1"/>
      <w:jc w:val="center"/>
      <w:textAlignment w:val="bottom"/>
    </w:pPr>
    <w:rPr>
      <w:kern w:val="0"/>
      <w:sz w:val="36"/>
      <w:szCs w:val="20"/>
    </w:rPr>
  </w:style>
  <w:style w:type="paragraph" w:customStyle="1" w:styleId="183">
    <w:name w:val="WPS Plain"/>
    <w:qFormat/>
    <w:uiPriority w:val="0"/>
    <w:rPr>
      <w:rFonts w:ascii="Times New Roman" w:hAnsi="Times New Roman" w:eastAsia="宋体" w:cs="Calibri"/>
      <w:lang w:val="en-US" w:eastAsia="zh-CN" w:bidi="ar-SA"/>
    </w:rPr>
  </w:style>
  <w:style w:type="paragraph" w:customStyle="1" w:styleId="184">
    <w:name w:val="单行表格样式(居中)"/>
    <w:qFormat/>
    <w:uiPriority w:val="0"/>
    <w:pPr>
      <w:jc w:val="center"/>
    </w:pPr>
    <w:rPr>
      <w:rFonts w:ascii="宋体" w:hAnsi="宋体" w:eastAsia="宋体" w:cs="Times New Roman"/>
      <w:kern w:val="2"/>
      <w:sz w:val="21"/>
      <w:szCs w:val="28"/>
      <w:lang w:val="en-US" w:eastAsia="zh-CN" w:bidi="ar-SA"/>
    </w:rPr>
  </w:style>
  <w:style w:type="paragraph" w:customStyle="1" w:styleId="185">
    <w:name w:val="Char Char Char Char Char Char Char Char Char Char"/>
    <w:basedOn w:val="1"/>
    <w:qFormat/>
    <w:uiPriority w:val="0"/>
    <w:pPr>
      <w:spacing w:line="240" w:lineRule="exact"/>
      <w:ind w:firstLine="200" w:firstLineChars="200"/>
    </w:pPr>
    <w:rPr>
      <w:rFonts w:ascii="宋体" w:hAnsi="宋体" w:cs="宋体"/>
      <w:sz w:val="24"/>
    </w:rPr>
  </w:style>
  <w:style w:type="paragraph" w:customStyle="1" w:styleId="186">
    <w:name w:val="正文文本缩进 31"/>
    <w:basedOn w:val="1"/>
    <w:qFormat/>
    <w:uiPriority w:val="0"/>
    <w:pPr>
      <w:adjustRightInd w:val="0"/>
      <w:ind w:firstLine="640"/>
      <w:textAlignment w:val="baseline"/>
    </w:pPr>
    <w:rPr>
      <w:rFonts w:ascii="仿宋_GB2312" w:eastAsia="仿宋_GB2312"/>
      <w:color w:val="FF0000"/>
      <w:sz w:val="32"/>
      <w:szCs w:val="20"/>
    </w:rPr>
  </w:style>
  <w:style w:type="paragraph" w:customStyle="1" w:styleId="187">
    <w:name w:val="a表头zzzzzzzzzzzzzz"/>
    <w:basedOn w:val="1"/>
    <w:next w:val="1"/>
    <w:qFormat/>
    <w:uiPriority w:val="0"/>
    <w:pPr>
      <w:spacing w:before="62" w:after="62" w:line="520" w:lineRule="exact"/>
      <w:ind w:firstLine="200" w:firstLineChars="200"/>
      <w:jc w:val="center"/>
    </w:pPr>
    <w:rPr>
      <w:rFonts w:cs="宋体"/>
      <w:b/>
      <w:bCs/>
      <w:sz w:val="24"/>
    </w:rPr>
  </w:style>
  <w:style w:type="paragraph" w:customStyle="1" w:styleId="188">
    <w:name w:val="正文文本 21"/>
    <w:basedOn w:val="1"/>
    <w:qFormat/>
    <w:uiPriority w:val="0"/>
    <w:pPr>
      <w:adjustRightInd w:val="0"/>
      <w:spacing w:line="600" w:lineRule="exact"/>
      <w:ind w:firstLine="640"/>
      <w:textAlignment w:val="baseline"/>
    </w:pPr>
    <w:rPr>
      <w:rFonts w:ascii="仿宋_GB2312" w:eastAsia="仿宋_GB2312"/>
      <w:sz w:val="32"/>
      <w:szCs w:val="20"/>
    </w:rPr>
  </w:style>
  <w:style w:type="paragraph" w:customStyle="1" w:styleId="189">
    <w:name w:val="p0"/>
    <w:basedOn w:val="1"/>
    <w:qFormat/>
    <w:uiPriority w:val="0"/>
    <w:pPr>
      <w:widowControl/>
      <w:spacing w:line="365" w:lineRule="atLeast"/>
      <w:ind w:left="1"/>
    </w:pPr>
    <w:rPr>
      <w:kern w:val="0"/>
      <w:sz w:val="20"/>
      <w:szCs w:val="20"/>
    </w:rPr>
  </w:style>
  <w:style w:type="paragraph" w:customStyle="1" w:styleId="190">
    <w:name w:val="_Style 189"/>
    <w:basedOn w:val="2"/>
    <w:next w:val="1"/>
    <w:qFormat/>
    <w:uiPriority w:val="39"/>
    <w:pPr>
      <w:keepLines/>
      <w:widowControl/>
      <w:overflowPunct/>
      <w:snapToGrid/>
      <w:spacing w:before="480" w:after="0" w:line="276" w:lineRule="auto"/>
      <w:ind w:left="0" w:firstLine="0"/>
      <w:jc w:val="left"/>
      <w:outlineLvl w:val="9"/>
    </w:pPr>
    <w:rPr>
      <w:rFonts w:ascii="Cambria" w:hAnsi="Cambria" w:eastAsia="宋体" w:cs="Times New Roman"/>
      <w:color w:val="365F91"/>
      <w:kern w:val="0"/>
      <w:sz w:val="28"/>
      <w:szCs w:val="28"/>
    </w:rPr>
  </w:style>
  <w:style w:type="paragraph" w:customStyle="1" w:styleId="191">
    <w:name w:val="样式 小四 首行缩进:  1.01 厘米 行距: 1.5 倍行距"/>
    <w:basedOn w:val="1"/>
    <w:qFormat/>
    <w:uiPriority w:val="0"/>
    <w:pPr>
      <w:adjustRightInd w:val="0"/>
      <w:snapToGrid w:val="0"/>
      <w:spacing w:line="360" w:lineRule="auto"/>
      <w:ind w:firstLine="200" w:firstLineChars="200"/>
    </w:pPr>
    <w:rPr>
      <w:snapToGrid w:val="0"/>
      <w:kern w:val="24"/>
      <w:sz w:val="24"/>
      <w:szCs w:val="20"/>
    </w:rPr>
  </w:style>
  <w:style w:type="paragraph" w:customStyle="1" w:styleId="192">
    <w:name w:val="默认段落字体 Para Char Char Char Char"/>
    <w:basedOn w:val="1"/>
    <w:qFormat/>
    <w:uiPriority w:val="0"/>
    <w:pPr>
      <w:adjustRightInd w:val="0"/>
      <w:snapToGrid w:val="0"/>
      <w:spacing w:line="360" w:lineRule="auto"/>
    </w:pPr>
    <w:rPr>
      <w:b/>
      <w:sz w:val="28"/>
      <w:szCs w:val="30"/>
    </w:rPr>
  </w:style>
  <w:style w:type="paragraph" w:customStyle="1" w:styleId="193">
    <w:name w:val="s16qcsl240slmult0nowidct"/>
    <w:qFormat/>
    <w:uiPriority w:val="0"/>
    <w:pPr>
      <w:widowControl w:val="0"/>
      <w:adjustRightInd w:val="0"/>
      <w:textAlignment w:val="baseline"/>
    </w:pPr>
    <w:rPr>
      <w:rFonts w:ascii="Times New Roman" w:hAnsi="Times New Roman" w:eastAsia="宋体" w:cs="Times New Roman"/>
      <w:sz w:val="21"/>
      <w:lang w:val="en-US" w:eastAsia="zh-CN" w:bidi="ar-SA"/>
    </w:rPr>
  </w:style>
  <w:style w:type="paragraph" w:customStyle="1" w:styleId="194">
    <w:name w:val="Char Char Char Char Char Char"/>
    <w:basedOn w:val="1"/>
    <w:qFormat/>
    <w:uiPriority w:val="0"/>
    <w:rPr>
      <w:rFonts w:ascii="Calibri" w:hAnsi="Calibri"/>
      <w:sz w:val="24"/>
    </w:rPr>
  </w:style>
  <w:style w:type="paragraph" w:customStyle="1" w:styleId="195">
    <w:name w:val="Char Char Char Char Char Char Char Char Char Char1 Char Char Char Char Char Char"/>
    <w:basedOn w:val="1"/>
    <w:qFormat/>
    <w:uiPriority w:val="0"/>
    <w:rPr>
      <w:rFonts w:ascii="宋体" w:hAnsi="宋体" w:cs="Courier New"/>
      <w:sz w:val="32"/>
      <w:szCs w:val="32"/>
    </w:rPr>
  </w:style>
  <w:style w:type="paragraph" w:customStyle="1" w:styleId="196">
    <w:name w:val="默认段落字体 Para Char Char Char Char Char Char Char"/>
    <w:basedOn w:val="1"/>
    <w:qFormat/>
    <w:uiPriority w:val="0"/>
    <w:rPr>
      <w:rFonts w:ascii="Arial" w:hAnsi="Arial" w:cs="Arial"/>
      <w:sz w:val="20"/>
    </w:rPr>
  </w:style>
  <w:style w:type="paragraph" w:customStyle="1" w:styleId="197">
    <w:name w:val="Char1"/>
    <w:basedOn w:val="1"/>
    <w:qFormat/>
    <w:uiPriority w:val="0"/>
    <w:pPr>
      <w:snapToGrid w:val="0"/>
      <w:spacing w:line="360" w:lineRule="auto"/>
      <w:ind w:firstLine="200" w:firstLineChars="200"/>
    </w:pPr>
    <w:rPr>
      <w:sz w:val="24"/>
    </w:rPr>
  </w:style>
  <w:style w:type="paragraph" w:customStyle="1" w:styleId="198">
    <w:name w:val="默认段落字体 Para Char Char Char Char Char Char Char Char Char Char"/>
    <w:basedOn w:val="4"/>
    <w:qFormat/>
    <w:uiPriority w:val="0"/>
    <w:pPr>
      <w:tabs>
        <w:tab w:val="left" w:pos="360"/>
        <w:tab w:val="left" w:pos="900"/>
      </w:tabs>
      <w:snapToGrid w:val="0"/>
      <w:spacing w:before="120" w:after="120" w:line="360" w:lineRule="auto"/>
      <w:ind w:left="542" w:leftChars="-12" w:firstLine="200" w:firstLineChars="200"/>
      <w:jc w:val="left"/>
    </w:pPr>
    <w:rPr>
      <w:b w:val="0"/>
      <w:color w:val="000000"/>
      <w:sz w:val="21"/>
      <w:u w:val="none" w:color="000000"/>
    </w:rPr>
  </w:style>
  <w:style w:type="paragraph" w:customStyle="1" w:styleId="199">
    <w:name w:val="2.1.1"/>
    <w:basedOn w:val="1"/>
    <w:qFormat/>
    <w:uiPriority w:val="0"/>
    <w:rPr>
      <w:sz w:val="24"/>
    </w:rPr>
  </w:style>
  <w:style w:type="paragraph" w:customStyle="1" w:styleId="200">
    <w:name w:val="Char"/>
    <w:basedOn w:val="1"/>
    <w:qFormat/>
    <w:uiPriority w:val="0"/>
    <w:pPr>
      <w:snapToGrid w:val="0"/>
      <w:spacing w:line="360" w:lineRule="auto"/>
      <w:ind w:firstLine="529" w:firstLineChars="200"/>
    </w:pPr>
    <w:rPr>
      <w:rFonts w:ascii="宋体" w:hAnsi="宋体"/>
      <w:b/>
    </w:rPr>
  </w:style>
  <w:style w:type="paragraph" w:customStyle="1" w:styleId="201">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18"/>
      <w:szCs w:val="18"/>
    </w:rPr>
  </w:style>
  <w:style w:type="paragraph" w:customStyle="1" w:styleId="202">
    <w:name w:val="_Style 201"/>
    <w:semiHidden/>
    <w:qFormat/>
    <w:uiPriority w:val="99"/>
    <w:rPr>
      <w:rFonts w:ascii="Times New Roman" w:hAnsi="Times New Roman" w:eastAsia="宋体" w:cs="Times New Roman"/>
      <w:kern w:val="2"/>
      <w:sz w:val="21"/>
      <w:lang w:val="en-US" w:eastAsia="zh-CN" w:bidi="ar-SA"/>
    </w:rPr>
  </w:style>
  <w:style w:type="paragraph" w:customStyle="1" w:styleId="203">
    <w:name w:val="样式 四号 首行缩进:  2 字符"/>
    <w:basedOn w:val="1"/>
    <w:qFormat/>
    <w:uiPriority w:val="0"/>
    <w:pPr>
      <w:spacing w:line="480" w:lineRule="atLeast"/>
      <w:ind w:firstLine="200" w:firstLineChars="200"/>
    </w:pPr>
    <w:rPr>
      <w:sz w:val="24"/>
    </w:rPr>
  </w:style>
  <w:style w:type="paragraph" w:customStyle="1" w:styleId="204">
    <w:name w:val="无间隔1"/>
    <w:basedOn w:val="1"/>
    <w:qFormat/>
    <w:uiPriority w:val="0"/>
    <w:pPr>
      <w:widowControl/>
      <w:jc w:val="left"/>
    </w:pPr>
    <w:rPr>
      <w:rFonts w:ascii="Calibri" w:hAnsi="Calibri"/>
      <w:spacing w:val="5"/>
      <w:kern w:val="0"/>
      <w:sz w:val="22"/>
      <w:szCs w:val="22"/>
      <w:lang w:eastAsia="en-US" w:bidi="en-US"/>
    </w:rPr>
  </w:style>
  <w:style w:type="paragraph" w:customStyle="1" w:styleId="205">
    <w:name w:val="Char Char Char Char Char Char Char"/>
    <w:basedOn w:val="1"/>
    <w:qFormat/>
    <w:uiPriority w:val="0"/>
    <w:rPr>
      <w:szCs w:val="21"/>
    </w:rPr>
  </w:style>
  <w:style w:type="paragraph" w:customStyle="1" w:styleId="206">
    <w:name w:val="表"/>
    <w:basedOn w:val="1"/>
    <w:qFormat/>
    <w:uiPriority w:val="0"/>
    <w:pPr>
      <w:spacing w:line="360" w:lineRule="auto"/>
      <w:jc w:val="center"/>
    </w:pPr>
    <w:rPr>
      <w:rFonts w:ascii="宋体" w:hAnsi="Courier New"/>
      <w:szCs w:val="21"/>
    </w:rPr>
  </w:style>
  <w:style w:type="paragraph" w:customStyle="1" w:styleId="207">
    <w:name w:val="Char13"/>
    <w:basedOn w:val="1"/>
    <w:qFormat/>
    <w:uiPriority w:val="0"/>
  </w:style>
  <w:style w:type="paragraph" w:customStyle="1" w:styleId="208">
    <w:name w:val="样式3"/>
    <w:basedOn w:val="3"/>
    <w:qFormat/>
    <w:uiPriority w:val="0"/>
    <w:pPr>
      <w:keepLines/>
      <w:adjustRightInd w:val="0"/>
      <w:snapToGrid/>
      <w:spacing w:beforeLines="50" w:after="260" w:line="360" w:lineRule="auto"/>
      <w:textAlignment w:val="baseline"/>
    </w:pPr>
    <w:rPr>
      <w:rFonts w:ascii="宋体" w:hAnsi="宋体" w:eastAsia="黑体"/>
      <w:bCs/>
      <w:sz w:val="28"/>
      <w:szCs w:val="28"/>
    </w:rPr>
  </w:style>
  <w:style w:type="paragraph" w:customStyle="1" w:styleId="209">
    <w:name w:val="xl26"/>
    <w:basedOn w:val="1"/>
    <w:qFormat/>
    <w:uiPriority w:val="0"/>
    <w:pPr>
      <w:widowControl/>
      <w:pBdr>
        <w:bottom w:val="single" w:color="auto" w:sz="4" w:space="0"/>
        <w:right w:val="single" w:color="auto" w:sz="4" w:space="0"/>
      </w:pBdr>
      <w:spacing w:before="100" w:after="100"/>
      <w:jc w:val="center"/>
      <w:textAlignment w:val="top"/>
    </w:pPr>
    <w:rPr>
      <w:rFonts w:ascii="宋体" w:hAnsi="宋体"/>
      <w:kern w:val="0"/>
      <w:szCs w:val="20"/>
    </w:rPr>
  </w:style>
  <w:style w:type="paragraph" w:customStyle="1" w:styleId="210">
    <w:name w:val="简单回函地址"/>
    <w:basedOn w:val="1"/>
    <w:qFormat/>
    <w:uiPriority w:val="0"/>
  </w:style>
  <w:style w:type="paragraph" w:customStyle="1" w:styleId="211">
    <w:name w:val="Default"/>
    <w:qFormat/>
    <w:uiPriority w:val="0"/>
    <w:pPr>
      <w:widowControl w:val="0"/>
      <w:autoSpaceDE w:val="0"/>
      <w:autoSpaceDN w:val="0"/>
      <w:adjustRightInd w:val="0"/>
    </w:pPr>
    <w:rPr>
      <w:rFonts w:ascii="宋体" w:hAnsi="宋体" w:eastAsia="宋体" w:cs="Times New Roman"/>
      <w:color w:val="000000"/>
      <w:sz w:val="24"/>
      <w:lang w:val="en-US" w:eastAsia="zh-CN" w:bidi="ar-SA"/>
    </w:rPr>
  </w:style>
  <w:style w:type="paragraph" w:customStyle="1" w:styleId="212">
    <w:name w:val="0"/>
    <w:basedOn w:val="1"/>
    <w:qFormat/>
    <w:uiPriority w:val="0"/>
    <w:pPr>
      <w:widowControl/>
      <w:snapToGrid w:val="0"/>
      <w:spacing w:line="365" w:lineRule="atLeast"/>
      <w:ind w:left="1"/>
      <w:textAlignment w:val="bottom"/>
    </w:pPr>
    <w:rPr>
      <w:kern w:val="0"/>
      <w:sz w:val="20"/>
      <w:szCs w:val="20"/>
    </w:rPr>
  </w:style>
  <w:style w:type="paragraph" w:customStyle="1" w:styleId="213">
    <w:name w:val="表格文字2"/>
    <w:basedOn w:val="180"/>
    <w:qFormat/>
    <w:uiPriority w:val="0"/>
    <w:pPr>
      <w:autoSpaceDE/>
      <w:autoSpaceDN/>
      <w:spacing w:before="60"/>
      <w:jc w:val="center"/>
    </w:pPr>
    <w:rPr>
      <w:color w:val="auto"/>
    </w:rPr>
  </w:style>
  <w:style w:type="paragraph" w:customStyle="1" w:styleId="214">
    <w:name w:val="Char Char Char Char Char Char Char Char Char Char Char Char Char Char Char Char Char Char Char1"/>
    <w:basedOn w:val="1"/>
    <w:qFormat/>
    <w:uiPriority w:val="0"/>
    <w:pPr>
      <w:adjustRightInd w:val="0"/>
      <w:snapToGrid w:val="0"/>
      <w:spacing w:line="360" w:lineRule="auto"/>
      <w:ind w:firstLine="200" w:firstLineChars="200"/>
      <w:jc w:val="left"/>
    </w:pPr>
    <w:rPr>
      <w:rFonts w:ascii="仿宋_GB2312" w:hAnsi="仿宋_GB2312" w:eastAsia="仿宋_GB2312" w:cs="宋体"/>
      <w:sz w:val="24"/>
    </w:rPr>
  </w:style>
  <w:style w:type="paragraph" w:customStyle="1" w:styleId="215">
    <w:name w:val="样式 标题 3 + (西文) Arial (中文) 宋体 小四 段前: 0 磅 段后: 0 磅 行距: 单倍行距"/>
    <w:basedOn w:val="4"/>
    <w:qFormat/>
    <w:uiPriority w:val="0"/>
    <w:pPr>
      <w:keepNext w:val="0"/>
      <w:keepLines w:val="0"/>
      <w:adjustRightInd w:val="0"/>
      <w:snapToGrid w:val="0"/>
      <w:spacing w:before="0" w:after="0" w:line="240" w:lineRule="auto"/>
    </w:pPr>
    <w:rPr>
      <w:rFonts w:ascii="Arial" w:hAnsi="Arial" w:cs="宋体"/>
      <w:b w:val="0"/>
      <w:snapToGrid w:val="0"/>
      <w:color w:val="000000"/>
      <w:kern w:val="0"/>
      <w:sz w:val="24"/>
      <w:szCs w:val="20"/>
    </w:rPr>
  </w:style>
  <w:style w:type="paragraph" w:customStyle="1" w:styleId="216">
    <w:name w:val="我的表格文字"/>
    <w:basedOn w:val="1"/>
    <w:qFormat/>
    <w:uiPriority w:val="0"/>
    <w:pPr>
      <w:adjustRightInd w:val="0"/>
      <w:snapToGrid w:val="0"/>
      <w:jc w:val="center"/>
      <w:textAlignment w:val="center"/>
    </w:pPr>
    <w:rPr>
      <w:rFonts w:ascii="Calibri" w:hAnsi="宋体" w:cs="宋体"/>
      <w:color w:val="FF0000"/>
      <w:szCs w:val="21"/>
    </w:rPr>
  </w:style>
  <w:style w:type="paragraph" w:customStyle="1" w:styleId="217">
    <w:name w:val="pic-info"/>
    <w:basedOn w:val="1"/>
    <w:qFormat/>
    <w:uiPriority w:val="0"/>
    <w:pPr>
      <w:widowControl/>
      <w:spacing w:before="100" w:beforeAutospacing="1" w:after="100" w:afterAutospacing="1"/>
      <w:jc w:val="left"/>
    </w:pPr>
    <w:rPr>
      <w:rFonts w:ascii="宋体" w:hAnsi="宋体" w:cs="宋体"/>
      <w:kern w:val="0"/>
      <w:sz w:val="24"/>
    </w:rPr>
  </w:style>
  <w:style w:type="paragraph" w:customStyle="1" w:styleId="218">
    <w:name w:val="目录标题"/>
    <w:basedOn w:val="1"/>
    <w:next w:val="1"/>
    <w:qFormat/>
    <w:uiPriority w:val="0"/>
    <w:pPr>
      <w:spacing w:before="104" w:after="209" w:line="0" w:lineRule="atLeast"/>
      <w:ind w:left="1"/>
      <w:jc w:val="center"/>
      <w:textAlignment w:val="bottom"/>
    </w:pPr>
    <w:rPr>
      <w:rFonts w:ascii="Arial" w:hAnsi="Arial" w:eastAsia="黑体"/>
      <w:spacing w:val="104"/>
      <w:kern w:val="0"/>
      <w:sz w:val="44"/>
      <w:szCs w:val="20"/>
    </w:rPr>
  </w:style>
  <w:style w:type="paragraph" w:customStyle="1" w:styleId="219">
    <w:name w:val="Char15"/>
    <w:basedOn w:val="1"/>
    <w:qFormat/>
    <w:uiPriority w:val="0"/>
    <w:pPr>
      <w:spacing w:line="360" w:lineRule="auto"/>
      <w:ind w:firstLine="200" w:firstLineChars="200"/>
    </w:pPr>
    <w:rPr>
      <w:rFonts w:ascii="宋体" w:hAnsi="宋体" w:cs="宋体"/>
      <w:sz w:val="24"/>
    </w:rPr>
  </w:style>
  <w:style w:type="paragraph" w:customStyle="1" w:styleId="220">
    <w:name w:val="_Style 33"/>
    <w:basedOn w:val="1"/>
    <w:qFormat/>
    <w:uiPriority w:val="0"/>
    <w:pPr>
      <w:adjustRightInd w:val="0"/>
      <w:snapToGrid w:val="0"/>
      <w:spacing w:line="360" w:lineRule="auto"/>
      <w:ind w:firstLine="200" w:firstLineChars="200"/>
      <w:jc w:val="left"/>
    </w:pPr>
    <w:rPr>
      <w:rFonts w:ascii="Calibri" w:hAnsi="Calibri"/>
      <w:kern w:val="0"/>
      <w:szCs w:val="20"/>
    </w:rPr>
  </w:style>
  <w:style w:type="paragraph" w:customStyle="1" w:styleId="221">
    <w:name w:val="默认段落字体 Para Char"/>
    <w:basedOn w:val="1"/>
    <w:next w:val="1"/>
    <w:qFormat/>
    <w:uiPriority w:val="0"/>
    <w:pPr>
      <w:spacing w:line="360" w:lineRule="auto"/>
      <w:ind w:firstLine="200" w:firstLineChars="200"/>
    </w:pPr>
    <w:rPr>
      <w:rFonts w:ascii="宋体" w:hAnsi="宋体" w:cs="宋体"/>
      <w:sz w:val="24"/>
    </w:rPr>
  </w:style>
  <w:style w:type="paragraph" w:customStyle="1" w:styleId="222">
    <w:name w:val="Char14"/>
    <w:basedOn w:val="1"/>
    <w:qFormat/>
    <w:uiPriority w:val="0"/>
  </w:style>
  <w:style w:type="paragraph" w:customStyle="1" w:styleId="223">
    <w:name w:val="Char Char Char Char Char Char Char Char Char Char Char Char Char Char Char Char Char Char Char"/>
    <w:basedOn w:val="1"/>
    <w:qFormat/>
    <w:uiPriority w:val="0"/>
    <w:rPr>
      <w:sz w:val="24"/>
    </w:rPr>
  </w:style>
  <w:style w:type="paragraph" w:customStyle="1" w:styleId="224">
    <w:name w:val="Char Char Char Char Char Char Char1"/>
    <w:basedOn w:val="1"/>
    <w:qFormat/>
    <w:uiPriority w:val="0"/>
    <w:rPr>
      <w:rFonts w:ascii="Calibri" w:hAnsi="Calibri"/>
      <w:szCs w:val="21"/>
    </w:rPr>
  </w:style>
  <w:style w:type="paragraph" w:customStyle="1" w:styleId="225">
    <w:name w:val="普通(网站)1"/>
    <w:basedOn w:val="1"/>
    <w:qFormat/>
    <w:uiPriority w:val="0"/>
    <w:pPr>
      <w:widowControl/>
      <w:adjustRightInd w:val="0"/>
      <w:spacing w:before="100" w:after="100"/>
      <w:jc w:val="left"/>
      <w:textAlignment w:val="baseline"/>
    </w:pPr>
    <w:rPr>
      <w:rFonts w:ascii="宋体" w:hAnsi="宋体"/>
      <w:color w:val="000000"/>
      <w:kern w:val="0"/>
      <w:sz w:val="24"/>
      <w:szCs w:val="20"/>
    </w:rPr>
  </w:style>
  <w:style w:type="paragraph" w:customStyle="1" w:styleId="226">
    <w:name w:val="Char Char Char Char Char Char Char Char Char Char Char Char Char Char Char1 Char"/>
    <w:basedOn w:val="1"/>
    <w:next w:val="1"/>
    <w:qFormat/>
    <w:uiPriority w:val="0"/>
    <w:pPr>
      <w:spacing w:line="360" w:lineRule="auto"/>
      <w:ind w:firstLine="200" w:firstLineChars="200"/>
    </w:pPr>
    <w:rPr>
      <w:rFonts w:ascii="宋体" w:hAnsi="宋体" w:cs="宋体"/>
      <w:sz w:val="24"/>
    </w:rPr>
  </w:style>
  <w:style w:type="paragraph" w:customStyle="1" w:styleId="227">
    <w:name w:val="表格标题"/>
    <w:basedOn w:val="1"/>
    <w:qFormat/>
    <w:uiPriority w:val="0"/>
    <w:pPr>
      <w:adjustRightInd w:val="0"/>
      <w:snapToGrid w:val="0"/>
      <w:spacing w:line="480" w:lineRule="exact"/>
      <w:jc w:val="center"/>
    </w:pPr>
    <w:rPr>
      <w:rFonts w:ascii="宋体" w:hAnsi="Calibri"/>
      <w:b/>
      <w:snapToGrid w:val="0"/>
      <w:kern w:val="0"/>
      <w:sz w:val="24"/>
      <w:szCs w:val="20"/>
    </w:rPr>
  </w:style>
  <w:style w:type="paragraph" w:customStyle="1" w:styleId="228">
    <w:name w:val="修订1"/>
    <w:semiHidden/>
    <w:qFormat/>
    <w:uiPriority w:val="99"/>
    <w:rPr>
      <w:rFonts w:ascii="Times New Roman" w:hAnsi="Times New Roman" w:eastAsia="宋体" w:cs="Calibri"/>
      <w:kern w:val="2"/>
      <w:sz w:val="21"/>
      <w:lang w:val="en-US" w:eastAsia="zh-CN" w:bidi="ar-SA"/>
    </w:rPr>
  </w:style>
  <w:style w:type="paragraph" w:customStyle="1" w:styleId="229">
    <w:name w:val="列出段落1"/>
    <w:basedOn w:val="1"/>
    <w:qFormat/>
    <w:uiPriority w:val="34"/>
    <w:pPr>
      <w:ind w:firstLine="420" w:firstLineChars="200"/>
    </w:pPr>
  </w:style>
  <w:style w:type="paragraph" w:customStyle="1" w:styleId="230">
    <w:name w:val="Char1 Char Char Char Char Char Char Char Char Char"/>
    <w:basedOn w:val="1"/>
    <w:qFormat/>
    <w:uiPriority w:val="0"/>
    <w:rPr>
      <w:rFonts w:ascii="Calibri" w:hAnsi="Calibri"/>
    </w:rPr>
  </w:style>
  <w:style w:type="paragraph" w:customStyle="1" w:styleId="231">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32">
    <w:name w:val="样式 正文 首行缩进:  2 字符 SL CON + 首行缩进:  2 字符 + 首行缩进:  2 字符 + 首行缩..."/>
    <w:basedOn w:val="1"/>
    <w:qFormat/>
    <w:uiPriority w:val="0"/>
    <w:pPr>
      <w:widowControl/>
      <w:tabs>
        <w:tab w:val="left" w:pos="377"/>
      </w:tabs>
      <w:spacing w:line="360" w:lineRule="auto"/>
      <w:ind w:firstLine="560" w:firstLineChars="200"/>
    </w:pPr>
    <w:rPr>
      <w:rFonts w:ascii="宋体"/>
      <w:kern w:val="0"/>
      <w:sz w:val="28"/>
      <w:szCs w:val="20"/>
    </w:rPr>
  </w:style>
  <w:style w:type="paragraph" w:customStyle="1" w:styleId="233">
    <w:name w:val="图表头"/>
    <w:basedOn w:val="1"/>
    <w:qFormat/>
    <w:uiPriority w:val="0"/>
    <w:pPr>
      <w:adjustRightInd w:val="0"/>
      <w:spacing w:line="360" w:lineRule="auto"/>
      <w:jc w:val="center"/>
      <w:textAlignment w:val="baseline"/>
    </w:pPr>
    <w:rPr>
      <w:rFonts w:ascii="黑体" w:hAnsi="Calibri" w:eastAsia="黑体"/>
      <w:spacing w:val="5"/>
      <w:kern w:val="0"/>
      <w:szCs w:val="20"/>
    </w:rPr>
  </w:style>
  <w:style w:type="table" w:customStyle="1" w:styleId="234">
    <w:name w:val="SSEC表格样式"/>
    <w:basedOn w:val="30"/>
    <w:qFormat/>
    <w:uiPriority w:val="99"/>
    <w:pPr>
      <w:adjustRightInd w:val="0"/>
      <w:snapToGrid w:val="0"/>
    </w:pPr>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emf"/><Relationship Id="rId15" Type="http://schemas.openxmlformats.org/officeDocument/2006/relationships/oleObject" Target="embeddings/oleObject1.bin"/><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107</Pages>
  <Words>12411</Words>
  <Characters>12828</Characters>
  <Lines>1</Lines>
  <Paragraphs>1</Paragraphs>
  <TotalTime>24</TotalTime>
  <ScaleCrop>false</ScaleCrop>
  <LinksUpToDate>false</LinksUpToDate>
  <CharactersWithSpaces>14004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2021-07-29T07:41:00Z</dcterms:created>
  <dc:creator>PC</dc:creator>
  <cp:lastModifiedBy>媛春</cp:lastModifiedBy>
  <cp:lastPrinted>2021-08-03T09:55:00Z</cp:lastPrinted>
  <dcterms:modified xsi:type="dcterms:W3CDTF">2025-05-07T08:48:27Z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B8EDC1FA45524DA4BAA21F5B3FA68798_13</vt:lpwstr>
  </property>
  <property fmtid="{D5CDD505-2E9C-101B-9397-08002B2CF9AE}" pid="4" name="KSOTemplateDocerSaveRecord">
    <vt:lpwstr>eyJoZGlkIjoiZGM3NGNkNGIyN2IwOWM5NTgyZTU5OTRjMTM5MTcxOTkiLCJ1c2VySWQiOiI0Mzg3NzEzODQifQ==</vt:lpwstr>
  </property>
</Properties>
</file>