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E493E5">
      <w:pPr>
        <w:widowControl/>
        <w:jc w:val="center"/>
        <w:rPr>
          <w:rFonts w:hint="default" w:ascii="Times New Roman" w:hAnsi="Times New Roman" w:eastAsia="宋体" w:cs="Times New Roman"/>
          <w:color w:val="auto"/>
          <w:kern w:val="0"/>
          <w:sz w:val="44"/>
          <w:szCs w:val="44"/>
          <w:highlight w:val="none"/>
          <w:lang w:bidi="ar"/>
        </w:rPr>
      </w:pPr>
      <w:r>
        <w:rPr>
          <w:color w:val="auto"/>
        </w:rPr>
        <w:drawing>
          <wp:inline distT="0" distB="0" distL="114300" distR="114300">
            <wp:extent cx="5261610" cy="7537450"/>
            <wp:effectExtent l="0" t="0" r="15240" b="635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5"/>
                    <a:stretch>
                      <a:fillRect/>
                    </a:stretch>
                  </pic:blipFill>
                  <pic:spPr>
                    <a:xfrm>
                      <a:off x="0" y="0"/>
                      <a:ext cx="5261610" cy="7537450"/>
                    </a:xfrm>
                    <a:prstGeom prst="rect">
                      <a:avLst/>
                    </a:prstGeom>
                    <a:noFill/>
                    <a:ln>
                      <a:noFill/>
                    </a:ln>
                  </pic:spPr>
                </pic:pic>
              </a:graphicData>
            </a:graphic>
          </wp:inline>
        </w:drawing>
      </w:r>
    </w:p>
    <w:p w14:paraId="7DCFA9BE">
      <w:pPr>
        <w:widowControl/>
        <w:jc w:val="center"/>
        <w:rPr>
          <w:rFonts w:hint="default" w:ascii="Times New Roman" w:hAnsi="Times New Roman" w:eastAsia="宋体" w:cs="Times New Roman"/>
          <w:color w:val="auto"/>
          <w:kern w:val="0"/>
          <w:sz w:val="44"/>
          <w:szCs w:val="44"/>
          <w:highlight w:val="none"/>
          <w:lang w:bidi="ar"/>
        </w:rPr>
      </w:pPr>
    </w:p>
    <w:p w14:paraId="7D7FE2E8">
      <w:pPr>
        <w:widowControl/>
        <w:jc w:val="center"/>
        <w:rPr>
          <w:rFonts w:hint="default" w:ascii="Times New Roman" w:hAnsi="Times New Roman" w:eastAsia="宋体" w:cs="Times New Roman"/>
          <w:b/>
          <w:bCs/>
          <w:color w:val="auto"/>
          <w:kern w:val="0"/>
          <w:sz w:val="56"/>
          <w:szCs w:val="56"/>
          <w:highlight w:val="none"/>
          <w:lang w:bidi="ar"/>
        </w:rPr>
      </w:pPr>
    </w:p>
    <w:p w14:paraId="1E2A3E70">
      <w:pPr>
        <w:rPr>
          <w:rFonts w:hint="default" w:ascii="Times New Roman" w:hAnsi="Times New Roman" w:eastAsia="宋体" w:cs="Times New Roman"/>
          <w:b/>
          <w:bCs/>
          <w:color w:val="auto"/>
          <w:highlight w:val="none"/>
        </w:rPr>
      </w:pPr>
      <w:r>
        <w:rPr>
          <w:color w:val="auto"/>
        </w:rPr>
        <w:drawing>
          <wp:inline distT="0" distB="0" distL="114300" distR="114300">
            <wp:extent cx="5259070" cy="7437755"/>
            <wp:effectExtent l="0" t="0" r="17780" b="1079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6"/>
                    <a:stretch>
                      <a:fillRect/>
                    </a:stretch>
                  </pic:blipFill>
                  <pic:spPr>
                    <a:xfrm>
                      <a:off x="0" y="0"/>
                      <a:ext cx="5259070" cy="7437755"/>
                    </a:xfrm>
                    <a:prstGeom prst="rect">
                      <a:avLst/>
                    </a:prstGeom>
                    <a:noFill/>
                    <a:ln>
                      <a:noFill/>
                    </a:ln>
                  </pic:spPr>
                </pic:pic>
              </a:graphicData>
            </a:graphic>
          </wp:inline>
        </w:drawing>
      </w:r>
    </w:p>
    <w:p w14:paraId="0F5E68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eastAsia="zh-CN"/>
        </w:rPr>
      </w:pPr>
    </w:p>
    <w:p w14:paraId="44B877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eastAsia="zh-CN"/>
        </w:rPr>
        <w:sectPr>
          <w:pgSz w:w="11906" w:h="16838"/>
          <w:pgMar w:top="1440" w:right="1800" w:bottom="1440" w:left="1800" w:header="851" w:footer="992" w:gutter="0"/>
          <w:cols w:space="425" w:num="1"/>
          <w:docGrid w:type="lines" w:linePitch="312" w:charSpace="0"/>
        </w:sectPr>
      </w:pPr>
    </w:p>
    <w:p w14:paraId="73FF4A7F">
      <w:pPr>
        <w:pStyle w:val="12"/>
        <w:ind w:left="0" w:leftChars="0" w:firstLine="0" w:firstLineChars="0"/>
        <w:jc w:val="center"/>
        <w:rPr>
          <w:color w:val="auto"/>
        </w:rPr>
      </w:pPr>
      <w:r>
        <w:rPr>
          <w:color w:val="auto"/>
        </w:rPr>
        <w:drawing>
          <wp:inline distT="0" distB="0" distL="114300" distR="114300">
            <wp:extent cx="5259070" cy="7437755"/>
            <wp:effectExtent l="0" t="0" r="17780" b="1079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7"/>
                    <a:stretch>
                      <a:fillRect/>
                    </a:stretch>
                  </pic:blipFill>
                  <pic:spPr>
                    <a:xfrm>
                      <a:off x="0" y="0"/>
                      <a:ext cx="5259070" cy="7437755"/>
                    </a:xfrm>
                    <a:prstGeom prst="rect">
                      <a:avLst/>
                    </a:prstGeom>
                    <a:noFill/>
                    <a:ln>
                      <a:noFill/>
                    </a:ln>
                  </pic:spPr>
                </pic:pic>
              </a:graphicData>
            </a:graphic>
          </wp:inline>
        </w:drawing>
      </w:r>
    </w:p>
    <w:p w14:paraId="0118C942">
      <w:pPr>
        <w:rPr>
          <w:color w:val="auto"/>
        </w:rPr>
      </w:pPr>
    </w:p>
    <w:p w14:paraId="3F59C807">
      <w:pPr>
        <w:rPr>
          <w:color w:val="auto"/>
        </w:rPr>
      </w:pPr>
    </w:p>
    <w:p w14:paraId="3C5C85DA">
      <w:pPr>
        <w:rPr>
          <w:color w:val="auto"/>
        </w:rPr>
      </w:pPr>
    </w:p>
    <w:p w14:paraId="29348DC6">
      <w:pPr>
        <w:rPr>
          <w:color w:val="auto"/>
        </w:rPr>
      </w:pPr>
    </w:p>
    <w:p w14:paraId="24E06AF4">
      <w:pPr>
        <w:rPr>
          <w:color w:val="auto"/>
        </w:rPr>
      </w:pPr>
    </w:p>
    <w:p w14:paraId="6AD6F7B2">
      <w:pPr>
        <w:rPr>
          <w:color w:val="auto"/>
        </w:rPr>
      </w:pPr>
    </w:p>
    <w:p w14:paraId="1CAB4C63">
      <w:pPr>
        <w:rPr>
          <w:color w:val="auto"/>
        </w:rPr>
      </w:pPr>
      <w:r>
        <w:rPr>
          <w:color w:val="auto"/>
        </w:rPr>
        <w:drawing>
          <wp:inline distT="0" distB="0" distL="114300" distR="114300">
            <wp:extent cx="5259070" cy="7437755"/>
            <wp:effectExtent l="0" t="0" r="17780" b="1079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8"/>
                    <a:stretch>
                      <a:fillRect/>
                    </a:stretch>
                  </pic:blipFill>
                  <pic:spPr>
                    <a:xfrm>
                      <a:off x="0" y="0"/>
                      <a:ext cx="5259070" cy="7437755"/>
                    </a:xfrm>
                    <a:prstGeom prst="rect">
                      <a:avLst/>
                    </a:prstGeom>
                    <a:noFill/>
                    <a:ln>
                      <a:noFill/>
                    </a:ln>
                  </pic:spPr>
                </pic:pic>
              </a:graphicData>
            </a:graphic>
          </wp:inline>
        </w:drawing>
      </w:r>
    </w:p>
    <w:p w14:paraId="4BF4A900">
      <w:pPr>
        <w:rPr>
          <w:color w:val="auto"/>
        </w:rPr>
      </w:pPr>
    </w:p>
    <w:p w14:paraId="6440EC1D">
      <w:pPr>
        <w:rPr>
          <w:color w:val="auto"/>
        </w:rPr>
      </w:pPr>
    </w:p>
    <w:p w14:paraId="205A2E46">
      <w:pPr>
        <w:rPr>
          <w:color w:val="auto"/>
        </w:rPr>
      </w:pPr>
    </w:p>
    <w:p w14:paraId="138216F5">
      <w:pPr>
        <w:rPr>
          <w:color w:val="auto"/>
        </w:rPr>
      </w:pPr>
    </w:p>
    <w:p w14:paraId="7ADA0A71">
      <w:pPr>
        <w:rPr>
          <w:color w:val="auto"/>
        </w:rPr>
      </w:pPr>
    </w:p>
    <w:p w14:paraId="09366B5D">
      <w:pPr>
        <w:rPr>
          <w:color w:val="auto"/>
        </w:rPr>
      </w:pPr>
    </w:p>
    <w:p w14:paraId="40879604">
      <w:pPr>
        <w:rPr>
          <w:color w:val="auto"/>
        </w:rPr>
      </w:pPr>
    </w:p>
    <w:p w14:paraId="6A730A0D">
      <w:pPr>
        <w:rPr>
          <w:color w:val="auto"/>
        </w:rPr>
      </w:pPr>
      <w:r>
        <w:rPr>
          <w:sz w:val="21"/>
        </w:rPr>
        <mc:AlternateContent>
          <mc:Choice Requires="wps">
            <w:drawing>
              <wp:anchor distT="0" distB="0" distL="114300" distR="114300" simplePos="0" relativeHeight="251680768" behindDoc="0" locked="0" layoutInCell="1" allowOverlap="1">
                <wp:simplePos x="0" y="0"/>
                <wp:positionH relativeFrom="column">
                  <wp:posOffset>2782570</wp:posOffset>
                </wp:positionH>
                <wp:positionV relativeFrom="paragraph">
                  <wp:posOffset>1889125</wp:posOffset>
                </wp:positionV>
                <wp:extent cx="1224280" cy="156210"/>
                <wp:effectExtent l="0" t="0" r="13970" b="15240"/>
                <wp:wrapNone/>
                <wp:docPr id="47" name="矩形 47"/>
                <wp:cNvGraphicFramePr/>
                <a:graphic xmlns:a="http://schemas.openxmlformats.org/drawingml/2006/main">
                  <a:graphicData uri="http://schemas.microsoft.com/office/word/2010/wordprocessingShape">
                    <wps:wsp>
                      <wps:cNvSpPr/>
                      <wps:spPr>
                        <a:xfrm>
                          <a:off x="0" y="0"/>
                          <a:ext cx="1224280" cy="1562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1pt;margin-top:148.75pt;height:12.3pt;width:96.4pt;z-index:251680768;v-text-anchor:middle;mso-width-relative:page;mso-height-relative:page;" fillcolor="#FFFFFF [3212]" filled="t" stroked="f" coordsize="21600,21600" o:gfxdata="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umQndsAAAALAQAADwAAAAAAAAABACAAAAAiAAAAZHJzL2Rvd25yZXYu&#10;eG1sUEsBAhQAFAAAAAgAh07iQIBy4GVqAgAAzQQAAA4AAAAAAAAAAQAgAAAAKgEAAGRycy9lMm9E&#10;b2MueG1sUEsFBgAAAAAGAAYAWQEAAAYGAAAAAA==&#10;">
                <v:fill on="t" focussize="0,0"/>
                <v:stroke on="f" weight="1pt" miterlimit="8" joinstyle="miter"/>
                <v:imagedata o:title=""/>
                <o:lock v:ext="edit" aspectratio="f"/>
              </v:rect>
            </w:pict>
          </mc:Fallback>
        </mc:AlternateContent>
      </w:r>
      <w:r>
        <w:rPr>
          <w:color w:val="auto"/>
        </w:rPr>
        <w:drawing>
          <wp:inline distT="0" distB="0" distL="114300" distR="114300">
            <wp:extent cx="5259070" cy="7437755"/>
            <wp:effectExtent l="0" t="0" r="17780" b="1079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9"/>
                    <a:stretch>
                      <a:fillRect/>
                    </a:stretch>
                  </pic:blipFill>
                  <pic:spPr>
                    <a:xfrm>
                      <a:off x="0" y="0"/>
                      <a:ext cx="5259070" cy="7437755"/>
                    </a:xfrm>
                    <a:prstGeom prst="rect">
                      <a:avLst/>
                    </a:prstGeom>
                    <a:noFill/>
                    <a:ln>
                      <a:noFill/>
                    </a:ln>
                  </pic:spPr>
                </pic:pic>
              </a:graphicData>
            </a:graphic>
          </wp:inline>
        </w:drawing>
      </w:r>
    </w:p>
    <w:p w14:paraId="79BF0854">
      <w:pPr>
        <w:rPr>
          <w:color w:val="auto"/>
        </w:rPr>
      </w:pPr>
    </w:p>
    <w:p w14:paraId="0D8AEFBF">
      <w:pPr>
        <w:rPr>
          <w:color w:val="auto"/>
        </w:rPr>
      </w:pPr>
    </w:p>
    <w:p w14:paraId="64A5A825">
      <w:pPr>
        <w:rPr>
          <w:color w:val="auto"/>
        </w:rPr>
      </w:pPr>
    </w:p>
    <w:p w14:paraId="41486A92">
      <w:pPr>
        <w:rPr>
          <w:color w:val="auto"/>
        </w:rPr>
      </w:pPr>
    </w:p>
    <w:p w14:paraId="11F68A87">
      <w:pPr>
        <w:rPr>
          <w:color w:val="auto"/>
        </w:rPr>
      </w:pPr>
    </w:p>
    <w:p w14:paraId="6C8CDAC1">
      <w:pPr>
        <w:rPr>
          <w:color w:val="auto"/>
        </w:rPr>
      </w:pPr>
      <w:r>
        <w:rPr>
          <w:sz w:val="21"/>
        </w:rPr>
        <mc:AlternateContent>
          <mc:Choice Requires="wps">
            <w:drawing>
              <wp:anchor distT="0" distB="0" distL="114300" distR="114300" simplePos="0" relativeHeight="251679744" behindDoc="0" locked="0" layoutInCell="1" allowOverlap="1">
                <wp:simplePos x="0" y="0"/>
                <wp:positionH relativeFrom="column">
                  <wp:posOffset>2602865</wp:posOffset>
                </wp:positionH>
                <wp:positionV relativeFrom="paragraph">
                  <wp:posOffset>1873250</wp:posOffset>
                </wp:positionV>
                <wp:extent cx="1224280" cy="156210"/>
                <wp:effectExtent l="0" t="0" r="13970" b="15240"/>
                <wp:wrapNone/>
                <wp:docPr id="46" name="矩形 46"/>
                <wp:cNvGraphicFramePr/>
                <a:graphic xmlns:a="http://schemas.openxmlformats.org/drawingml/2006/main">
                  <a:graphicData uri="http://schemas.microsoft.com/office/word/2010/wordprocessingShape">
                    <wps:wsp>
                      <wps:cNvSpPr/>
                      <wps:spPr>
                        <a:xfrm>
                          <a:off x="3745865" y="2787650"/>
                          <a:ext cx="1224280" cy="15621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95pt;margin-top:147.5pt;height:12.3pt;width:96.4pt;z-index:251679744;v-text-anchor:middle;mso-width-relative:page;mso-height-relative:page;" fillcolor="#FFFFFF [3212]" filled="t" stroked="f" coordsize="21600,21600" o:gfxdata="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44/rLbAAAACwEAAA8AAAAAAAAAAQAgAAAAIgAA&#10;AGRycy9kb3ducmV2LnhtbFBLAQIUABQAAAAIAIdO4kC7LnBkdwIAANkEAAAOAAAAAAAAAAEAIAAA&#10;ACoBAABkcnMvZTJvRG9jLnhtbFBLBQYAAAAABgAGAFkBAAATBgAAAAA=&#10;">
                <v:fill on="t" focussize="0,0"/>
                <v:stroke on="f" weight="1pt" miterlimit="8" joinstyle="miter"/>
                <v:imagedata o:title=""/>
                <o:lock v:ext="edit" aspectratio="f"/>
              </v:rect>
            </w:pict>
          </mc:Fallback>
        </mc:AlternateContent>
      </w:r>
      <w:r>
        <w:rPr>
          <w:color w:val="auto"/>
        </w:rPr>
        <w:drawing>
          <wp:inline distT="0" distB="0" distL="114300" distR="114300">
            <wp:extent cx="5259070" cy="7437755"/>
            <wp:effectExtent l="0" t="0" r="17780" b="1079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10"/>
                    <a:stretch>
                      <a:fillRect/>
                    </a:stretch>
                  </pic:blipFill>
                  <pic:spPr>
                    <a:xfrm>
                      <a:off x="0" y="0"/>
                      <a:ext cx="5259070" cy="7437755"/>
                    </a:xfrm>
                    <a:prstGeom prst="rect">
                      <a:avLst/>
                    </a:prstGeom>
                    <a:noFill/>
                    <a:ln>
                      <a:noFill/>
                    </a:ln>
                  </pic:spPr>
                </pic:pic>
              </a:graphicData>
            </a:graphic>
          </wp:inline>
        </w:drawing>
      </w:r>
    </w:p>
    <w:p w14:paraId="79F1F02E">
      <w:pPr>
        <w:rPr>
          <w:rFonts w:hint="default"/>
          <w:color w:val="auto"/>
        </w:rPr>
      </w:pPr>
    </w:p>
    <w:p w14:paraId="2E26F2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sectPr>
          <w:pgSz w:w="11906" w:h="16838"/>
          <w:pgMar w:top="1440" w:right="1800" w:bottom="1440" w:left="1800" w:header="851" w:footer="992" w:gutter="0"/>
          <w:cols w:space="425" w:num="1"/>
          <w:docGrid w:type="lines" w:linePitch="312" w:charSpace="0"/>
        </w:sectPr>
      </w:pPr>
    </w:p>
    <w:p w14:paraId="0C3C67CA">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一、建设项目基本情况</w:t>
      </w:r>
    </w:p>
    <w:tbl>
      <w:tblPr>
        <w:tblStyle w:val="26"/>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2799"/>
        <w:gridCol w:w="1664"/>
        <w:gridCol w:w="3370"/>
      </w:tblGrid>
      <w:tr w14:paraId="7DB49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50562E7A">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建设项目名称</w:t>
            </w:r>
          </w:p>
        </w:tc>
        <w:tc>
          <w:tcPr>
            <w:tcW w:w="7833" w:type="dxa"/>
            <w:gridSpan w:val="3"/>
            <w:vAlign w:val="center"/>
          </w:tcPr>
          <w:p w14:paraId="14E31382">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磴口县鸿运建材有限责任公司</w:t>
            </w:r>
            <w:r>
              <w:rPr>
                <w:rFonts w:hint="default" w:ascii="Times New Roman" w:hAnsi="Times New Roman" w:eastAsia="宋体" w:cs="Times New Roman"/>
                <w:color w:val="auto"/>
                <w:sz w:val="24"/>
                <w:highlight w:val="none"/>
              </w:rPr>
              <w:t>生物质锅炉建设项目</w:t>
            </w:r>
          </w:p>
        </w:tc>
      </w:tr>
      <w:tr w14:paraId="294C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13AFE4BD">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项目代码</w:t>
            </w:r>
          </w:p>
        </w:tc>
        <w:tc>
          <w:tcPr>
            <w:tcW w:w="7833" w:type="dxa"/>
            <w:gridSpan w:val="3"/>
            <w:vAlign w:val="center"/>
          </w:tcPr>
          <w:p w14:paraId="065AA134">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r>
      <w:tr w14:paraId="59323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14DCA87F">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建设单位联系人</w:t>
            </w:r>
          </w:p>
        </w:tc>
        <w:tc>
          <w:tcPr>
            <w:tcW w:w="2799" w:type="dxa"/>
            <w:vAlign w:val="center"/>
          </w:tcPr>
          <w:p w14:paraId="71883F86">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杜建祥</w:t>
            </w:r>
          </w:p>
        </w:tc>
        <w:tc>
          <w:tcPr>
            <w:tcW w:w="1664" w:type="dxa"/>
            <w:vAlign w:val="center"/>
          </w:tcPr>
          <w:p w14:paraId="439D8848">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联系方式</w:t>
            </w:r>
          </w:p>
        </w:tc>
        <w:tc>
          <w:tcPr>
            <w:tcW w:w="3370" w:type="dxa"/>
            <w:vAlign w:val="center"/>
          </w:tcPr>
          <w:p w14:paraId="073AEB9C">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134</w:t>
            </w:r>
            <w:r>
              <w:rPr>
                <w:rFonts w:hint="eastAsia" w:ascii="Times New Roman" w:hAnsi="Times New Roman" w:eastAsia="宋体" w:cs="Times New Roman"/>
                <w:color w:val="auto"/>
                <w:sz w:val="24"/>
                <w:highlight w:val="none"/>
                <w:lang w:val="en-US" w:eastAsia="zh-CN"/>
              </w:rPr>
              <w:t>****</w:t>
            </w:r>
            <w:bookmarkStart w:id="29" w:name="_GoBack"/>
            <w:bookmarkEnd w:id="29"/>
            <w:r>
              <w:rPr>
                <w:rFonts w:hint="default" w:ascii="Times New Roman" w:hAnsi="Times New Roman" w:eastAsia="宋体" w:cs="Times New Roman"/>
                <w:color w:val="auto"/>
                <w:sz w:val="24"/>
                <w:highlight w:val="none"/>
                <w:lang w:val="en-US" w:eastAsia="zh-CN"/>
              </w:rPr>
              <w:t>7588</w:t>
            </w:r>
          </w:p>
        </w:tc>
      </w:tr>
      <w:tr w14:paraId="2E9C3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08DEDE2E">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建设地点</w:t>
            </w:r>
          </w:p>
        </w:tc>
        <w:tc>
          <w:tcPr>
            <w:tcW w:w="7833" w:type="dxa"/>
            <w:gridSpan w:val="3"/>
            <w:vAlign w:val="center"/>
          </w:tcPr>
          <w:p w14:paraId="62C7C5B4">
            <w:pPr>
              <w:jc w:val="center"/>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内蒙古自治区巴彦淖尔市</w:t>
            </w:r>
            <w:r>
              <w:rPr>
                <w:rFonts w:hint="default" w:ascii="Times New Roman" w:hAnsi="Times New Roman" w:eastAsia="宋体" w:cs="Times New Roman"/>
                <w:color w:val="auto"/>
                <w:sz w:val="24"/>
                <w:highlight w:val="none"/>
                <w:lang w:eastAsia="zh-CN"/>
              </w:rPr>
              <w:t>巴彦淖尔磴口工业园区磴口县鸿运建材有限责任公司</w:t>
            </w:r>
            <w:r>
              <w:rPr>
                <w:rFonts w:hint="default" w:ascii="Times New Roman" w:hAnsi="Times New Roman" w:eastAsia="宋体" w:cs="Times New Roman"/>
                <w:color w:val="auto"/>
                <w:sz w:val="24"/>
                <w:highlight w:val="none"/>
              </w:rPr>
              <w:t>厂区内</w:t>
            </w:r>
          </w:p>
        </w:tc>
      </w:tr>
      <w:tr w14:paraId="1A379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35184240">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地理坐标</w:t>
            </w:r>
          </w:p>
        </w:tc>
        <w:tc>
          <w:tcPr>
            <w:tcW w:w="7833" w:type="dxa"/>
            <w:gridSpan w:val="3"/>
            <w:vAlign w:val="center"/>
          </w:tcPr>
          <w:p w14:paraId="36C319A1">
            <w:pPr>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东经107°0′3.893″，北纬40°22′36.589″</w:t>
            </w:r>
          </w:p>
        </w:tc>
      </w:tr>
      <w:tr w14:paraId="3586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0B46D47B">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国民经济</w:t>
            </w:r>
          </w:p>
          <w:p w14:paraId="47D64108">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行业类别</w:t>
            </w:r>
          </w:p>
        </w:tc>
        <w:tc>
          <w:tcPr>
            <w:tcW w:w="2799" w:type="dxa"/>
            <w:vAlign w:val="center"/>
          </w:tcPr>
          <w:p w14:paraId="04633FBB">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D4430热力生产和供应业</w:t>
            </w:r>
          </w:p>
        </w:tc>
        <w:tc>
          <w:tcPr>
            <w:tcW w:w="1664" w:type="dxa"/>
            <w:vAlign w:val="center"/>
          </w:tcPr>
          <w:p w14:paraId="224FC330">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建设项目</w:t>
            </w:r>
          </w:p>
          <w:p w14:paraId="75CA7BB9">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行业类别</w:t>
            </w:r>
          </w:p>
        </w:tc>
        <w:tc>
          <w:tcPr>
            <w:tcW w:w="3370" w:type="dxa"/>
            <w:vAlign w:val="center"/>
          </w:tcPr>
          <w:p w14:paraId="5C30C0D5">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四十一、电力、热力生产和供应业--91热力生产和供应工程（包括建设单位自建自用的供热工程）--使用其他高污染燃料的</w:t>
            </w:r>
          </w:p>
        </w:tc>
      </w:tr>
      <w:tr w14:paraId="4CFA6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6E6B3E73">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建设性质</w:t>
            </w:r>
          </w:p>
        </w:tc>
        <w:tc>
          <w:tcPr>
            <w:tcW w:w="2799" w:type="dxa"/>
            <w:vAlign w:val="center"/>
          </w:tcPr>
          <w:p w14:paraId="00912775">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5"/>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新建（迁建）</w:t>
            </w:r>
          </w:p>
          <w:p w14:paraId="65573F92">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改建</w:t>
            </w:r>
          </w:p>
          <w:p w14:paraId="578EEBA7">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扩建</w:t>
            </w:r>
          </w:p>
          <w:p w14:paraId="6537AD13">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技术改造</w:t>
            </w:r>
          </w:p>
        </w:tc>
        <w:tc>
          <w:tcPr>
            <w:tcW w:w="1664" w:type="dxa"/>
            <w:vAlign w:val="center"/>
          </w:tcPr>
          <w:p w14:paraId="055CEFFA">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建设项目</w:t>
            </w:r>
          </w:p>
          <w:p w14:paraId="26CA4F94">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申报情形</w:t>
            </w:r>
          </w:p>
        </w:tc>
        <w:tc>
          <w:tcPr>
            <w:tcW w:w="3370" w:type="dxa"/>
            <w:vAlign w:val="center"/>
          </w:tcPr>
          <w:p w14:paraId="2916948D">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5"/>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首次申报项目</w:t>
            </w:r>
          </w:p>
          <w:p w14:paraId="56FAE0A8">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不予批准后再次申报项目</w:t>
            </w:r>
          </w:p>
          <w:p w14:paraId="0D9D96FB">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超五年重新审核项目</w:t>
            </w:r>
          </w:p>
          <w:p w14:paraId="30532FCC">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36"/>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重大变动重新报批项目</w:t>
            </w:r>
          </w:p>
        </w:tc>
      </w:tr>
      <w:tr w14:paraId="511A8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7F871242">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项目审批（核准/备案）部门（选填）</w:t>
            </w:r>
          </w:p>
        </w:tc>
        <w:tc>
          <w:tcPr>
            <w:tcW w:w="2799" w:type="dxa"/>
            <w:vAlign w:val="center"/>
          </w:tcPr>
          <w:p w14:paraId="384E7016">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p>
        </w:tc>
        <w:tc>
          <w:tcPr>
            <w:tcW w:w="1664" w:type="dxa"/>
            <w:vAlign w:val="center"/>
          </w:tcPr>
          <w:p w14:paraId="0A9B5E42">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项目审批（核准/备案）文号（选填）</w:t>
            </w:r>
          </w:p>
        </w:tc>
        <w:tc>
          <w:tcPr>
            <w:tcW w:w="3370" w:type="dxa"/>
            <w:vAlign w:val="center"/>
          </w:tcPr>
          <w:p w14:paraId="10E2074D">
            <w:pPr>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w:t>
            </w:r>
          </w:p>
        </w:tc>
      </w:tr>
      <w:tr w14:paraId="39314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7259444C">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总投资（万元）</w:t>
            </w:r>
          </w:p>
        </w:tc>
        <w:tc>
          <w:tcPr>
            <w:tcW w:w="2799" w:type="dxa"/>
            <w:vAlign w:val="center"/>
          </w:tcPr>
          <w:p w14:paraId="2CEB28CD">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0.00</w:t>
            </w:r>
          </w:p>
        </w:tc>
        <w:tc>
          <w:tcPr>
            <w:tcW w:w="1664" w:type="dxa"/>
            <w:vAlign w:val="center"/>
          </w:tcPr>
          <w:p w14:paraId="7662E45B">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环保投资（万元）</w:t>
            </w:r>
          </w:p>
        </w:tc>
        <w:tc>
          <w:tcPr>
            <w:tcW w:w="3370" w:type="dxa"/>
            <w:vAlign w:val="center"/>
          </w:tcPr>
          <w:p w14:paraId="3776E6DC">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17.00</w:t>
            </w:r>
          </w:p>
        </w:tc>
      </w:tr>
      <w:tr w14:paraId="3B47B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5DB89909">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环保投资占比（%）</w:t>
            </w:r>
          </w:p>
        </w:tc>
        <w:tc>
          <w:tcPr>
            <w:tcW w:w="2799" w:type="dxa"/>
            <w:vAlign w:val="center"/>
          </w:tcPr>
          <w:p w14:paraId="23DA9298">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28.33</w:t>
            </w:r>
          </w:p>
        </w:tc>
        <w:tc>
          <w:tcPr>
            <w:tcW w:w="1664" w:type="dxa"/>
            <w:vAlign w:val="center"/>
          </w:tcPr>
          <w:p w14:paraId="4D26A0F8">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施工工期</w:t>
            </w:r>
          </w:p>
        </w:tc>
        <w:tc>
          <w:tcPr>
            <w:tcW w:w="3370" w:type="dxa"/>
            <w:vAlign w:val="center"/>
          </w:tcPr>
          <w:p w14:paraId="7AA1D639">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2个月</w:t>
            </w:r>
          </w:p>
        </w:tc>
      </w:tr>
      <w:tr w14:paraId="1C2B6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48A9439D">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是否开工建设</w:t>
            </w:r>
          </w:p>
        </w:tc>
        <w:tc>
          <w:tcPr>
            <w:tcW w:w="2799" w:type="dxa"/>
            <w:vAlign w:val="center"/>
          </w:tcPr>
          <w:p w14:paraId="067B2EF3">
            <w:pPr>
              <w:spacing w:line="440" w:lineRule="exact"/>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24"/>
                <w:highlight w:val="none"/>
              </w:rPr>
              <w:instrText xml:space="preserve">□,</w:instrText>
            </w:r>
            <w:r>
              <w:rPr>
                <w:rFonts w:hint="default" w:ascii="Times New Roman" w:hAnsi="Times New Roman" w:eastAsia="宋体" w:cs="Times New Roman"/>
                <w:b/>
                <w:color w:val="auto"/>
                <w:position w:val="-1"/>
                <w:sz w:val="24"/>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否</w:t>
            </w:r>
          </w:p>
          <w:p w14:paraId="3E282863">
            <w:pPr>
              <w:spacing w:line="440" w:lineRule="exact"/>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color w:val="auto"/>
                <w:sz w:val="24"/>
                <w:highlight w:val="none"/>
              </w:rPr>
              <w:fldChar w:fldCharType="begin"/>
            </w:r>
            <w:r>
              <w:rPr>
                <w:rFonts w:hint="default" w:ascii="Times New Roman" w:hAnsi="Times New Roman" w:eastAsia="宋体" w:cs="Times New Roman"/>
                <w:b/>
                <w:color w:val="auto"/>
                <w:sz w:val="24"/>
                <w:highlight w:val="none"/>
              </w:rPr>
              <w:instrText xml:space="preserve"> eq \o\ac(</w:instrText>
            </w:r>
            <w:r>
              <w:rPr>
                <w:rFonts w:hint="default" w:ascii="Times New Roman" w:hAnsi="Times New Roman" w:eastAsia="宋体" w:cs="Times New Roman"/>
                <w:b/>
                <w:color w:val="auto"/>
                <w:position w:val="-4"/>
                <w:sz w:val="24"/>
                <w:highlight w:val="none"/>
              </w:rPr>
              <w:instrText xml:space="preserve">□</w:instrText>
            </w:r>
            <w:r>
              <w:rPr>
                <w:rFonts w:hint="default" w:ascii="Times New Roman" w:hAnsi="Times New Roman" w:eastAsia="宋体" w:cs="Times New Roman"/>
                <w:b/>
                <w:color w:val="auto"/>
                <w:sz w:val="24"/>
                <w:highlight w:val="none"/>
              </w:rPr>
              <w:instrText xml:space="preserve">)</w:instrText>
            </w:r>
            <w:r>
              <w:rPr>
                <w:rFonts w:hint="default" w:ascii="Times New Roman" w:hAnsi="Times New Roman" w:eastAsia="宋体" w:cs="Times New Roman"/>
                <w:b/>
                <w:color w:val="auto"/>
                <w:sz w:val="24"/>
                <w:highlight w:val="none"/>
              </w:rPr>
              <w:fldChar w:fldCharType="end"/>
            </w:r>
            <w:r>
              <w:rPr>
                <w:rFonts w:hint="default" w:ascii="Times New Roman" w:hAnsi="Times New Roman" w:eastAsia="宋体" w:cs="Times New Roman"/>
                <w:color w:val="auto"/>
                <w:sz w:val="24"/>
                <w:highlight w:val="none"/>
              </w:rPr>
              <w:t>是：</w:t>
            </w:r>
          </w:p>
        </w:tc>
        <w:tc>
          <w:tcPr>
            <w:tcW w:w="1664" w:type="dxa"/>
            <w:vAlign w:val="center"/>
          </w:tcPr>
          <w:p w14:paraId="058D15BA">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用地（用海）面积（m</w:t>
            </w:r>
            <w:r>
              <w:rPr>
                <w:rFonts w:hint="default" w:ascii="Times New Roman" w:hAnsi="Times New Roman" w:eastAsia="宋体" w:cs="Times New Roman"/>
                <w:b/>
                <w:bCs/>
                <w:color w:val="auto"/>
                <w:sz w:val="24"/>
                <w:highlight w:val="none"/>
                <w:vertAlign w:val="superscript"/>
              </w:rPr>
              <w:t>2</w:t>
            </w:r>
            <w:r>
              <w:rPr>
                <w:rFonts w:hint="default" w:ascii="Times New Roman" w:hAnsi="Times New Roman" w:eastAsia="宋体" w:cs="Times New Roman"/>
                <w:b/>
                <w:bCs/>
                <w:color w:val="auto"/>
                <w:sz w:val="24"/>
                <w:highlight w:val="none"/>
              </w:rPr>
              <w:t>）</w:t>
            </w:r>
          </w:p>
        </w:tc>
        <w:tc>
          <w:tcPr>
            <w:tcW w:w="3370" w:type="dxa"/>
            <w:vAlign w:val="center"/>
          </w:tcPr>
          <w:p w14:paraId="1A621C91">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不新增占地</w:t>
            </w:r>
          </w:p>
        </w:tc>
      </w:tr>
      <w:tr w14:paraId="24B74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502D9C6B">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专项评价设置情况</w:t>
            </w:r>
          </w:p>
        </w:tc>
        <w:tc>
          <w:tcPr>
            <w:tcW w:w="7833" w:type="dxa"/>
            <w:gridSpan w:val="3"/>
            <w:vAlign w:val="center"/>
          </w:tcPr>
          <w:p w14:paraId="5BB2E2F4">
            <w:pPr>
              <w:keepNext w:val="0"/>
              <w:keepLines w:val="0"/>
              <w:suppressLineNumbers w:val="0"/>
              <w:shd w:val="clear"/>
              <w:spacing w:before="0" w:beforeAutospacing="0" w:after="0" w:afterAutospacing="0" w:line="360" w:lineRule="auto"/>
              <w:ind w:left="0" w:right="0"/>
              <w:jc w:val="center"/>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t>表</w:t>
            </w:r>
            <w:r>
              <w:rPr>
                <w:rFonts w:hint="default" w:ascii="Times New Roman" w:hAnsi="Times New Roman" w:eastAsia="宋体" w:cs="Times New Roman"/>
                <w:b/>
                <w:bCs/>
                <w:color w:val="auto"/>
                <w:sz w:val="24"/>
                <w:szCs w:val="24"/>
                <w:highlight w:val="none"/>
                <w:vertAlign w:val="baseline"/>
                <w:lang w:val="en-US" w:eastAsia="zh-CN"/>
              </w:rPr>
              <w:t>1-</w:t>
            </w:r>
            <w:r>
              <w:rPr>
                <w:rFonts w:hint="default" w:ascii="Times New Roman" w:hAnsi="Times New Roman" w:eastAsia="宋体" w:cs="Times New Roman"/>
                <w:b/>
                <w:bCs/>
                <w:color w:val="auto"/>
                <w:sz w:val="24"/>
                <w:szCs w:val="24"/>
                <w:highlight w:val="none"/>
                <w:vertAlign w:val="baseline"/>
                <w:lang w:eastAsia="zh-CN"/>
              </w:rPr>
              <w:t>1</w:t>
            </w:r>
            <w:r>
              <w:rPr>
                <w:rFonts w:hint="default" w:ascii="Times New Roman" w:hAnsi="Times New Roman" w:eastAsia="宋体" w:cs="Times New Roman"/>
                <w:b/>
                <w:bCs/>
                <w:color w:val="auto"/>
                <w:sz w:val="24"/>
                <w:szCs w:val="24"/>
                <w:highlight w:val="none"/>
                <w:vertAlign w:val="baseline"/>
                <w:lang w:val="en-US" w:eastAsia="zh-CN"/>
              </w:rPr>
              <w:t xml:space="preserve">  </w:t>
            </w:r>
            <w:r>
              <w:rPr>
                <w:rFonts w:hint="default" w:ascii="Times New Roman" w:hAnsi="Times New Roman" w:eastAsia="宋体" w:cs="Times New Roman"/>
                <w:b/>
                <w:bCs/>
                <w:color w:val="auto"/>
                <w:sz w:val="24"/>
                <w:szCs w:val="24"/>
                <w:highlight w:val="none"/>
                <w:vertAlign w:val="baseline"/>
                <w:lang w:eastAsia="zh-CN"/>
              </w:rPr>
              <w:t>专项评价设置原则</w:t>
            </w:r>
            <w:r>
              <w:rPr>
                <w:rFonts w:hint="default" w:ascii="Times New Roman" w:hAnsi="Times New Roman" w:eastAsia="宋体" w:cs="Times New Roman"/>
                <w:b/>
                <w:bCs/>
                <w:color w:val="auto"/>
                <w:sz w:val="24"/>
                <w:szCs w:val="24"/>
                <w:highlight w:val="none"/>
                <w:vertAlign w:val="baseline"/>
                <w:lang w:val="en-US" w:eastAsia="zh-CN"/>
              </w:rPr>
              <w:t>对照</w:t>
            </w:r>
            <w:r>
              <w:rPr>
                <w:rFonts w:hint="default" w:ascii="Times New Roman" w:hAnsi="Times New Roman" w:eastAsia="宋体" w:cs="Times New Roman"/>
                <w:b/>
                <w:bCs/>
                <w:color w:val="auto"/>
                <w:sz w:val="24"/>
                <w:szCs w:val="24"/>
                <w:highlight w:val="none"/>
                <w:vertAlign w:val="baseline"/>
                <w:lang w:eastAsia="zh-CN"/>
              </w:rPr>
              <w:t>表</w:t>
            </w:r>
          </w:p>
          <w:tbl>
            <w:tblPr>
              <w:tblStyle w:val="26"/>
              <w:tblW w:w="75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2408"/>
              <w:gridCol w:w="2408"/>
              <w:gridCol w:w="2007"/>
            </w:tblGrid>
            <w:tr w14:paraId="00E15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top"/>
                </w:tcPr>
                <w:p w14:paraId="3AC953F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类别</w:t>
                  </w:r>
                </w:p>
              </w:tc>
              <w:tc>
                <w:tcPr>
                  <w:tcW w:w="1904" w:type="dxa"/>
                  <w:vAlign w:val="top"/>
                </w:tcPr>
                <w:p w14:paraId="37ABCBB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设置原则</w:t>
                  </w:r>
                </w:p>
              </w:tc>
              <w:tc>
                <w:tcPr>
                  <w:tcW w:w="1904" w:type="dxa"/>
                  <w:vAlign w:val="top"/>
                </w:tcPr>
                <w:p w14:paraId="3FFAA8BA">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本项目建设情况</w:t>
                  </w:r>
                </w:p>
              </w:tc>
              <w:tc>
                <w:tcPr>
                  <w:tcW w:w="1587" w:type="dxa"/>
                  <w:vAlign w:val="top"/>
                </w:tcPr>
                <w:p w14:paraId="2FF2699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是否设置专项评价</w:t>
                  </w:r>
                </w:p>
              </w:tc>
            </w:tr>
            <w:tr w14:paraId="215E4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6068DB3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大气</w:t>
                  </w:r>
                </w:p>
              </w:tc>
              <w:tc>
                <w:tcPr>
                  <w:tcW w:w="1904" w:type="dxa"/>
                  <w:vAlign w:val="center"/>
                </w:tcPr>
                <w:p w14:paraId="567F46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排放废气含有毒有害污染物、二噁英、苯并[a]芘、氰化物、氯气且厂界外500米范围内有环境空气保护目标的建设项目</w:t>
                  </w:r>
                </w:p>
              </w:tc>
              <w:tc>
                <w:tcPr>
                  <w:tcW w:w="1904" w:type="dxa"/>
                  <w:vAlign w:val="center"/>
                </w:tcPr>
                <w:p w14:paraId="385B1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本项目生产期排放的废气主要为颗粒物、SO</w:t>
                  </w:r>
                  <w:r>
                    <w:rPr>
                      <w:rFonts w:hint="default" w:ascii="Times New Roman" w:hAnsi="Times New Roman" w:eastAsia="宋体" w:cs="Times New Roman"/>
                      <w:b w:val="0"/>
                      <w:bCs w:val="0"/>
                      <w:color w:val="auto"/>
                      <w:sz w:val="21"/>
                      <w:szCs w:val="21"/>
                      <w:highlight w:val="none"/>
                      <w:vertAlign w:val="subscript"/>
                      <w:lang w:val="en-US" w:eastAsia="zh-CN"/>
                    </w:rPr>
                    <w:t>2</w:t>
                  </w:r>
                  <w:r>
                    <w:rPr>
                      <w:rFonts w:hint="default" w:ascii="Times New Roman" w:hAnsi="Times New Roman" w:eastAsia="宋体" w:cs="Times New Roman"/>
                      <w:b w:val="0"/>
                      <w:bCs w:val="0"/>
                      <w:color w:val="auto"/>
                      <w:sz w:val="21"/>
                      <w:szCs w:val="21"/>
                      <w:highlight w:val="none"/>
                      <w:vertAlign w:val="baseline"/>
                      <w:lang w:val="en-US" w:eastAsia="zh-CN"/>
                    </w:rPr>
                    <w:t>、NOx、汞及其化合物、烟气黑度，无有毒有害污染物排放。</w:t>
                  </w:r>
                </w:p>
              </w:tc>
              <w:tc>
                <w:tcPr>
                  <w:tcW w:w="1587" w:type="dxa"/>
                  <w:vAlign w:val="center"/>
                </w:tcPr>
                <w:p w14:paraId="099B79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不设置大气专项评价</w:t>
                  </w:r>
                </w:p>
              </w:tc>
            </w:tr>
            <w:tr w14:paraId="77DE8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05F8E1F1">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地表水</w:t>
                  </w:r>
                </w:p>
              </w:tc>
              <w:tc>
                <w:tcPr>
                  <w:tcW w:w="1904" w:type="dxa"/>
                  <w:vAlign w:val="center"/>
                </w:tcPr>
                <w:p w14:paraId="7F76BE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新增工业废水直排建设项目（槽罐车外送污水处理厂的除外）；新增废水直排的污水集中处理厂</w:t>
                  </w:r>
                </w:p>
              </w:tc>
              <w:tc>
                <w:tcPr>
                  <w:tcW w:w="1904" w:type="dxa"/>
                  <w:vAlign w:val="center"/>
                </w:tcPr>
                <w:p w14:paraId="2E2E76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lang w:val="en-US" w:eastAsia="zh-CN"/>
                    </w:rPr>
                    <w:t>本项目锅炉定期排污水和软水制备废水均用于厂区运输道路和物料堆场降尘洒水，不外排，对周围水环境无影响。</w:t>
                  </w:r>
                </w:p>
              </w:tc>
              <w:tc>
                <w:tcPr>
                  <w:tcW w:w="1587" w:type="dxa"/>
                  <w:vAlign w:val="center"/>
                </w:tcPr>
                <w:p w14:paraId="70940B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地表水</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r w14:paraId="6908E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1E5AFEF5">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环境风险</w:t>
                  </w:r>
                </w:p>
              </w:tc>
              <w:tc>
                <w:tcPr>
                  <w:tcW w:w="1904" w:type="dxa"/>
                  <w:vAlign w:val="center"/>
                </w:tcPr>
                <w:p w14:paraId="324358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有毒有害和易燃易爆危险物质存储量超过临界量的建设项目</w:t>
                  </w:r>
                </w:p>
              </w:tc>
              <w:tc>
                <w:tcPr>
                  <w:tcW w:w="1904" w:type="dxa"/>
                  <w:vAlign w:val="center"/>
                </w:tcPr>
                <w:p w14:paraId="4D22AE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本项目</w:t>
                  </w:r>
                  <w:r>
                    <w:rPr>
                      <w:rFonts w:hint="default" w:ascii="Times New Roman" w:hAnsi="Times New Roman" w:eastAsia="宋体" w:cs="Times New Roman"/>
                      <w:b w:val="0"/>
                      <w:bCs w:val="0"/>
                      <w:color w:val="auto"/>
                      <w:sz w:val="21"/>
                      <w:szCs w:val="21"/>
                      <w:highlight w:val="none"/>
                      <w:vertAlign w:val="baseline"/>
                      <w:lang w:val="en-US" w:eastAsia="zh-CN"/>
                    </w:rPr>
                    <w:t>生产过程中</w:t>
                  </w:r>
                  <w:r>
                    <w:rPr>
                      <w:rFonts w:hint="default" w:ascii="Times New Roman" w:hAnsi="Times New Roman" w:eastAsia="宋体" w:cs="Times New Roman"/>
                      <w:b w:val="0"/>
                      <w:bCs w:val="0"/>
                      <w:color w:val="auto"/>
                      <w:sz w:val="21"/>
                      <w:szCs w:val="21"/>
                      <w:highlight w:val="none"/>
                      <w:vertAlign w:val="baseline"/>
                      <w:lang w:eastAsia="zh-CN"/>
                    </w:rPr>
                    <w:t>涉及</w:t>
                  </w:r>
                  <w:r>
                    <w:rPr>
                      <w:rFonts w:hint="default" w:ascii="Times New Roman" w:hAnsi="Times New Roman" w:eastAsia="宋体" w:cs="Times New Roman"/>
                      <w:b w:val="0"/>
                      <w:bCs w:val="0"/>
                      <w:color w:val="auto"/>
                      <w:sz w:val="21"/>
                      <w:szCs w:val="21"/>
                      <w:highlight w:val="none"/>
                      <w:vertAlign w:val="baseline"/>
                      <w:lang w:val="en-US" w:eastAsia="zh-CN"/>
                    </w:rPr>
                    <w:t>的</w:t>
                  </w:r>
                  <w:r>
                    <w:rPr>
                      <w:rFonts w:hint="default" w:ascii="Times New Roman" w:hAnsi="Times New Roman" w:eastAsia="宋体" w:cs="Times New Roman"/>
                      <w:b w:val="0"/>
                      <w:bCs w:val="0"/>
                      <w:color w:val="auto"/>
                      <w:sz w:val="21"/>
                      <w:szCs w:val="21"/>
                      <w:highlight w:val="none"/>
                      <w:vertAlign w:val="baseline"/>
                      <w:lang w:eastAsia="zh-CN"/>
                    </w:rPr>
                    <w:t>有毒有害和易燃易爆危险物质</w:t>
                  </w:r>
                  <w:r>
                    <w:rPr>
                      <w:rFonts w:hint="default" w:ascii="Times New Roman" w:hAnsi="Times New Roman" w:eastAsia="宋体" w:cs="Times New Roman"/>
                      <w:b w:val="0"/>
                      <w:bCs w:val="0"/>
                      <w:color w:val="auto"/>
                      <w:sz w:val="21"/>
                      <w:szCs w:val="21"/>
                      <w:highlight w:val="none"/>
                      <w:vertAlign w:val="baseline"/>
                      <w:lang w:val="en-US" w:eastAsia="zh-CN"/>
                    </w:rPr>
                    <w:t>总量未超过临界量。</w:t>
                  </w:r>
                </w:p>
              </w:tc>
              <w:tc>
                <w:tcPr>
                  <w:tcW w:w="1587" w:type="dxa"/>
                  <w:vAlign w:val="center"/>
                </w:tcPr>
                <w:p w14:paraId="7FE564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环境风险</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r w14:paraId="03AA8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1A7B5CA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生态</w:t>
                  </w:r>
                </w:p>
              </w:tc>
              <w:tc>
                <w:tcPr>
                  <w:tcW w:w="1904" w:type="dxa"/>
                  <w:vAlign w:val="center"/>
                </w:tcPr>
                <w:p w14:paraId="2C0327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取水口下游500米范围内有重要水生生物的自然产卵场、索饵场、越冬场和洄游通道的新增河道取水的污染类建设项目</w:t>
                  </w:r>
                </w:p>
              </w:tc>
              <w:tc>
                <w:tcPr>
                  <w:tcW w:w="1904" w:type="dxa"/>
                  <w:vAlign w:val="center"/>
                </w:tcPr>
                <w:p w14:paraId="63485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本项目不涉及</w:t>
                  </w:r>
                  <w:r>
                    <w:rPr>
                      <w:rFonts w:hint="default" w:ascii="Times New Roman" w:hAnsi="Times New Roman" w:eastAsia="宋体" w:cs="Times New Roman"/>
                      <w:b w:val="0"/>
                      <w:bCs w:val="0"/>
                      <w:color w:val="auto"/>
                      <w:sz w:val="21"/>
                      <w:szCs w:val="21"/>
                      <w:highlight w:val="none"/>
                      <w:vertAlign w:val="baseline"/>
                      <w:lang w:eastAsia="zh-CN"/>
                    </w:rPr>
                    <w:t>取水口。</w:t>
                  </w:r>
                </w:p>
              </w:tc>
              <w:tc>
                <w:tcPr>
                  <w:tcW w:w="1587" w:type="dxa"/>
                  <w:vAlign w:val="center"/>
                </w:tcPr>
                <w:p w14:paraId="294E3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生态</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r w14:paraId="170A7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Align w:val="center"/>
                </w:tcPr>
                <w:p w14:paraId="17025DB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海洋</w:t>
                  </w:r>
                </w:p>
              </w:tc>
              <w:tc>
                <w:tcPr>
                  <w:tcW w:w="1904" w:type="dxa"/>
                  <w:vAlign w:val="center"/>
                </w:tcPr>
                <w:p w14:paraId="665059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直接向海排放污染物的海洋工程建设项目</w:t>
                  </w:r>
                </w:p>
              </w:tc>
              <w:tc>
                <w:tcPr>
                  <w:tcW w:w="1904" w:type="dxa"/>
                  <w:vAlign w:val="center"/>
                </w:tcPr>
                <w:p w14:paraId="04F220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0" w:firstLineChars="20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本项目不属于海洋工程建设项目，不直接向海排放污染物。</w:t>
                  </w:r>
                </w:p>
              </w:tc>
              <w:tc>
                <w:tcPr>
                  <w:tcW w:w="1587" w:type="dxa"/>
                  <w:vAlign w:val="center"/>
                </w:tcPr>
                <w:p w14:paraId="215803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不设置</w:t>
                  </w:r>
                  <w:r>
                    <w:rPr>
                      <w:rFonts w:hint="default" w:ascii="Times New Roman" w:hAnsi="Times New Roman" w:eastAsia="宋体" w:cs="Times New Roman"/>
                      <w:b w:val="0"/>
                      <w:bCs w:val="0"/>
                      <w:color w:val="auto"/>
                      <w:sz w:val="21"/>
                      <w:szCs w:val="21"/>
                      <w:highlight w:val="none"/>
                      <w:vertAlign w:val="baseline"/>
                      <w:lang w:eastAsia="zh-CN"/>
                    </w:rPr>
                    <w:t>海洋</w:t>
                  </w:r>
                  <w:r>
                    <w:rPr>
                      <w:rFonts w:hint="default" w:ascii="Times New Roman" w:hAnsi="Times New Roman" w:eastAsia="宋体" w:cs="Times New Roman"/>
                      <w:b w:val="0"/>
                      <w:bCs w:val="0"/>
                      <w:color w:val="auto"/>
                      <w:sz w:val="21"/>
                      <w:szCs w:val="21"/>
                      <w:highlight w:val="none"/>
                      <w:vertAlign w:val="baseline"/>
                      <w:lang w:val="en-US" w:eastAsia="zh-CN"/>
                    </w:rPr>
                    <w:t>专项评价</w:t>
                  </w:r>
                </w:p>
              </w:tc>
            </w:tr>
          </w:tbl>
          <w:p w14:paraId="39AA21C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sz w:val="24"/>
                <w:szCs w:val="24"/>
                <w:highlight w:val="none"/>
                <w:vertAlign w:val="baseline"/>
                <w:lang w:val="en-US" w:eastAsia="zh-CN"/>
              </w:rPr>
              <w:t>综上</w:t>
            </w:r>
            <w:r>
              <w:rPr>
                <w:rFonts w:hint="default" w:ascii="Times New Roman" w:hAnsi="Times New Roman" w:eastAsia="宋体" w:cs="Times New Roman"/>
                <w:b w:val="0"/>
                <w:bCs w:val="0"/>
                <w:color w:val="auto"/>
                <w:sz w:val="24"/>
                <w:szCs w:val="24"/>
                <w:highlight w:val="none"/>
                <w:vertAlign w:val="baseline"/>
                <w:lang w:eastAsia="zh-CN"/>
              </w:rPr>
              <w:t>，本项目不</w:t>
            </w:r>
            <w:r>
              <w:rPr>
                <w:rFonts w:hint="default" w:ascii="Times New Roman" w:hAnsi="Times New Roman" w:eastAsia="宋体" w:cs="Times New Roman"/>
                <w:b w:val="0"/>
                <w:bCs w:val="0"/>
                <w:color w:val="auto"/>
                <w:sz w:val="24"/>
                <w:szCs w:val="24"/>
                <w:highlight w:val="none"/>
                <w:vertAlign w:val="baseline"/>
                <w:lang w:val="en-US" w:eastAsia="zh-CN"/>
              </w:rPr>
              <w:t>设置</w:t>
            </w:r>
            <w:r>
              <w:rPr>
                <w:rFonts w:hint="default" w:ascii="Times New Roman" w:hAnsi="Times New Roman" w:eastAsia="宋体" w:cs="Times New Roman"/>
                <w:b w:val="0"/>
                <w:bCs w:val="0"/>
                <w:color w:val="auto"/>
                <w:sz w:val="24"/>
                <w:szCs w:val="24"/>
                <w:highlight w:val="none"/>
                <w:vertAlign w:val="baseline"/>
                <w:lang w:eastAsia="zh-CN"/>
              </w:rPr>
              <w:t>专项评价。</w:t>
            </w:r>
          </w:p>
        </w:tc>
      </w:tr>
      <w:tr w14:paraId="435FD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3FB49F39">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规划情况</w:t>
            </w:r>
          </w:p>
        </w:tc>
        <w:tc>
          <w:tcPr>
            <w:tcW w:w="7833" w:type="dxa"/>
            <w:gridSpan w:val="3"/>
            <w:shd w:val="clear" w:color="auto" w:fill="auto"/>
            <w:vAlign w:val="center"/>
          </w:tcPr>
          <w:p w14:paraId="554386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规划</w:t>
            </w:r>
            <w:r>
              <w:rPr>
                <w:rFonts w:hint="default" w:ascii="Times New Roman" w:hAnsi="Times New Roman" w:eastAsia="宋体" w:cs="Times New Roman"/>
                <w:color w:val="auto"/>
                <w:sz w:val="24"/>
                <w:szCs w:val="24"/>
                <w:highlight w:val="none"/>
                <w:lang w:val="en-US" w:eastAsia="zh-CN"/>
              </w:rPr>
              <w:t>名称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《内蒙古磴口工业园区总体规划（2013-2025）》</w:t>
            </w:r>
            <w:r>
              <w:rPr>
                <w:rFonts w:hint="default" w:ascii="Times New Roman" w:hAnsi="Times New Roman" w:eastAsia="宋体" w:cs="Times New Roman"/>
                <w:color w:val="auto"/>
                <w:sz w:val="24"/>
                <w:szCs w:val="24"/>
                <w:highlight w:val="none"/>
                <w:lang w:eastAsia="zh-CN"/>
              </w:rPr>
              <w:t>；</w:t>
            </w:r>
          </w:p>
          <w:p w14:paraId="28C714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编制单位：巴彦淖尔市规划设计院；</w:t>
            </w:r>
          </w:p>
          <w:p w14:paraId="532BD1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规划批复：</w:t>
            </w:r>
            <w:r>
              <w:rPr>
                <w:rFonts w:hint="default" w:ascii="Times New Roman" w:hAnsi="Times New Roman" w:eastAsia="宋体" w:cs="Times New Roman"/>
                <w:color w:val="auto"/>
                <w:sz w:val="24"/>
                <w:szCs w:val="24"/>
                <w:highlight w:val="none"/>
              </w:rPr>
              <w:t>由</w:t>
            </w:r>
            <w:r>
              <w:rPr>
                <w:rFonts w:hint="default" w:ascii="Times New Roman" w:hAnsi="Times New Roman" w:eastAsia="宋体" w:cs="Times New Roman"/>
                <w:color w:val="auto"/>
                <w:sz w:val="24"/>
                <w:szCs w:val="24"/>
                <w:highlight w:val="none"/>
                <w:lang w:eastAsia="zh-CN"/>
              </w:rPr>
              <w:t>内蒙古自治区住房和城乡</w:t>
            </w:r>
            <w:r>
              <w:rPr>
                <w:rFonts w:hint="default" w:ascii="Times New Roman" w:hAnsi="Times New Roman" w:eastAsia="宋体" w:cs="Times New Roman"/>
                <w:color w:val="auto"/>
                <w:sz w:val="24"/>
                <w:szCs w:val="24"/>
                <w:highlight w:val="none"/>
              </w:rPr>
              <w:t>建设厅批准实施</w:t>
            </w:r>
            <w:r>
              <w:rPr>
                <w:rFonts w:hint="default" w:ascii="Times New Roman" w:hAnsi="Times New Roman" w:eastAsia="宋体" w:cs="Times New Roman"/>
                <w:color w:val="auto"/>
                <w:sz w:val="24"/>
                <w:szCs w:val="24"/>
                <w:highlight w:val="none"/>
                <w:lang w:eastAsia="zh-CN"/>
              </w:rPr>
              <w:t>，批准文号为</w:t>
            </w:r>
            <w:r>
              <w:rPr>
                <w:rFonts w:hint="default" w:ascii="Times New Roman" w:hAnsi="Times New Roman" w:eastAsia="宋体" w:cs="Times New Roman"/>
                <w:color w:val="auto"/>
                <w:sz w:val="24"/>
                <w:szCs w:val="24"/>
                <w:highlight w:val="none"/>
              </w:rPr>
              <w:t>（内建规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2009</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444号）</w:t>
            </w:r>
            <w:r>
              <w:rPr>
                <w:rFonts w:hint="default" w:ascii="Times New Roman" w:hAnsi="Times New Roman" w:eastAsia="宋体" w:cs="Times New Roman"/>
                <w:color w:val="auto"/>
                <w:sz w:val="24"/>
                <w:szCs w:val="24"/>
                <w:highlight w:val="none"/>
                <w:lang w:eastAsia="zh-CN"/>
              </w:rPr>
              <w:t>。</w:t>
            </w:r>
          </w:p>
        </w:tc>
      </w:tr>
      <w:tr w14:paraId="3B5C1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1B4F4F9F">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规划环境影响评价情况</w:t>
            </w:r>
          </w:p>
        </w:tc>
        <w:tc>
          <w:tcPr>
            <w:tcW w:w="7833" w:type="dxa"/>
            <w:gridSpan w:val="3"/>
            <w:shd w:val="clear" w:color="auto" w:fill="auto"/>
            <w:vAlign w:val="center"/>
          </w:tcPr>
          <w:p w14:paraId="3906922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规划环评：《内蒙古磴口工业园区总体规划（2013-2025）环境影响报告书》；</w:t>
            </w:r>
          </w:p>
          <w:p w14:paraId="3027374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规划环评批复：内蒙古自治区环境保护厅关于《内蒙古磴口工业园区总体规划（2013-2025）环境影响报告书》的审查意见，批复文号为</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内环字〔2014〕78号</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p>
          <w:p w14:paraId="7129683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eastAsia="zh-CN"/>
              </w:rPr>
              <w:t>批复时间：2014年7月7日。</w:t>
            </w:r>
          </w:p>
        </w:tc>
      </w:tr>
      <w:tr w14:paraId="54CFF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5067066E">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规划及规划环境影响评价符合性分析</w:t>
            </w:r>
          </w:p>
        </w:tc>
        <w:tc>
          <w:tcPr>
            <w:tcW w:w="7833" w:type="dxa"/>
            <w:gridSpan w:val="3"/>
            <w:vAlign w:val="center"/>
          </w:tcPr>
          <w:p w14:paraId="3990C3AB">
            <w:pPr>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1、本项目与园区规划符合性分析：</w:t>
            </w:r>
          </w:p>
          <w:p w14:paraId="372EDFF2">
            <w:pPr>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磴口工业园区规划控制区由A、B两区组成。A区规划用地范围为东至临乌高速公路和包兰铁路，西至穿沙公路以西4.0km，南至利民街，北至巴哈公路拐点南150m，用地面积为93.79km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；B区位于110国道以西、工业路以北，面积2.18km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。磴口工业园区规划控制区总面积95.97km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。园区的发展趋势是“一园两区，促进A区快速发展”。“两区”是指丹拉高速东西两侧的A、B两个产业集聚园区。</w:t>
            </w:r>
            <w:r>
              <w:rPr>
                <w:rFonts w:hint="default" w:ascii="Times New Roman" w:hAnsi="Times New Roman" w:eastAsia="宋体" w:cs="Times New Roman"/>
                <w:bCs/>
                <w:color w:val="auto"/>
                <w:sz w:val="24"/>
                <w:szCs w:val="24"/>
                <w:highlight w:val="none"/>
              </w:rPr>
              <w:t>“A区”产业集聚园区位于丹拉高速以西，作为磴口县工业园区发展的核心区，主要包括生活服务区及以下五个产业集群：机械制造、清洁能源产业集群、化工产业集群、物流综合服务产业集中区、煤炭物流产业群。“B区”产业集聚园区位于丹拉高速以东，以现状农畜产品加工企业为主。园区功能分区见图1。</w:t>
            </w:r>
          </w:p>
          <w:p w14:paraId="274C5E05">
            <w:pPr>
              <w:keepNext w:val="0"/>
              <w:keepLines w:val="0"/>
              <w:pageBreakBefore w:val="0"/>
              <w:widowControl w:val="0"/>
              <w:kinsoku/>
              <w:wordWrap/>
              <w:overflowPunct/>
              <w:topLinePunct w:val="0"/>
              <w:autoSpaceDE/>
              <w:autoSpaceDN/>
              <w:bidi w:val="0"/>
              <w:adjustRightInd/>
              <w:snapToGrid/>
              <w:spacing w:after="157" w:afterLines="50" w:line="240" w:lineRule="auto"/>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mc:AlternateContent>
                <mc:Choice Requires="wps">
                  <w:drawing>
                    <wp:anchor distT="0" distB="0" distL="114300" distR="114300" simplePos="0" relativeHeight="251660288" behindDoc="0" locked="0" layoutInCell="1" allowOverlap="1">
                      <wp:simplePos x="0" y="0"/>
                      <wp:positionH relativeFrom="column">
                        <wp:posOffset>1980565</wp:posOffset>
                      </wp:positionH>
                      <wp:positionV relativeFrom="paragraph">
                        <wp:posOffset>2009140</wp:posOffset>
                      </wp:positionV>
                      <wp:extent cx="1160145" cy="252730"/>
                      <wp:effectExtent l="4445" t="761365" r="187960" b="14605"/>
                      <wp:wrapNone/>
                      <wp:docPr id="39" name="矩形标注 39"/>
                      <wp:cNvGraphicFramePr/>
                      <a:graphic xmlns:a="http://schemas.openxmlformats.org/drawingml/2006/main">
                        <a:graphicData uri="http://schemas.microsoft.com/office/word/2010/wordprocessingShape">
                          <wps:wsp>
                            <wps:cNvSpPr/>
                            <wps:spPr>
                              <a:xfrm>
                                <a:off x="0" y="0"/>
                                <a:ext cx="1160145" cy="252730"/>
                              </a:xfrm>
                              <a:prstGeom prst="wedgeRectCallout">
                                <a:avLst>
                                  <a:gd name="adj1" fmla="val 64343"/>
                                  <a:gd name="adj2" fmla="val -339694"/>
                                </a:avLst>
                              </a:prstGeom>
                              <a:solidFill>
                                <a:srgbClr val="FFFFFF"/>
                              </a:solidFill>
                              <a:ln w="9525" cap="flat" cmpd="sng">
                                <a:solidFill>
                                  <a:srgbClr val="000000"/>
                                </a:solidFill>
                                <a:prstDash val="solid"/>
                                <a:miter/>
                                <a:headEnd type="none" w="med" len="med"/>
                                <a:tailEnd type="none" w="med" len="med"/>
                              </a:ln>
                            </wps:spPr>
                            <wps:txbx>
                              <w:txbxContent>
                                <w:p w14:paraId="2AF77335">
                                  <w:pPr>
                                    <w:jc w:val="center"/>
                                  </w:pPr>
                                  <w:r>
                                    <w:rPr>
                                      <w:rFonts w:hint="eastAsia"/>
                                    </w:rPr>
                                    <w:t>项目所在区域</w:t>
                                  </w:r>
                                </w:p>
                              </w:txbxContent>
                            </wps:txbx>
                            <wps:bodyPr upright="1"/>
                          </wps:wsp>
                        </a:graphicData>
                      </a:graphic>
                    </wp:anchor>
                  </w:drawing>
                </mc:Choice>
                <mc:Fallback>
                  <w:pict>
                    <v:shape id="_x0000_s1026" o:spid="_x0000_s1026" o:spt="61" type="#_x0000_t61" style="position:absolute;left:0pt;margin-left:155.95pt;margin-top:158.2pt;height:19.9pt;width:91.35pt;z-index:251660288;mso-width-relative:page;mso-height-relative:page;" fillcolor="#FFFFFF" filled="t" stroked="t" coordsize="21600,21600" o:gfxdata="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JwmHx9gAAAALAQAADwAAAAAAAAABACAAAAAiAAAAZHJzL2Rv&#10;d25yZXYueG1sUEsBAhQAFAAAAAgAh07iQAO98sw6AgAAkAQAAA4AAAAAAAAAAQAgAAAAJwEAAGRy&#10;cy9lMm9Eb2MueG1sUEsFBgAAAAAGAAYAWQEAANMFAAAAAA==&#10;" adj="24698,-62574">
                      <v:fill on="t" focussize="0,0"/>
                      <v:stroke color="#000000" joinstyle="miter"/>
                      <v:imagedata o:title=""/>
                      <o:lock v:ext="edit" aspectratio="f"/>
                      <v:textbox>
                        <w:txbxContent>
                          <w:p w14:paraId="2AF77335">
                            <w:pPr>
                              <w:jc w:val="center"/>
                            </w:pPr>
                            <w:r>
                              <w:rPr>
                                <w:rFonts w:hint="eastAsia"/>
                              </w:rPr>
                              <w:t>项目所在区域</w:t>
                            </w:r>
                          </w:p>
                        </w:txbxContent>
                      </v:textbox>
                    </v:shape>
                  </w:pict>
                </mc:Fallback>
              </mc:AlternateContent>
            </w:r>
            <w:r>
              <w:rPr>
                <w:rFonts w:hint="default" w:ascii="Times New Roman" w:hAnsi="Times New Roman" w:eastAsia="宋体" w:cs="Times New Roman"/>
                <w:color w:val="auto"/>
                <w:sz w:val="24"/>
                <w:szCs w:val="24"/>
                <w:highlight w:val="none"/>
              </w:rPr>
              <w:drawing>
                <wp:inline distT="0" distB="0" distL="114300" distR="114300">
                  <wp:extent cx="4751705" cy="3403600"/>
                  <wp:effectExtent l="0" t="0" r="10795" b="6350"/>
                  <wp:docPr id="38" name="图片 6" descr="微信截图_202108101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descr="微信截图_20210810145928"/>
                          <pic:cNvPicPr>
                            <a:picLocks noChangeAspect="1"/>
                          </pic:cNvPicPr>
                        </pic:nvPicPr>
                        <pic:blipFill>
                          <a:blip r:embed="rId11"/>
                          <a:stretch>
                            <a:fillRect/>
                          </a:stretch>
                        </pic:blipFill>
                        <pic:spPr>
                          <a:xfrm>
                            <a:off x="0" y="0"/>
                            <a:ext cx="4751705" cy="3403600"/>
                          </a:xfrm>
                          <a:prstGeom prst="rect">
                            <a:avLst/>
                          </a:prstGeom>
                          <a:noFill/>
                          <a:ln>
                            <a:noFill/>
                          </a:ln>
                        </pic:spPr>
                      </pic:pic>
                    </a:graphicData>
                  </a:graphic>
                </wp:inline>
              </w:drawing>
            </w:r>
          </w:p>
          <w:p w14:paraId="4529F8F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
                <w:bCs/>
                <w:color w:val="auto"/>
                <w:sz w:val="24"/>
                <w:szCs w:val="24"/>
                <w:highlight w:val="none"/>
              </w:rPr>
              <w:t>图1</w:t>
            </w:r>
            <w:r>
              <w:rPr>
                <w:rFonts w:hint="default" w:ascii="Times New Roman" w:hAnsi="Times New Roman" w:eastAsia="宋体" w:cs="Times New Roman"/>
                <w:b/>
                <w:bCs/>
                <w:color w:val="auto"/>
                <w:sz w:val="24"/>
                <w:szCs w:val="24"/>
                <w:highlight w:val="none"/>
                <w:lang w:val="en-US" w:eastAsia="zh-CN"/>
              </w:rPr>
              <w:t xml:space="preserve">-1  </w:t>
            </w:r>
            <w:r>
              <w:rPr>
                <w:rFonts w:hint="default" w:ascii="Times New Roman" w:hAnsi="Times New Roman" w:eastAsia="宋体" w:cs="Times New Roman"/>
                <w:b/>
                <w:bCs/>
                <w:color w:val="auto"/>
                <w:sz w:val="24"/>
                <w:szCs w:val="24"/>
                <w:highlight w:val="none"/>
              </w:rPr>
              <w:t>园区总体结构功能规划图</w:t>
            </w:r>
          </w:p>
          <w:p w14:paraId="47EC81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根据内蒙古自治区工业和信息化厅于2024年3月1日发布的〈关于印发实施《内蒙古自治区工业园区审核公告目录》的通知〉（内工信园区字〔2024〕87 号），各盟市结合发展实际对工业园区主导产业进行调整和完善，内蒙古磴口工业园区调整后名称为巴彦淖尔磴口工业园区，主导产业为农畜产品加工、新材料、化工。</w:t>
            </w:r>
          </w:p>
          <w:p w14:paraId="0E7B9B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rPr>
              <w:t>2011年10月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磴口县鸿运建材有限责任公司</w:t>
            </w:r>
            <w:r>
              <w:rPr>
                <w:rFonts w:hint="default"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rPr>
              <w:t>巴彦淖尔磴口工业园区</w:t>
            </w:r>
            <w:r>
              <w:rPr>
                <w:rFonts w:hint="default" w:ascii="Times New Roman" w:hAnsi="Times New Roman" w:eastAsia="宋体" w:cs="Times New Roman"/>
                <w:color w:val="auto"/>
                <w:sz w:val="24"/>
                <w:szCs w:val="24"/>
                <w:highlight w:val="none"/>
                <w:lang w:val="en-US" w:eastAsia="zh-CN"/>
              </w:rPr>
              <w:t>内建设年产20万m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加气混凝土砌块生产线项目，取得了磴口县环境保护局出具的《审批意见》（巴环审表〔2011〕128号）。行业类别为砖瓦、石材等建筑材料制造，厂区用地性质为工业用地，符合园区用地规划；产品为加气混凝土砌块，属于新材料，符合园区产业定位。</w:t>
            </w:r>
          </w:p>
          <w:p w14:paraId="436274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val="en-US" w:eastAsia="zh-CN"/>
              </w:rPr>
              <w:t>选址于</w:t>
            </w:r>
            <w:r>
              <w:rPr>
                <w:rFonts w:hint="default" w:ascii="Times New Roman" w:hAnsi="Times New Roman" w:eastAsia="宋体" w:cs="Times New Roman"/>
                <w:color w:val="auto"/>
                <w:sz w:val="24"/>
                <w:szCs w:val="24"/>
                <w:highlight w:val="none"/>
              </w:rPr>
              <w:t>磴口县鸿运建材有限责任公司</w:t>
            </w:r>
            <w:r>
              <w:rPr>
                <w:rFonts w:hint="default" w:ascii="Times New Roman" w:hAnsi="Times New Roman" w:eastAsia="宋体" w:cs="Times New Roman"/>
                <w:color w:val="auto"/>
                <w:sz w:val="24"/>
                <w:szCs w:val="24"/>
                <w:highlight w:val="none"/>
                <w:lang w:val="en-US" w:eastAsia="zh-CN"/>
              </w:rPr>
              <w:t>厂区内，</w:t>
            </w:r>
            <w:r>
              <w:rPr>
                <w:rFonts w:hint="default" w:ascii="Times New Roman" w:hAnsi="Times New Roman" w:eastAsia="宋体" w:cs="Times New Roman"/>
                <w:color w:val="auto"/>
                <w:sz w:val="24"/>
                <w:szCs w:val="24"/>
                <w:highlight w:val="none"/>
              </w:rPr>
              <w:t>新建1台10t/h生物质蒸汽锅炉，</w:t>
            </w:r>
            <w:r>
              <w:rPr>
                <w:rFonts w:hint="default" w:ascii="Times New Roman" w:hAnsi="Times New Roman" w:eastAsia="宋体" w:cs="Times New Roman"/>
                <w:color w:val="auto"/>
                <w:sz w:val="24"/>
                <w:szCs w:val="24"/>
                <w:highlight w:val="none"/>
                <w:lang w:val="en-US" w:eastAsia="zh-CN"/>
              </w:rPr>
              <w:t>主要</w:t>
            </w:r>
            <w:r>
              <w:rPr>
                <w:rFonts w:hint="default" w:ascii="Times New Roman" w:hAnsi="Times New Roman" w:eastAsia="宋体" w:cs="Times New Roman"/>
                <w:color w:val="auto"/>
                <w:sz w:val="24"/>
                <w:szCs w:val="24"/>
                <w:highlight w:val="none"/>
              </w:rPr>
              <w:t>为厂区现有加气混凝土砌块生产线提供蒸汽</w:t>
            </w:r>
            <w:r>
              <w:rPr>
                <w:rFonts w:hint="default" w:ascii="Times New Roman" w:hAnsi="Times New Roman" w:eastAsia="宋体" w:cs="Times New Roman"/>
                <w:color w:val="auto"/>
                <w:sz w:val="24"/>
                <w:szCs w:val="24"/>
                <w:highlight w:val="none"/>
                <w:lang w:eastAsia="zh-CN"/>
              </w:rPr>
              <w:t>，属于厂区</w:t>
            </w:r>
            <w:r>
              <w:rPr>
                <w:rFonts w:hint="default" w:ascii="Times New Roman" w:hAnsi="Times New Roman" w:eastAsia="宋体" w:cs="Times New Roman"/>
                <w:color w:val="auto"/>
                <w:sz w:val="24"/>
                <w:highlight w:val="none"/>
                <w:lang w:val="en-US" w:eastAsia="zh-CN"/>
              </w:rPr>
              <w:t>现有项目</w:t>
            </w:r>
            <w:r>
              <w:rPr>
                <w:rFonts w:hint="eastAsia" w:ascii="Times New Roman" w:hAnsi="Times New Roman" w:eastAsia="宋体" w:cs="Times New Roman"/>
                <w:color w:val="auto"/>
                <w:sz w:val="24"/>
                <w:szCs w:val="24"/>
                <w:highlight w:val="none"/>
                <w:lang w:val="en-US" w:eastAsia="zh-CN"/>
              </w:rPr>
              <w:t>配套的</w:t>
            </w:r>
            <w:r>
              <w:rPr>
                <w:rFonts w:hint="default" w:ascii="Times New Roman" w:hAnsi="Times New Roman" w:eastAsia="宋体" w:cs="Times New Roman"/>
                <w:color w:val="auto"/>
                <w:sz w:val="24"/>
                <w:szCs w:val="24"/>
                <w:highlight w:val="none"/>
                <w:lang w:eastAsia="zh-CN"/>
              </w:rPr>
              <w:t>公辅工程，因此，本项目也符合内蒙古磴口工业园区总体规划。</w:t>
            </w:r>
          </w:p>
          <w:p w14:paraId="459C661F">
            <w:pPr>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2、本项目与规划环境影响评价审查意见符合性分析：</w:t>
            </w:r>
          </w:p>
          <w:p w14:paraId="4F538A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园区应根据区域水资源、环境资源的支撑情况，在满足环境保护相关要求的前提下，重点发展绿色农畜产品加工、电力产业，适度发展化工产业、建材和装备制造产业，配套发展仓储物流；加强园区固体废物管理，一般固体废物要立足综合利用，危险废物应集中送有资质的单位处理处置。</w:t>
            </w:r>
          </w:p>
          <w:p w14:paraId="6A0F4A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szCs w:val="24"/>
                <w:highlight w:val="none"/>
                <w:lang w:val="en-US" w:eastAsia="zh-CN"/>
              </w:rPr>
              <w:t>厂区</w:t>
            </w:r>
            <w:r>
              <w:rPr>
                <w:rFonts w:hint="default" w:ascii="Times New Roman" w:hAnsi="Times New Roman" w:eastAsia="宋体" w:cs="Times New Roman"/>
                <w:color w:val="auto"/>
                <w:sz w:val="24"/>
                <w:szCs w:val="24"/>
                <w:highlight w:val="none"/>
                <w:lang w:val="en-US" w:eastAsia="zh-CN"/>
              </w:rPr>
              <w:t>现有项目利用园区电厂产生的粉煤灰进行生产</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产品为加气混凝土砌块，属于新材料，符合园区产业定位。</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属于厂区</w:t>
            </w:r>
            <w:r>
              <w:rPr>
                <w:rFonts w:hint="default" w:ascii="Times New Roman" w:hAnsi="Times New Roman" w:eastAsia="宋体" w:cs="Times New Roman"/>
                <w:color w:val="auto"/>
                <w:sz w:val="24"/>
                <w:highlight w:val="none"/>
                <w:lang w:val="en-US" w:eastAsia="zh-CN"/>
              </w:rPr>
              <w:t>现有项目</w:t>
            </w:r>
            <w:r>
              <w:rPr>
                <w:rFonts w:hint="eastAsia" w:ascii="Times New Roman" w:hAnsi="Times New Roman" w:eastAsia="宋体" w:cs="Times New Roman"/>
                <w:color w:val="auto"/>
                <w:sz w:val="24"/>
                <w:szCs w:val="24"/>
                <w:highlight w:val="none"/>
                <w:lang w:val="en-US" w:eastAsia="zh-CN"/>
              </w:rPr>
              <w:t>配套的</w:t>
            </w:r>
            <w:r>
              <w:rPr>
                <w:rFonts w:hint="default" w:ascii="Times New Roman" w:hAnsi="Times New Roman" w:eastAsia="宋体" w:cs="Times New Roman"/>
                <w:color w:val="auto"/>
                <w:sz w:val="24"/>
                <w:szCs w:val="24"/>
                <w:highlight w:val="none"/>
                <w:lang w:eastAsia="zh-CN"/>
              </w:rPr>
              <w:t>公辅工程，因此，本项目也符合内蒙古磴口工业园区总体规划。</w:t>
            </w:r>
            <w:r>
              <w:rPr>
                <w:rFonts w:hint="eastAsia" w:ascii="Times New Roman" w:hAnsi="Times New Roman" w:eastAsia="宋体" w:cs="Times New Roman"/>
                <w:color w:val="auto"/>
                <w:sz w:val="24"/>
                <w:szCs w:val="24"/>
                <w:highlight w:val="none"/>
                <w:lang w:val="en-US" w:eastAsia="zh-CN"/>
              </w:rPr>
              <w:t>本项目生物质锅炉产生的炉渣和</w:t>
            </w:r>
            <w:r>
              <w:rPr>
                <w:rFonts w:hint="default" w:ascii="Times New Roman" w:hAnsi="Times New Roman" w:eastAsia="宋体" w:cs="Times New Roman"/>
                <w:color w:val="auto"/>
                <w:sz w:val="24"/>
                <w:szCs w:val="24"/>
                <w:highlight w:val="none"/>
                <w:lang w:eastAsia="zh-CN"/>
              </w:rPr>
              <w:t>除尘灰，作为原料回用于厂区现有加气混凝土砌块生产线</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立足于固废综合利用</w:t>
            </w:r>
            <w:r>
              <w:rPr>
                <w:rFonts w:hint="default" w:ascii="Times New Roman" w:hAnsi="Times New Roman" w:eastAsia="宋体" w:cs="Times New Roman"/>
                <w:color w:val="auto"/>
                <w:sz w:val="24"/>
                <w:highlight w:val="none"/>
              </w:rPr>
              <w:t>，符合规划环境影响评价审查意见中的相关要求。</w:t>
            </w:r>
          </w:p>
        </w:tc>
      </w:tr>
      <w:tr w14:paraId="65633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63" w:type="dxa"/>
            <w:vAlign w:val="center"/>
          </w:tcPr>
          <w:p w14:paraId="1ABC2977">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其他符合性分析</w:t>
            </w:r>
          </w:p>
        </w:tc>
        <w:tc>
          <w:tcPr>
            <w:tcW w:w="7833" w:type="dxa"/>
            <w:gridSpan w:val="3"/>
            <w:vAlign w:val="center"/>
          </w:tcPr>
          <w:p w14:paraId="55496E4A">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1、产业政策符合性</w:t>
            </w:r>
          </w:p>
          <w:p w14:paraId="0E0FA30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建设</w:t>
            </w:r>
            <w:r>
              <w:rPr>
                <w:rFonts w:hint="default" w:ascii="Times New Roman" w:hAnsi="Times New Roman" w:eastAsia="宋体" w:cs="Times New Roman"/>
                <w:color w:val="auto"/>
                <w:sz w:val="24"/>
                <w:highlight w:val="none"/>
                <w:lang w:val="en-US" w:eastAsia="zh-CN"/>
              </w:rPr>
              <w:t>1台</w:t>
            </w:r>
            <w:r>
              <w:rPr>
                <w:rFonts w:hint="default" w:ascii="Times New Roman" w:hAnsi="Times New Roman" w:eastAsia="宋体" w:cs="Times New Roman"/>
                <w:color w:val="auto"/>
                <w:sz w:val="24"/>
                <w:highlight w:val="none"/>
              </w:rPr>
              <w:t>生物质</w:t>
            </w:r>
            <w:r>
              <w:rPr>
                <w:rFonts w:hint="default" w:ascii="Times New Roman" w:hAnsi="Times New Roman" w:eastAsia="宋体" w:cs="Times New Roman"/>
                <w:color w:val="auto"/>
                <w:sz w:val="24"/>
                <w:highlight w:val="none"/>
                <w:lang w:val="en-US" w:eastAsia="zh-CN"/>
              </w:rPr>
              <w:t>蒸汽</w:t>
            </w:r>
            <w:r>
              <w:rPr>
                <w:rFonts w:hint="default" w:ascii="Times New Roman" w:hAnsi="Times New Roman" w:eastAsia="宋体" w:cs="Times New Roman"/>
                <w:color w:val="auto"/>
                <w:sz w:val="24"/>
                <w:highlight w:val="none"/>
              </w:rPr>
              <w:t>锅炉</w:t>
            </w:r>
            <w:r>
              <w:rPr>
                <w:rFonts w:hint="default" w:ascii="Times New Roman" w:hAnsi="Times New Roman" w:eastAsia="宋体" w:cs="Times New Roman"/>
                <w:color w:val="auto"/>
                <w:sz w:val="24"/>
                <w:highlight w:val="none"/>
                <w:lang w:eastAsia="zh-CN"/>
              </w:rPr>
              <w:t>，属于热力生产和供应业</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eastAsia="zh-CN"/>
              </w:rPr>
              <w:t>根据</w:t>
            </w:r>
            <w:r>
              <w:rPr>
                <w:rFonts w:hint="default" w:ascii="Times New Roman" w:hAnsi="Times New Roman" w:eastAsia="宋体" w:cs="Times New Roman"/>
                <w:color w:val="auto"/>
                <w:sz w:val="24"/>
                <w:highlight w:val="none"/>
              </w:rPr>
              <w:t>《产业结构调整指导目录（20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年本）》（国家发展和改革委员会令第29号）</w:t>
            </w:r>
            <w:r>
              <w:rPr>
                <w:rFonts w:hint="default" w:ascii="Times New Roman" w:hAnsi="Times New Roman" w:eastAsia="宋体" w:cs="Times New Roman"/>
                <w:color w:val="auto"/>
                <w:sz w:val="24"/>
                <w:highlight w:val="none"/>
                <w:lang w:eastAsia="zh-CN"/>
              </w:rPr>
              <w:t>可知，本项目</w:t>
            </w:r>
            <w:r>
              <w:rPr>
                <w:rFonts w:hint="default" w:ascii="Times New Roman" w:hAnsi="Times New Roman" w:eastAsia="宋体" w:cs="Times New Roman"/>
                <w:color w:val="auto"/>
                <w:kern w:val="0"/>
                <w:sz w:val="24"/>
                <w:highlight w:val="none"/>
              </w:rPr>
              <w:t>不属于</w:t>
            </w:r>
            <w:r>
              <w:rPr>
                <w:rFonts w:hint="default" w:ascii="Times New Roman" w:hAnsi="Times New Roman" w:eastAsia="宋体" w:cs="Times New Roman"/>
                <w:color w:val="auto"/>
                <w:sz w:val="24"/>
                <w:highlight w:val="none"/>
                <w:lang w:eastAsia="zh-CN"/>
              </w:rPr>
              <w:t>鼓励类、</w:t>
            </w:r>
            <w:r>
              <w:rPr>
                <w:rFonts w:hint="default" w:ascii="Times New Roman" w:hAnsi="Times New Roman" w:eastAsia="宋体" w:cs="Times New Roman"/>
                <w:color w:val="auto"/>
                <w:sz w:val="24"/>
                <w:highlight w:val="none"/>
              </w:rPr>
              <w:t>限制类、淘汰类，故属于国家政策允许建设的项目。</w:t>
            </w:r>
          </w:p>
          <w:p w14:paraId="2EDC37C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2、建设项目选址合理性</w:t>
            </w:r>
          </w:p>
          <w:p w14:paraId="3F0A9C5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本项目位于</w:t>
            </w:r>
            <w:r>
              <w:rPr>
                <w:rFonts w:hint="default" w:ascii="Times New Roman" w:hAnsi="Times New Roman" w:eastAsia="宋体" w:cs="Times New Roman"/>
                <w:color w:val="auto"/>
                <w:sz w:val="24"/>
                <w:szCs w:val="24"/>
                <w:highlight w:val="none"/>
              </w:rPr>
              <w:t>巴彦淖尔磴口工业园区</w:t>
            </w:r>
            <w:r>
              <w:rPr>
                <w:rFonts w:hint="default" w:ascii="Times New Roman" w:hAnsi="Times New Roman" w:eastAsia="宋体" w:cs="Times New Roman"/>
                <w:color w:val="auto"/>
                <w:sz w:val="24"/>
                <w:highlight w:val="none"/>
                <w:lang w:eastAsia="zh-CN"/>
              </w:rPr>
              <w:t>磴口县鸿运建材有限责任公司</w:t>
            </w:r>
            <w:r>
              <w:rPr>
                <w:rFonts w:hint="default" w:ascii="Times New Roman" w:hAnsi="Times New Roman" w:eastAsia="宋体" w:cs="Times New Roman"/>
                <w:color w:val="auto"/>
                <w:sz w:val="24"/>
                <w:highlight w:val="none"/>
              </w:rPr>
              <w:t>现有厂区内，</w:t>
            </w:r>
            <w:r>
              <w:rPr>
                <w:rFonts w:hint="default" w:ascii="Times New Roman" w:hAnsi="Times New Roman" w:eastAsia="宋体" w:cs="Times New Roman"/>
                <w:color w:val="auto"/>
                <w:sz w:val="24"/>
                <w:highlight w:val="none"/>
                <w:lang w:val="en-US" w:eastAsia="zh-CN"/>
              </w:rPr>
              <w:t>不新增占地；本项目属于厂区现有项目</w:t>
            </w:r>
            <w:r>
              <w:rPr>
                <w:rFonts w:hint="eastAsia" w:ascii="Times New Roman" w:hAnsi="Times New Roman" w:eastAsia="宋体" w:cs="Times New Roman"/>
                <w:color w:val="auto"/>
                <w:sz w:val="24"/>
                <w:szCs w:val="24"/>
                <w:highlight w:val="none"/>
                <w:lang w:val="en-US" w:eastAsia="zh-CN"/>
              </w:rPr>
              <w:t>配套的</w:t>
            </w:r>
            <w:r>
              <w:rPr>
                <w:rFonts w:hint="default" w:ascii="Times New Roman" w:hAnsi="Times New Roman" w:eastAsia="宋体" w:cs="Times New Roman"/>
                <w:color w:val="auto"/>
                <w:sz w:val="24"/>
                <w:highlight w:val="none"/>
                <w:lang w:val="en-US" w:eastAsia="zh-CN"/>
              </w:rPr>
              <w:t>公辅工程，</w:t>
            </w:r>
            <w:r>
              <w:rPr>
                <w:rFonts w:hint="default" w:ascii="Times New Roman" w:hAnsi="Times New Roman" w:eastAsia="宋体" w:cs="Times New Roman"/>
                <w:color w:val="auto"/>
                <w:sz w:val="24"/>
                <w:highlight w:val="none"/>
              </w:rPr>
              <w:t>符合内蒙古磴口工业园区总体规划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厂区周边无准水源保护地、饮用水源保护区、风景名胜区、自然保护区、文物古迹、学校、医院、行政办公区等敏感点。</w:t>
            </w:r>
          </w:p>
          <w:p w14:paraId="633D2E37">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本项目锅炉房位于厂区南侧，锅炉房南侧为生物质燃料库和灰渣库；</w:t>
            </w:r>
            <w:r>
              <w:rPr>
                <w:rFonts w:hint="default" w:ascii="Times New Roman" w:hAnsi="Times New Roman" w:eastAsia="宋体" w:cs="Times New Roman"/>
                <w:color w:val="auto"/>
                <w:sz w:val="24"/>
                <w:highlight w:val="none"/>
                <w:lang w:val="en-US" w:eastAsia="zh-CN"/>
              </w:rPr>
              <w:t>项目东侧</w:t>
            </w:r>
            <w:r>
              <w:rPr>
                <w:rFonts w:hint="eastAsia" w:ascii="Times New Roman" w:hAnsi="Times New Roman" w:eastAsia="宋体" w:cs="Times New Roman"/>
                <w:color w:val="auto"/>
                <w:sz w:val="24"/>
                <w:highlight w:val="none"/>
                <w:lang w:val="en-US" w:eastAsia="zh-CN"/>
              </w:rPr>
              <w:t>紧邻</w:t>
            </w:r>
            <w:r>
              <w:rPr>
                <w:rFonts w:hint="default" w:ascii="Times New Roman" w:hAnsi="Times New Roman" w:eastAsia="宋体" w:cs="Times New Roman"/>
                <w:color w:val="auto"/>
                <w:sz w:val="24"/>
                <w:highlight w:val="none"/>
                <w:lang w:val="en-US" w:eastAsia="zh-CN"/>
              </w:rPr>
              <w:t>蒸汽养护</w:t>
            </w:r>
            <w:r>
              <w:rPr>
                <w:rFonts w:hint="eastAsia" w:ascii="Times New Roman" w:hAnsi="Times New Roman" w:eastAsia="宋体" w:cs="Times New Roman"/>
                <w:color w:val="auto"/>
                <w:sz w:val="24"/>
                <w:highlight w:val="none"/>
                <w:lang w:val="en-US" w:eastAsia="zh-CN"/>
              </w:rPr>
              <w:t>工段，便于为产品</w:t>
            </w:r>
            <w:r>
              <w:rPr>
                <w:rFonts w:hint="default" w:ascii="Times New Roman" w:hAnsi="Times New Roman" w:eastAsia="宋体" w:cs="Times New Roman"/>
                <w:color w:val="auto"/>
                <w:sz w:val="24"/>
                <w:highlight w:val="none"/>
                <w:lang w:val="en-US" w:eastAsia="zh-CN"/>
              </w:rPr>
              <w:t>养护</w:t>
            </w:r>
            <w:r>
              <w:rPr>
                <w:rFonts w:hint="eastAsia" w:ascii="Times New Roman" w:hAnsi="Times New Roman" w:eastAsia="宋体" w:cs="Times New Roman"/>
                <w:color w:val="auto"/>
                <w:sz w:val="24"/>
                <w:highlight w:val="none"/>
                <w:lang w:val="en-US" w:eastAsia="zh-CN"/>
              </w:rPr>
              <w:t>提供</w:t>
            </w:r>
            <w:r>
              <w:rPr>
                <w:rFonts w:hint="default" w:ascii="Times New Roman" w:hAnsi="Times New Roman" w:eastAsia="宋体" w:cs="Times New Roman"/>
                <w:color w:val="auto"/>
                <w:sz w:val="24"/>
                <w:highlight w:val="none"/>
                <w:lang w:val="en-US" w:eastAsia="zh-CN"/>
              </w:rPr>
              <w:t>蒸汽</w:t>
            </w:r>
            <w:r>
              <w:rPr>
                <w:rFonts w:hint="eastAsia" w:ascii="Times New Roman" w:hAnsi="Times New Roman" w:eastAsia="宋体" w:cs="Times New Roman"/>
                <w:color w:val="auto"/>
                <w:sz w:val="24"/>
                <w:highlight w:val="none"/>
                <w:lang w:val="en-US" w:eastAsia="zh-CN"/>
              </w:rPr>
              <w:t>，距离短，蒸汽能量损耗小，节能效果好</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厂区内供水、供电设施齐全，现有公用工程依托条件较好</w:t>
            </w:r>
            <w:r>
              <w:rPr>
                <w:rFonts w:hint="default" w:ascii="Times New Roman" w:hAnsi="Times New Roman" w:eastAsia="宋体" w:cs="Times New Roman"/>
                <w:color w:val="auto"/>
                <w:sz w:val="24"/>
                <w:highlight w:val="none"/>
                <w:lang w:eastAsia="zh-CN"/>
              </w:rPr>
              <w:t>。</w:t>
            </w:r>
          </w:p>
          <w:p w14:paraId="3AE9375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本项目运营期废气经处理后均可达标排放；本项目锅炉定期排污水和软水制备废水均</w:t>
            </w:r>
            <w:r>
              <w:rPr>
                <w:rFonts w:hint="default" w:ascii="Times New Roman" w:hAnsi="Times New Roman" w:eastAsia="宋体" w:cs="Times New Roman"/>
                <w:color w:val="auto"/>
                <w:sz w:val="24"/>
                <w:highlight w:val="none"/>
                <w:lang w:eastAsia="zh-CN"/>
              </w:rPr>
              <w:t>用于厂区运输道路和物料堆场降尘洒水</w:t>
            </w:r>
            <w:r>
              <w:rPr>
                <w:rFonts w:hint="default" w:ascii="Times New Roman" w:hAnsi="Times New Roman" w:eastAsia="宋体" w:cs="Times New Roman"/>
                <w:color w:val="auto"/>
                <w:sz w:val="24"/>
                <w:highlight w:val="none"/>
              </w:rPr>
              <w:t>、不外排，对周围水环境无影响；噪声对周围声环境影响较小；固废全部妥善处置；对周围环境影响较小。</w:t>
            </w:r>
          </w:p>
          <w:p w14:paraId="1D786AC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GB"/>
              </w:rPr>
              <w:t>综上所述，</w:t>
            </w:r>
            <w:r>
              <w:rPr>
                <w:rFonts w:hint="default" w:ascii="Times New Roman" w:hAnsi="Times New Roman" w:eastAsia="宋体" w:cs="Times New Roman"/>
                <w:color w:val="auto"/>
                <w:sz w:val="24"/>
                <w:highlight w:val="none"/>
              </w:rPr>
              <w:t>本项目选址较为合理。</w:t>
            </w:r>
          </w:p>
          <w:p w14:paraId="54257F2E">
            <w:pPr>
              <w:spacing w:line="360" w:lineRule="auto"/>
              <w:ind w:firstLine="482" w:firstLineChars="200"/>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3、与巴彦淖尔市生态环境分区管控符合性分析</w:t>
            </w:r>
          </w:p>
          <w:p w14:paraId="474EA33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（1）生态保护红线</w:t>
            </w:r>
          </w:p>
          <w:p w14:paraId="09CAD31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14:paraId="6C6A816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本项目位于</w:t>
            </w:r>
            <w:r>
              <w:rPr>
                <w:rFonts w:hint="default" w:ascii="Times New Roman" w:hAnsi="Times New Roman" w:eastAsia="宋体" w:cs="Times New Roman"/>
                <w:color w:val="auto"/>
                <w:sz w:val="24"/>
                <w:highlight w:val="none"/>
                <w:lang w:eastAsia="zh-CN"/>
              </w:rPr>
              <w:t>巴彦淖尔磴口工业园区磴口县鸿运建材有限责任公司</w:t>
            </w:r>
            <w:r>
              <w:rPr>
                <w:rFonts w:hint="default" w:ascii="Times New Roman" w:hAnsi="Times New Roman" w:eastAsia="宋体" w:cs="Times New Roman"/>
                <w:color w:val="auto"/>
                <w:sz w:val="24"/>
                <w:highlight w:val="none"/>
              </w:rPr>
              <w:t>厂区内，不在自然保护区、风景名胜区、集中式饮用水水源地保护区等需要保护的区域内，因此不涉及生态保护红线。</w:t>
            </w:r>
          </w:p>
          <w:p w14:paraId="7E1FD58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（2）环境质量底线</w:t>
            </w:r>
          </w:p>
          <w:p w14:paraId="1BA3904D">
            <w:pPr>
              <w:keepNext w:val="0"/>
              <w:keepLines w:val="0"/>
              <w:pageBreakBefore w:val="0"/>
              <w:widowControl w:val="0"/>
              <w:kinsoku/>
              <w:wordWrap/>
              <w:overflowPunct/>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根据巴彦淖尔市生态环境局于202</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月发布的《巴彦淖尔市环境质量状况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kern w:val="0"/>
                <w:sz w:val="24"/>
                <w:szCs w:val="24"/>
                <w:highlight w:val="none"/>
                <w:lang w:eastAsia="zh-CN"/>
              </w:rPr>
              <w:t>，本项目所在地巴彦淖尔市磴口县</w:t>
            </w:r>
            <w:r>
              <w:rPr>
                <w:rFonts w:hint="default" w:ascii="Times New Roman" w:hAnsi="Times New Roman" w:eastAsia="宋体" w:cs="Times New Roman"/>
                <w:color w:val="auto"/>
                <w:kern w:val="0"/>
                <w:sz w:val="24"/>
                <w:szCs w:val="24"/>
                <w:highlight w:val="none"/>
                <w:lang w:val="en-US" w:eastAsia="zh-CN"/>
              </w:rPr>
              <w:t>202</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年大气环境中6项</w:t>
            </w:r>
            <w:r>
              <w:rPr>
                <w:rFonts w:hint="default" w:ascii="Times New Roman" w:hAnsi="Times New Roman" w:eastAsia="宋体" w:cs="Times New Roman"/>
                <w:color w:val="auto"/>
                <w:kern w:val="0"/>
                <w:sz w:val="24"/>
                <w:szCs w:val="24"/>
                <w:highlight w:val="none"/>
              </w:rPr>
              <w:t>污染物</w:t>
            </w:r>
            <w:r>
              <w:rPr>
                <w:rFonts w:hint="default" w:ascii="Times New Roman" w:hAnsi="Times New Roman" w:eastAsia="宋体" w:cs="Times New Roman"/>
                <w:color w:val="auto"/>
                <w:kern w:val="0"/>
                <w:sz w:val="24"/>
                <w:szCs w:val="24"/>
                <w:highlight w:val="none"/>
                <w:lang w:eastAsia="zh-CN"/>
              </w:rPr>
              <w:t>中</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均满足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由此可判断</w:t>
            </w:r>
            <w:r>
              <w:rPr>
                <w:rFonts w:hint="default" w:ascii="Times New Roman" w:hAnsi="Times New Roman" w:eastAsia="宋体" w:cs="Times New Roman"/>
                <w:color w:val="auto"/>
                <w:kern w:val="0"/>
                <w:sz w:val="24"/>
                <w:szCs w:val="24"/>
                <w:highlight w:val="none"/>
                <w:lang w:eastAsia="zh-CN"/>
              </w:rPr>
              <w:t>磴口县为</w:t>
            </w:r>
            <w:r>
              <w:rPr>
                <w:rFonts w:hint="default" w:ascii="Times New Roman" w:hAnsi="Times New Roman" w:eastAsia="宋体" w:cs="Times New Roman"/>
                <w:color w:val="auto"/>
                <w:kern w:val="0"/>
                <w:sz w:val="24"/>
                <w:szCs w:val="24"/>
                <w:highlight w:val="none"/>
              </w:rPr>
              <w:t>达标区</w:t>
            </w:r>
            <w:r>
              <w:rPr>
                <w:rFonts w:hint="default" w:ascii="Times New Roman" w:hAnsi="Times New Roman" w:eastAsia="宋体" w:cs="Times New Roman"/>
                <w:color w:val="auto"/>
                <w:kern w:val="0"/>
                <w:sz w:val="24"/>
                <w:szCs w:val="24"/>
                <w:highlight w:val="none"/>
                <w:lang w:eastAsia="zh-CN"/>
              </w:rPr>
              <w:t>；根据</w:t>
            </w:r>
            <w:r>
              <w:rPr>
                <w:rFonts w:hint="default" w:ascii="Times New Roman" w:hAnsi="Times New Roman" w:eastAsia="宋体" w:cs="Times New Roman"/>
                <w:color w:val="auto"/>
                <w:sz w:val="24"/>
                <w:highlight w:val="none"/>
              </w:rPr>
              <w:t>特征因子</w:t>
            </w:r>
            <w:r>
              <w:rPr>
                <w:rFonts w:hint="default" w:ascii="Times New Roman" w:hAnsi="Times New Roman" w:eastAsia="宋体" w:cs="Times New Roman"/>
                <w:color w:val="auto"/>
                <w:kern w:val="0"/>
                <w:sz w:val="24"/>
                <w:szCs w:val="24"/>
                <w:highlight w:val="none"/>
                <w:lang w:eastAsia="zh-CN"/>
              </w:rPr>
              <w:t>监测数据可知，</w:t>
            </w:r>
            <w:r>
              <w:rPr>
                <w:rFonts w:hint="default" w:ascii="Times New Roman" w:hAnsi="Times New Roman" w:eastAsia="宋体" w:cs="Times New Roman"/>
                <w:color w:val="auto"/>
                <w:kern w:val="0"/>
                <w:sz w:val="24"/>
                <w:szCs w:val="24"/>
                <w:highlight w:val="none"/>
                <w:lang w:val="en-US" w:eastAsia="zh-CN"/>
              </w:rPr>
              <w:t>TSP</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sz w:val="24"/>
                <w:highlight w:val="none"/>
              </w:rPr>
              <w:t>。</w:t>
            </w:r>
          </w:p>
          <w:p w14:paraId="67674588">
            <w:pPr>
              <w:keepNext w:val="0"/>
              <w:keepLines w:val="0"/>
              <w:pageBreakBefore w:val="0"/>
              <w:widowControl w:val="0"/>
              <w:kinsoku/>
              <w:wordWrap/>
              <w:overflowPunct/>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本项目运营期废气经处理后均可达标排放；本项目锅炉定期排污水和软水制备废水均</w:t>
            </w:r>
            <w:r>
              <w:rPr>
                <w:rFonts w:hint="default" w:ascii="Times New Roman" w:hAnsi="Times New Roman" w:eastAsia="宋体" w:cs="Times New Roman"/>
                <w:color w:val="auto"/>
                <w:sz w:val="24"/>
                <w:highlight w:val="none"/>
                <w:lang w:eastAsia="zh-CN"/>
              </w:rPr>
              <w:t>用于厂区运输道路和物料堆场降尘洒水，</w:t>
            </w:r>
            <w:r>
              <w:rPr>
                <w:rFonts w:hint="default" w:ascii="Times New Roman" w:hAnsi="Times New Roman" w:eastAsia="宋体" w:cs="Times New Roman"/>
                <w:color w:val="auto"/>
                <w:sz w:val="24"/>
                <w:highlight w:val="none"/>
              </w:rPr>
              <w:t>不外排，对周围水环境无影响；噪声对周围声环境影响较小；固废全部妥善处置；对周围环境影响较小。</w:t>
            </w:r>
          </w:p>
          <w:p w14:paraId="1229D18E">
            <w:pPr>
              <w:keepNext w:val="0"/>
              <w:keepLines w:val="0"/>
              <w:pageBreakBefore w:val="0"/>
              <w:widowControl w:val="0"/>
              <w:kinsoku/>
              <w:wordWrap/>
              <w:overflowPunct/>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综上，项目三废及噪声均得到有效处理，不会明显降低区域环境质量现状。</w:t>
            </w:r>
          </w:p>
          <w:p w14:paraId="4C053148">
            <w:pPr>
              <w:keepNext w:val="0"/>
              <w:keepLines w:val="0"/>
              <w:pageBreakBefore w:val="0"/>
              <w:widowControl w:val="0"/>
              <w:kinsoku/>
              <w:wordWrap/>
              <w:overflowPunct/>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（3）资源利用上线</w:t>
            </w:r>
          </w:p>
          <w:p w14:paraId="6B88DB7B">
            <w:pPr>
              <w:keepNext w:val="0"/>
              <w:keepLines w:val="0"/>
              <w:pageBreakBefore w:val="0"/>
              <w:widowControl w:val="0"/>
              <w:kinsoku/>
              <w:wordWrap/>
              <w:overflowPunct/>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本项目运行中消耗一定量水、电、</w:t>
            </w:r>
            <w:r>
              <w:rPr>
                <w:rFonts w:hint="default" w:ascii="Times New Roman" w:hAnsi="Times New Roman" w:eastAsia="宋体" w:cs="Times New Roman"/>
                <w:color w:val="auto"/>
                <w:sz w:val="24"/>
                <w:highlight w:val="none"/>
                <w:lang w:eastAsia="zh-CN"/>
              </w:rPr>
              <w:t>生物质燃料</w:t>
            </w:r>
            <w:r>
              <w:rPr>
                <w:rFonts w:hint="default" w:ascii="Times New Roman" w:hAnsi="Times New Roman" w:eastAsia="宋体" w:cs="Times New Roman"/>
                <w:color w:val="auto"/>
                <w:sz w:val="24"/>
                <w:highlight w:val="none"/>
              </w:rPr>
              <w:t>等资源，消耗量相对区域资源总量较少，不会突破区域的资源利用上线。</w:t>
            </w:r>
          </w:p>
          <w:p w14:paraId="0CCEC93F">
            <w:pPr>
              <w:keepNext w:val="0"/>
              <w:keepLines w:val="0"/>
              <w:pageBreakBefore w:val="0"/>
              <w:widowControl w:val="0"/>
              <w:kinsoku/>
              <w:wordWrap/>
              <w:overflowPunct/>
              <w:topLinePunct/>
              <w:autoSpaceDE w:val="0"/>
              <w:autoSpaceDN/>
              <w:bidi w:val="0"/>
              <w:adjustRightIn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（4）生态环境准入清单</w:t>
            </w:r>
          </w:p>
          <w:p w14:paraId="7861348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根据巴彦淖尔市环境管控单元图，本项目厂区位于巴彦淖尔磴口工业园区环境管控单元，管控单元类别为</w:t>
            </w:r>
            <w:r>
              <w:rPr>
                <w:rFonts w:hint="default" w:ascii="Times New Roman" w:hAnsi="Times New Roman" w:eastAsia="宋体" w:cs="Times New Roman"/>
                <w:color w:val="auto"/>
                <w:sz w:val="24"/>
                <w:szCs w:val="24"/>
                <w:highlight w:val="none"/>
                <w:lang w:val="en-US" w:eastAsia="zh-CN"/>
              </w:rPr>
              <w:t>重点管控</w:t>
            </w:r>
            <w:r>
              <w:rPr>
                <w:rFonts w:hint="default" w:ascii="Times New Roman" w:hAnsi="Times New Roman" w:eastAsia="宋体" w:cs="Times New Roman"/>
                <w:color w:val="auto"/>
                <w:sz w:val="24"/>
                <w:szCs w:val="24"/>
                <w:highlight w:val="none"/>
                <w:lang w:eastAsia="zh-CN"/>
              </w:rPr>
              <w:t>单元，本项目生态环境准入清单符合性见下表。</w:t>
            </w:r>
          </w:p>
          <w:p w14:paraId="4D19AF7C">
            <w:pPr>
              <w:keepNext w:val="0"/>
              <w:keepLines w:val="0"/>
              <w:pageBreakBefore w:val="0"/>
              <w:widowControl w:val="0"/>
              <w:suppressLineNumbers w:val="0"/>
              <w:tabs>
                <w:tab w:val="left" w:pos="4252"/>
                <w:tab w:val="left" w:pos="6271"/>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1-2  </w:t>
            </w:r>
            <w:r>
              <w:rPr>
                <w:rFonts w:hint="default" w:ascii="Times New Roman" w:hAnsi="Times New Roman" w:eastAsia="宋体" w:cs="Times New Roman"/>
                <w:b/>
                <w:bCs/>
                <w:color w:val="auto"/>
                <w:sz w:val="24"/>
                <w:szCs w:val="24"/>
                <w:highlight w:val="none"/>
              </w:rPr>
              <w:t>巴彦淖尔市生态环境准入清单</w:t>
            </w:r>
            <w:r>
              <w:rPr>
                <w:rFonts w:hint="default" w:ascii="Times New Roman" w:hAnsi="Times New Roman" w:eastAsia="宋体" w:cs="Times New Roman"/>
                <w:b/>
                <w:bCs/>
                <w:color w:val="auto"/>
                <w:sz w:val="24"/>
                <w:szCs w:val="24"/>
                <w:highlight w:val="none"/>
                <w:lang w:eastAsia="zh-CN"/>
              </w:rPr>
              <w:t>符合性分析</w:t>
            </w:r>
            <w:r>
              <w:rPr>
                <w:rFonts w:hint="default" w:ascii="Times New Roman" w:hAnsi="Times New Roman" w:eastAsia="宋体" w:cs="Times New Roman"/>
                <w:b/>
                <w:bCs/>
                <w:color w:val="auto"/>
                <w:sz w:val="24"/>
                <w:szCs w:val="24"/>
                <w:highlight w:val="none"/>
              </w:rPr>
              <w:t>表</w:t>
            </w:r>
          </w:p>
          <w:tbl>
            <w:tblPr>
              <w:tblStyle w:val="25"/>
              <w:tblW w:w="7710" w:type="dxa"/>
              <w:jc w:val="center"/>
              <w:tblLayout w:type="fixed"/>
              <w:tblCellMar>
                <w:top w:w="0" w:type="dxa"/>
                <w:left w:w="108" w:type="dxa"/>
                <w:bottom w:w="0" w:type="dxa"/>
                <w:right w:w="108" w:type="dxa"/>
              </w:tblCellMar>
            </w:tblPr>
            <w:tblGrid>
              <w:gridCol w:w="559"/>
              <w:gridCol w:w="559"/>
              <w:gridCol w:w="559"/>
              <w:gridCol w:w="560"/>
              <w:gridCol w:w="560"/>
              <w:gridCol w:w="2685"/>
              <w:gridCol w:w="1639"/>
              <w:gridCol w:w="589"/>
            </w:tblGrid>
            <w:tr w14:paraId="213360F6">
              <w:tblPrEx>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right w:val="single" w:color="000000" w:sz="4" w:space="0"/>
                  </w:tcBorders>
                  <w:noWrap w:val="0"/>
                  <w:vAlign w:val="center"/>
                </w:tcPr>
                <w:p w14:paraId="47E854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环境管控单元编码</w:t>
                  </w:r>
                </w:p>
              </w:tc>
              <w:tc>
                <w:tcPr>
                  <w:tcW w:w="567" w:type="dxa"/>
                  <w:tcBorders>
                    <w:top w:val="single" w:color="auto" w:sz="4" w:space="0"/>
                    <w:left w:val="single" w:color="000000" w:sz="4" w:space="0"/>
                    <w:right w:val="single" w:color="000000" w:sz="4" w:space="0"/>
                  </w:tcBorders>
                  <w:noWrap w:val="0"/>
                  <w:vAlign w:val="center"/>
                </w:tcPr>
                <w:p w14:paraId="2D467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环境管控单元名称</w:t>
                  </w:r>
                </w:p>
              </w:tc>
              <w:tc>
                <w:tcPr>
                  <w:tcW w:w="567" w:type="dxa"/>
                  <w:tcBorders>
                    <w:top w:val="single" w:color="auto" w:sz="4" w:space="0"/>
                    <w:left w:val="single" w:color="000000" w:sz="4" w:space="0"/>
                    <w:right w:val="single" w:color="000000" w:sz="4" w:space="0"/>
                  </w:tcBorders>
                  <w:noWrap w:val="0"/>
                  <w:vAlign w:val="center"/>
                </w:tcPr>
                <w:p w14:paraId="2B1222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管控单元类别</w:t>
                  </w:r>
                </w:p>
              </w:tc>
              <w:tc>
                <w:tcPr>
                  <w:tcW w:w="567" w:type="dxa"/>
                  <w:tcBorders>
                    <w:top w:val="single" w:color="auto" w:sz="4" w:space="0"/>
                    <w:left w:val="single" w:color="000000" w:sz="4" w:space="0"/>
                    <w:right w:val="single" w:color="000000" w:sz="4" w:space="0"/>
                  </w:tcBorders>
                  <w:noWrap w:val="0"/>
                  <w:vAlign w:val="center"/>
                </w:tcPr>
                <w:p w14:paraId="7120C8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生态保护重点</w:t>
                  </w:r>
                </w:p>
              </w:tc>
              <w:tc>
                <w:tcPr>
                  <w:tcW w:w="567" w:type="dxa"/>
                  <w:gridSpan w:val="2"/>
                  <w:tcBorders>
                    <w:top w:val="single" w:color="auto" w:sz="4" w:space="0"/>
                    <w:left w:val="single" w:color="000000" w:sz="4" w:space="0"/>
                    <w:right w:val="single" w:color="000000" w:sz="4" w:space="0"/>
                  </w:tcBorders>
                  <w:noWrap w:val="0"/>
                  <w:vAlign w:val="center"/>
                </w:tcPr>
                <w:p w14:paraId="5E317B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环境管控要求</w:t>
                  </w:r>
                </w:p>
              </w:tc>
              <w:tc>
                <w:tcPr>
                  <w:tcW w:w="1670" w:type="dxa"/>
                  <w:tcBorders>
                    <w:top w:val="single" w:color="auto" w:sz="4" w:space="0"/>
                    <w:left w:val="single" w:color="000000" w:sz="4" w:space="0"/>
                    <w:right w:val="single" w:color="000000" w:sz="4" w:space="0"/>
                  </w:tcBorders>
                  <w:noWrap w:val="0"/>
                  <w:vAlign w:val="center"/>
                </w:tcPr>
                <w:p w14:paraId="365340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本项目情况</w:t>
                  </w:r>
                </w:p>
              </w:tc>
              <w:tc>
                <w:tcPr>
                  <w:tcW w:w="597" w:type="dxa"/>
                  <w:tcBorders>
                    <w:top w:val="single" w:color="auto" w:sz="4" w:space="0"/>
                    <w:left w:val="single" w:color="000000" w:sz="4" w:space="0"/>
                    <w:right w:val="single" w:color="auto" w:sz="4" w:space="0"/>
                  </w:tcBorders>
                  <w:noWrap w:val="0"/>
                  <w:vAlign w:val="center"/>
                </w:tcPr>
                <w:p w14:paraId="1B549C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符合性</w:t>
                  </w:r>
                </w:p>
              </w:tc>
            </w:tr>
            <w:tr w14:paraId="675DE176">
              <w:tblPrEx>
                <w:tblCellMar>
                  <w:top w:w="0" w:type="dxa"/>
                  <w:left w:w="108" w:type="dxa"/>
                  <w:bottom w:w="0" w:type="dxa"/>
                  <w:right w:w="108" w:type="dxa"/>
                </w:tblCellMar>
              </w:tblPrEx>
              <w:trPr>
                <w:trHeight w:val="340" w:hRule="atLeast"/>
                <w:jc w:val="center"/>
              </w:trPr>
              <w:tc>
                <w:tcPr>
                  <w:tcW w:w="567" w:type="dxa"/>
                  <w:vMerge w:val="restart"/>
                  <w:tcBorders>
                    <w:top w:val="single" w:color="000000" w:sz="4" w:space="0"/>
                    <w:left w:val="single" w:color="auto" w:sz="4" w:space="0"/>
                    <w:right w:val="single" w:color="000000" w:sz="4" w:space="0"/>
                  </w:tcBorders>
                  <w:noWrap w:val="0"/>
                  <w:vAlign w:val="center"/>
                </w:tcPr>
                <w:p w14:paraId="589074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ZH15082220001</w:t>
                  </w:r>
                </w:p>
              </w:tc>
              <w:tc>
                <w:tcPr>
                  <w:tcW w:w="567" w:type="dxa"/>
                  <w:vMerge w:val="restart"/>
                  <w:tcBorders>
                    <w:top w:val="single" w:color="000000" w:sz="4" w:space="0"/>
                    <w:left w:val="single" w:color="000000" w:sz="4" w:space="0"/>
                    <w:right w:val="single" w:color="000000" w:sz="4" w:space="0"/>
                  </w:tcBorders>
                  <w:noWrap w:val="0"/>
                  <w:vAlign w:val="center"/>
                </w:tcPr>
                <w:p w14:paraId="3E036C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巴彦淖尔磴口工业园区</w:t>
                  </w:r>
                </w:p>
              </w:tc>
              <w:tc>
                <w:tcPr>
                  <w:tcW w:w="567" w:type="dxa"/>
                  <w:vMerge w:val="restart"/>
                  <w:tcBorders>
                    <w:top w:val="single" w:color="000000" w:sz="4" w:space="0"/>
                    <w:left w:val="single" w:color="000000" w:sz="4" w:space="0"/>
                    <w:right w:val="single" w:color="000000" w:sz="4" w:space="0"/>
                  </w:tcBorders>
                  <w:noWrap w:val="0"/>
                  <w:vAlign w:val="center"/>
                </w:tcPr>
                <w:p w14:paraId="08747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重点管控单元</w:t>
                  </w:r>
                </w:p>
              </w:tc>
              <w:tc>
                <w:tcPr>
                  <w:tcW w:w="567" w:type="dxa"/>
                  <w:vMerge w:val="restart"/>
                  <w:tcBorders>
                    <w:top w:val="single" w:color="000000" w:sz="4" w:space="0"/>
                    <w:left w:val="single" w:color="000000" w:sz="4" w:space="0"/>
                    <w:right w:val="single" w:color="000000" w:sz="4" w:space="0"/>
                  </w:tcBorders>
                  <w:noWrap w:val="0"/>
                  <w:vAlign w:val="center"/>
                </w:tcPr>
                <w:p w14:paraId="4B2C80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大气环境高排放重点管控区、水环境工业污染重点管控区、生态用水补给区、土地资源重点管控区</w:t>
                  </w:r>
                </w:p>
              </w:tc>
              <w:tc>
                <w:tcPr>
                  <w:tcW w:w="567" w:type="dxa"/>
                  <w:tcBorders>
                    <w:top w:val="single" w:color="000000" w:sz="4" w:space="0"/>
                    <w:left w:val="single" w:color="000000" w:sz="4" w:space="0"/>
                    <w:bottom w:val="single" w:color="000000" w:sz="4" w:space="0"/>
                    <w:right w:val="single" w:color="000000" w:sz="4" w:space="0"/>
                  </w:tcBorders>
                  <w:noWrap w:val="0"/>
                  <w:vAlign w:val="center"/>
                </w:tcPr>
                <w:p w14:paraId="4D12B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空间布局约束</w:t>
                  </w:r>
                </w:p>
              </w:tc>
              <w:tc>
                <w:tcPr>
                  <w:tcW w:w="273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F04FF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1、严格执行环境准入门槛，依法落实园区规划环评。对不符合园区产业定位、规划环评等的项目一律不予批准。</w:t>
                  </w:r>
                </w:p>
                <w:p w14:paraId="32DE453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2、原则上不得引入与园区主导行业不相符的高污染高耗能高耗水项目。</w:t>
                  </w:r>
                </w:p>
                <w:p w14:paraId="003464E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3、新建、改建、扩建工业项目，必须符合国家和自治区产业指导目录要求、行业技术标准以及规模、投资强度。</w:t>
                  </w:r>
                </w:p>
                <w:p w14:paraId="6280605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4、严格控制高能耗、高物耗和产能过剩、低水平重复建设项目，以及涉及其他具有重大环境风险建设项目的环评审批。</w:t>
                  </w:r>
                </w:p>
                <w:p w14:paraId="0C33D66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Cs w:val="21"/>
                      <w:highlight w:val="none"/>
                      <w:lang w:val="en-US" w:eastAsia="zh-CN" w:bidi="ar-SA"/>
                    </w:rPr>
                  </w:pPr>
                  <w:r>
                    <w:rPr>
                      <w:rFonts w:hint="default" w:ascii="Times New Roman" w:hAnsi="Times New Roman" w:eastAsia="宋体" w:cs="Times New Roman"/>
                      <w:color w:val="auto"/>
                      <w:sz w:val="21"/>
                      <w:szCs w:val="21"/>
                      <w:highlight w:val="none"/>
                    </w:rPr>
                    <w:t>5、大气环境高排放重点管控区内，应强化达标监管，有序推进区域内行业企业提标升级改造。</w:t>
                  </w:r>
                </w:p>
              </w:tc>
              <w:tc>
                <w:tcPr>
                  <w:tcW w:w="1670" w:type="dxa"/>
                  <w:tcBorders>
                    <w:top w:val="single" w:color="000000" w:sz="4" w:space="0"/>
                    <w:left w:val="single" w:color="000000" w:sz="4" w:space="0"/>
                    <w:bottom w:val="single" w:color="000000" w:sz="4" w:space="0"/>
                    <w:right w:val="single" w:color="000000" w:sz="4" w:space="0"/>
                  </w:tcBorders>
                  <w:noWrap w:val="0"/>
                  <w:vAlign w:val="center"/>
                </w:tcPr>
                <w:p w14:paraId="07CCA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1、本项目位于巴彦淖尔磴口工业园区磴口县鸿运建材有限责任公司现有厂区内，符合内蒙古磴口工业园区总体规划。</w:t>
                  </w:r>
                </w:p>
                <w:p w14:paraId="18443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2、本项目厂区现有项目行业类别为砖瓦、石材等建筑材料制造，属于新材料，符合园区产业定位；本项目属于厂区现有项目配套的公辅工程，因此，本项目也符合内蒙古磴口工业园区总体规划。</w:t>
                  </w:r>
                </w:p>
                <w:p w14:paraId="7FBC67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本项目建设1台生物质蒸汽锅炉，属于热力生产和供应业，根据《产业结构调整指导目录（2024年本）》（国家发展和改革委员会令第29号）可知，本项目不属于鼓励类、限制类、淘汰类，故属于国家政策允许建设的项目。</w:t>
                  </w:r>
                </w:p>
                <w:p w14:paraId="2FA7DC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4、本项目不属于高能耗、高物耗和产能过剩、低水平重复建设项目，以及涉及其他具有重大环境风险建设项目。</w:t>
                  </w:r>
                </w:p>
                <w:p w14:paraId="31E5F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5、本项目运营期废气经处理后均可达标排放。</w:t>
                  </w:r>
                </w:p>
              </w:tc>
              <w:tc>
                <w:tcPr>
                  <w:tcW w:w="597" w:type="dxa"/>
                  <w:tcBorders>
                    <w:top w:val="single" w:color="000000" w:sz="4" w:space="0"/>
                    <w:left w:val="single" w:color="000000" w:sz="4" w:space="0"/>
                    <w:bottom w:val="single" w:color="000000" w:sz="4" w:space="0"/>
                    <w:right w:val="single" w:color="auto" w:sz="4" w:space="0"/>
                  </w:tcBorders>
                  <w:noWrap w:val="0"/>
                  <w:vAlign w:val="center"/>
                </w:tcPr>
                <w:p w14:paraId="6C298D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0AC7F7AF">
              <w:tblPrEx>
                <w:tblCellMar>
                  <w:top w:w="0" w:type="dxa"/>
                  <w:left w:w="108" w:type="dxa"/>
                  <w:bottom w:w="0" w:type="dxa"/>
                  <w:right w:w="108" w:type="dxa"/>
                </w:tblCellMar>
              </w:tblPrEx>
              <w:trPr>
                <w:trHeight w:val="340" w:hRule="atLeast"/>
                <w:jc w:val="center"/>
              </w:trPr>
              <w:tc>
                <w:tcPr>
                  <w:tcW w:w="567" w:type="dxa"/>
                  <w:vMerge w:val="continue"/>
                  <w:tcBorders>
                    <w:left w:val="single" w:color="auto" w:sz="4" w:space="0"/>
                    <w:right w:val="single" w:color="000000" w:sz="4" w:space="0"/>
                  </w:tcBorders>
                  <w:noWrap w:val="0"/>
                  <w:vAlign w:val="center"/>
                </w:tcPr>
                <w:p w14:paraId="551A7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67" w:type="dxa"/>
                  <w:vMerge w:val="continue"/>
                  <w:tcBorders>
                    <w:left w:val="single" w:color="000000" w:sz="4" w:space="0"/>
                    <w:right w:val="single" w:color="000000" w:sz="4" w:space="0"/>
                  </w:tcBorders>
                  <w:noWrap w:val="0"/>
                  <w:vAlign w:val="center"/>
                </w:tcPr>
                <w:p w14:paraId="7D183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67" w:type="dxa"/>
                  <w:vMerge w:val="continue"/>
                  <w:tcBorders>
                    <w:left w:val="single" w:color="000000" w:sz="4" w:space="0"/>
                    <w:right w:val="single" w:color="000000" w:sz="4" w:space="0"/>
                  </w:tcBorders>
                  <w:noWrap w:val="0"/>
                  <w:vAlign w:val="center"/>
                </w:tcPr>
                <w:p w14:paraId="599DBF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67" w:type="dxa"/>
                  <w:vMerge w:val="continue"/>
                  <w:tcBorders>
                    <w:left w:val="single" w:color="000000" w:sz="4" w:space="0"/>
                    <w:right w:val="single" w:color="000000" w:sz="4" w:space="0"/>
                  </w:tcBorders>
                  <w:noWrap w:val="0"/>
                  <w:vAlign w:val="center"/>
                </w:tcPr>
                <w:p w14:paraId="74B082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p>
              </w:tc>
              <w:tc>
                <w:tcPr>
                  <w:tcW w:w="567" w:type="dxa"/>
                  <w:tcBorders>
                    <w:top w:val="single" w:color="000000" w:sz="4" w:space="0"/>
                    <w:left w:val="single" w:color="000000" w:sz="4" w:space="0"/>
                    <w:bottom w:val="single" w:color="000000" w:sz="4" w:space="0"/>
                    <w:right w:val="single" w:color="000000" w:sz="4" w:space="0"/>
                  </w:tcBorders>
                  <w:noWrap w:val="0"/>
                  <w:vAlign w:val="center"/>
                </w:tcPr>
                <w:p w14:paraId="0FB8F1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污染物排放管控</w:t>
                  </w:r>
                </w:p>
              </w:tc>
              <w:tc>
                <w:tcPr>
                  <w:tcW w:w="273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E942C1">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1、禁止新建35蒸吨以下燃煤锅炉，现有和新建锅炉大气污染物排放要符合相关要求。</w:t>
                  </w:r>
                </w:p>
                <w:p w14:paraId="1CADA238">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2、对物料（含废渣）运输、装卸、储存、转移和工艺过程等无组织排放实施深度治理。粉状物料堆场必须进行全封闭，块状物料必须安装抑尘设施。</w:t>
                  </w:r>
                </w:p>
                <w:p w14:paraId="70682C7E">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工业园区的工业企业排放的废水应当按照国家有关规定进行预处理（或者委托具备处理能力的第三方进行集中处理），未达到工业园区集中处理设施（不含园区企业预处理一级集中处理设施）处理工艺要求的，不得排入工业园区污水集中处理设施。</w:t>
                  </w:r>
                </w:p>
                <w:p w14:paraId="46D70CF2">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4、农畜产品加工、食品加工等行业应严格落实水污染物排放总量控制及排污许可要求。</w:t>
                  </w:r>
                </w:p>
                <w:p w14:paraId="29322291">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5、包装印刷行业应加强挥发性有机物排放管控。</w:t>
                  </w:r>
                </w:p>
                <w:p w14:paraId="2A1539C0">
                  <w:pPr>
                    <w:keepNext w:val="0"/>
                    <w:keepLines w:val="0"/>
                    <w:pageBreakBefore w:val="0"/>
                    <w:kinsoku/>
                    <w:wordWrap/>
                    <w:overflowPunct/>
                    <w:topLinePunct w:val="0"/>
                    <w:autoSpaceDE/>
                    <w:autoSpaceDN/>
                    <w:bidi w:val="0"/>
                    <w:adjustRightInd/>
                    <w:snapToGrid/>
                    <w:ind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6、加强挥发性有机物和恶臭气体防治。应从废水的产生、处理和排放进行全过程控制，优先采用清洁生产技术，提高资源、能源利用率，减少污染物的产生和排放。</w:t>
                  </w:r>
                </w:p>
              </w:tc>
              <w:tc>
                <w:tcPr>
                  <w:tcW w:w="1670" w:type="dxa"/>
                  <w:tcBorders>
                    <w:top w:val="single" w:color="000000" w:sz="4" w:space="0"/>
                    <w:left w:val="single" w:color="000000" w:sz="4" w:space="0"/>
                    <w:bottom w:val="single" w:color="000000" w:sz="4" w:space="0"/>
                    <w:right w:val="single" w:color="000000" w:sz="4" w:space="0"/>
                  </w:tcBorders>
                  <w:noWrap w:val="0"/>
                  <w:vAlign w:val="center"/>
                </w:tcPr>
                <w:p w14:paraId="664896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1、本项目不新建燃煤锅炉。</w:t>
                  </w:r>
                </w:p>
                <w:p w14:paraId="4D7BD8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2、本项目生物质燃料堆存于全封闭生物质燃料库内；</w:t>
                  </w:r>
                </w:p>
                <w:p w14:paraId="4CE6F7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炉渣堆存于全封闭灰渣库房内；</w:t>
                  </w:r>
                </w:p>
                <w:p w14:paraId="363857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除尘灰</w:t>
                  </w:r>
                  <w:r>
                    <w:rPr>
                      <w:rFonts w:hint="default" w:ascii="Times New Roman" w:hAnsi="Times New Roman" w:eastAsia="宋体" w:cs="Times New Roman"/>
                      <w:color w:val="auto"/>
                      <w:sz w:val="21"/>
                      <w:szCs w:val="21"/>
                      <w:highlight w:val="none"/>
                    </w:rPr>
                    <w:t>装袋后堆存于全封闭灰渣库内</w:t>
                  </w:r>
                  <w:r>
                    <w:rPr>
                      <w:rFonts w:hint="default" w:ascii="Times New Roman" w:hAnsi="Times New Roman" w:eastAsia="宋体" w:cs="Times New Roman"/>
                      <w:color w:val="auto"/>
                      <w:kern w:val="0"/>
                      <w:sz w:val="21"/>
                      <w:szCs w:val="21"/>
                      <w:highlight w:val="none"/>
                      <w:lang w:val="en-US" w:eastAsia="zh-CN"/>
                    </w:rPr>
                    <w:t>。</w:t>
                  </w:r>
                </w:p>
                <w:p w14:paraId="7DDB6A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3、本项目锅炉定期排污水和软水制备废水均用于厂区运输道路和物料堆场降尘洒水，不外排。</w:t>
                  </w:r>
                </w:p>
                <w:p w14:paraId="62DAE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4、本项目不属于农畜产品加工、食品加工等行业。</w:t>
                  </w:r>
                </w:p>
                <w:p w14:paraId="0F1E85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5、本项目不属于</w:t>
                  </w:r>
                  <w:r>
                    <w:rPr>
                      <w:rFonts w:hint="default" w:ascii="Times New Roman" w:hAnsi="Times New Roman" w:eastAsia="宋体" w:cs="Times New Roman"/>
                      <w:color w:val="auto"/>
                      <w:highlight w:val="none"/>
                    </w:rPr>
                    <w:t>包装印刷行业</w:t>
                  </w:r>
                  <w:r>
                    <w:rPr>
                      <w:rFonts w:hint="default" w:ascii="Times New Roman" w:hAnsi="Times New Roman" w:eastAsia="宋体" w:cs="Times New Roman"/>
                      <w:color w:val="auto"/>
                      <w:highlight w:val="none"/>
                      <w:lang w:eastAsia="zh-CN"/>
                    </w:rPr>
                    <w:t>。</w:t>
                  </w:r>
                </w:p>
                <w:p w14:paraId="602ED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6、本项目无挥发性有机物和恶臭气体产排；本项目锅炉定期排污水和软水制备废水均用于厂区运输道路和物料堆场降尘洒水，不外排。</w:t>
                  </w:r>
                </w:p>
              </w:tc>
              <w:tc>
                <w:tcPr>
                  <w:tcW w:w="597" w:type="dxa"/>
                  <w:tcBorders>
                    <w:top w:val="single" w:color="000000" w:sz="4" w:space="0"/>
                    <w:left w:val="single" w:color="000000" w:sz="4" w:space="0"/>
                    <w:bottom w:val="single" w:color="000000" w:sz="4" w:space="0"/>
                    <w:right w:val="single" w:color="auto" w:sz="4" w:space="0"/>
                  </w:tcBorders>
                  <w:noWrap w:val="0"/>
                  <w:vAlign w:val="center"/>
                </w:tcPr>
                <w:p w14:paraId="1CCB09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56B8310A">
              <w:tblPrEx>
                <w:tblCellMar>
                  <w:top w:w="0" w:type="dxa"/>
                  <w:left w:w="108" w:type="dxa"/>
                  <w:bottom w:w="0" w:type="dxa"/>
                  <w:right w:w="108" w:type="dxa"/>
                </w:tblCellMar>
              </w:tblPrEx>
              <w:trPr>
                <w:trHeight w:val="340" w:hRule="atLeast"/>
                <w:jc w:val="center"/>
              </w:trPr>
              <w:tc>
                <w:tcPr>
                  <w:tcW w:w="567" w:type="dxa"/>
                  <w:vMerge w:val="continue"/>
                  <w:tcBorders>
                    <w:left w:val="single" w:color="auto" w:sz="4" w:space="0"/>
                    <w:right w:val="single" w:color="000000" w:sz="4" w:space="0"/>
                  </w:tcBorders>
                  <w:noWrap w:val="0"/>
                  <w:vAlign w:val="center"/>
                </w:tcPr>
                <w:p w14:paraId="55C2A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right w:val="single" w:color="000000" w:sz="4" w:space="0"/>
                  </w:tcBorders>
                  <w:noWrap w:val="0"/>
                  <w:vAlign w:val="center"/>
                </w:tcPr>
                <w:p w14:paraId="2D56E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right w:val="single" w:color="000000" w:sz="4" w:space="0"/>
                  </w:tcBorders>
                  <w:noWrap w:val="0"/>
                  <w:vAlign w:val="center"/>
                </w:tcPr>
                <w:p w14:paraId="62629A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right w:val="single" w:color="000000" w:sz="4" w:space="0"/>
                  </w:tcBorders>
                  <w:noWrap w:val="0"/>
                  <w:vAlign w:val="center"/>
                </w:tcPr>
                <w:p w14:paraId="63414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tcBorders>
                    <w:top w:val="single" w:color="000000" w:sz="4" w:space="0"/>
                    <w:left w:val="single" w:color="000000" w:sz="4" w:space="0"/>
                    <w:bottom w:val="single" w:color="000000" w:sz="4" w:space="0"/>
                    <w:right w:val="single" w:color="000000" w:sz="4" w:space="0"/>
                  </w:tcBorders>
                  <w:noWrap w:val="0"/>
                  <w:vAlign w:val="center"/>
                </w:tcPr>
                <w:p w14:paraId="43E281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环境风险防控</w:t>
                  </w:r>
                </w:p>
              </w:tc>
              <w:tc>
                <w:tcPr>
                  <w:tcW w:w="273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D5E25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加强园区及入园企业环境应急设施整合共享，形成园区应急物资联动资源库，建立有效的拦截、降污、导流、暂存等工程措施，防止泄漏物、消防废水等进入园区外环境。建立园区环境应急监测机制，强化园区风险防控。制定园区环境风险事故防范和应急预案并定期更新。</w:t>
                  </w:r>
                </w:p>
                <w:p w14:paraId="2BE08C23">
                  <w:pPr>
                    <w:keepNext w:val="0"/>
                    <w:keepLines w:val="0"/>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2、依法严查向滩涂、坑塘、废弃矿井、渗坑渗井等非法排污的环境违法行为。</w:t>
                  </w:r>
                </w:p>
                <w:p w14:paraId="1974429B">
                  <w:pPr>
                    <w:keepNext w:val="0"/>
                    <w:keepLines w:val="0"/>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3、实行排污许可重点管理的排污单位，应当依法安装、使用、维护污染物排放自动监测设备，并与生态环境主管部门的监控设备联网。</w:t>
                  </w:r>
                </w:p>
                <w:p w14:paraId="7A7A90F9">
                  <w:pPr>
                    <w:keepNext w:val="0"/>
                    <w:keepLines w:val="0"/>
                    <w:pageBreakBefore w:val="0"/>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4、规范项目台账，化工园区与城市建成区、人口密集区、重要设施等防护目标之间保持足够的安全防护距离，留有适当的缓冲带，加强日常环境风险监管。</w:t>
                  </w:r>
                </w:p>
              </w:tc>
              <w:tc>
                <w:tcPr>
                  <w:tcW w:w="1670" w:type="dxa"/>
                  <w:tcBorders>
                    <w:top w:val="single" w:color="000000" w:sz="4" w:space="0"/>
                    <w:left w:val="single" w:color="000000" w:sz="4" w:space="0"/>
                    <w:bottom w:val="single" w:color="000000" w:sz="4" w:space="0"/>
                    <w:right w:val="single" w:color="000000" w:sz="4" w:space="0"/>
                  </w:tcBorders>
                  <w:noWrap w:val="0"/>
                  <w:vAlign w:val="center"/>
                </w:tcPr>
                <w:p w14:paraId="183353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1、公司应急物资及设施与园区共享，已制定突发环境事件应急预案；</w:t>
                  </w:r>
                </w:p>
                <w:p w14:paraId="5D83B4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2、本项目严禁非法排污；</w:t>
                  </w:r>
                </w:p>
                <w:p w14:paraId="1325B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3、公司按要求执行；</w:t>
                  </w:r>
                </w:p>
                <w:p w14:paraId="3A4CB3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4、本项目按规范建立台账，加强环境风险管控；</w:t>
                  </w:r>
                </w:p>
              </w:tc>
              <w:tc>
                <w:tcPr>
                  <w:tcW w:w="597" w:type="dxa"/>
                  <w:tcBorders>
                    <w:top w:val="single" w:color="000000" w:sz="4" w:space="0"/>
                    <w:left w:val="single" w:color="000000" w:sz="4" w:space="0"/>
                    <w:bottom w:val="single" w:color="000000" w:sz="4" w:space="0"/>
                    <w:right w:val="single" w:color="auto" w:sz="4" w:space="0"/>
                  </w:tcBorders>
                  <w:noWrap w:val="0"/>
                  <w:vAlign w:val="center"/>
                </w:tcPr>
                <w:p w14:paraId="2E3BA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r w14:paraId="759CDC0C">
              <w:tblPrEx>
                <w:tblCellMar>
                  <w:top w:w="0" w:type="dxa"/>
                  <w:left w:w="108" w:type="dxa"/>
                  <w:bottom w:w="0" w:type="dxa"/>
                  <w:right w:w="108" w:type="dxa"/>
                </w:tblCellMar>
              </w:tblPrEx>
              <w:trPr>
                <w:trHeight w:val="340" w:hRule="atLeast"/>
                <w:jc w:val="center"/>
              </w:trPr>
              <w:tc>
                <w:tcPr>
                  <w:tcW w:w="567" w:type="dxa"/>
                  <w:vMerge w:val="continue"/>
                  <w:tcBorders>
                    <w:left w:val="single" w:color="auto" w:sz="4" w:space="0"/>
                    <w:bottom w:val="single" w:color="000000" w:sz="4" w:space="0"/>
                    <w:right w:val="single" w:color="000000" w:sz="4" w:space="0"/>
                  </w:tcBorders>
                  <w:noWrap w:val="0"/>
                  <w:vAlign w:val="center"/>
                </w:tcPr>
                <w:p w14:paraId="088560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bottom w:val="single" w:color="000000" w:sz="4" w:space="0"/>
                    <w:right w:val="single" w:color="000000" w:sz="4" w:space="0"/>
                  </w:tcBorders>
                  <w:noWrap w:val="0"/>
                  <w:vAlign w:val="center"/>
                </w:tcPr>
                <w:p w14:paraId="58154B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bottom w:val="single" w:color="000000" w:sz="4" w:space="0"/>
                    <w:right w:val="single" w:color="000000" w:sz="4" w:space="0"/>
                  </w:tcBorders>
                  <w:noWrap w:val="0"/>
                  <w:vAlign w:val="center"/>
                </w:tcPr>
                <w:p w14:paraId="3C798B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vMerge w:val="continue"/>
                  <w:tcBorders>
                    <w:left w:val="single" w:color="000000" w:sz="4" w:space="0"/>
                    <w:bottom w:val="single" w:color="000000" w:sz="4" w:space="0"/>
                    <w:right w:val="single" w:color="000000" w:sz="4" w:space="0"/>
                  </w:tcBorders>
                  <w:noWrap w:val="0"/>
                  <w:vAlign w:val="center"/>
                </w:tcPr>
                <w:p w14:paraId="30991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567" w:type="dxa"/>
                  <w:tcBorders>
                    <w:top w:val="single" w:color="000000" w:sz="4" w:space="0"/>
                    <w:left w:val="single" w:color="000000" w:sz="4" w:space="0"/>
                    <w:bottom w:val="single" w:color="000000" w:sz="4" w:space="0"/>
                    <w:right w:val="single" w:color="000000" w:sz="4" w:space="0"/>
                  </w:tcBorders>
                  <w:noWrap w:val="0"/>
                  <w:vAlign w:val="center"/>
                </w:tcPr>
                <w:p w14:paraId="63709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资源利用效率要求</w:t>
                  </w:r>
                </w:p>
                <w:p w14:paraId="783FF8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273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9B3F4C5">
                  <w:pPr>
                    <w:keepNext w:val="0"/>
                    <w:keepLines w:val="0"/>
                    <w:pageBreakBefore w:val="0"/>
                    <w:widowControl/>
                    <w:tabs>
                      <w:tab w:val="left" w:pos="312"/>
                    </w:tabs>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1、除食品和制药行业外，禁止使用地下水建设高耗水工业项目；工业企业的设备冷却水、空调冷却水、锅炉冷凝水应当循环使用或者回收利用，不得直接排放。</w:t>
                  </w:r>
                </w:p>
                <w:p w14:paraId="66E98947">
                  <w:pPr>
                    <w:keepNext w:val="0"/>
                    <w:keepLines w:val="0"/>
                    <w:pageBreakBefore w:val="0"/>
                    <w:widowControl/>
                    <w:tabs>
                      <w:tab w:val="left" w:pos="312"/>
                    </w:tabs>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2、提高工业企业用水用能效率。</w:t>
                  </w:r>
                </w:p>
              </w:tc>
              <w:tc>
                <w:tcPr>
                  <w:tcW w:w="1670" w:type="dxa"/>
                  <w:tcBorders>
                    <w:top w:val="single" w:color="000000" w:sz="4" w:space="0"/>
                    <w:left w:val="single" w:color="000000" w:sz="4" w:space="0"/>
                    <w:bottom w:val="single" w:color="000000" w:sz="4" w:space="0"/>
                    <w:right w:val="single" w:color="000000" w:sz="4" w:space="0"/>
                  </w:tcBorders>
                  <w:noWrap w:val="0"/>
                  <w:vAlign w:val="center"/>
                </w:tcPr>
                <w:p w14:paraId="632AE7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1、本项目用水由园区自来水管网供给；锅炉定期排污水和软水制备废水均用于厂区运输道路和物料堆场降尘洒水；</w:t>
                  </w:r>
                  <w:r>
                    <w:rPr>
                      <w:rFonts w:hint="default" w:ascii="Times New Roman" w:hAnsi="Times New Roman" w:eastAsia="宋体" w:cs="Times New Roman"/>
                      <w:color w:val="auto"/>
                      <w:sz w:val="21"/>
                      <w:szCs w:val="21"/>
                      <w:highlight w:val="none"/>
                    </w:rPr>
                    <w:t>锅炉冷凝水</w:t>
                  </w:r>
                  <w:r>
                    <w:rPr>
                      <w:rFonts w:hint="default" w:ascii="Times New Roman" w:hAnsi="Times New Roman" w:eastAsia="宋体" w:cs="Times New Roman"/>
                      <w:color w:val="auto"/>
                      <w:sz w:val="21"/>
                      <w:szCs w:val="21"/>
                      <w:highlight w:val="none"/>
                      <w:lang w:val="en-US" w:eastAsia="zh-CN"/>
                    </w:rPr>
                    <w:t>回用于生物质蒸汽锅炉</w:t>
                  </w:r>
                  <w:r>
                    <w:rPr>
                      <w:rFonts w:hint="default" w:ascii="Times New Roman" w:hAnsi="Times New Roman" w:eastAsia="宋体" w:cs="Times New Roman"/>
                      <w:color w:val="auto"/>
                      <w:kern w:val="0"/>
                      <w:sz w:val="21"/>
                      <w:szCs w:val="21"/>
                      <w:highlight w:val="none"/>
                      <w:lang w:val="en-US" w:eastAsia="zh-CN"/>
                    </w:rPr>
                    <w:t>；</w:t>
                  </w:r>
                </w:p>
                <w:p w14:paraId="2EB537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2、本项目锅炉定期排污水和软水制备废水均用于厂区运输道路和物料堆场降尘洒水；</w:t>
                  </w:r>
                  <w:r>
                    <w:rPr>
                      <w:rFonts w:hint="default" w:ascii="Times New Roman" w:hAnsi="Times New Roman" w:eastAsia="宋体" w:cs="Times New Roman"/>
                      <w:color w:val="auto"/>
                      <w:sz w:val="21"/>
                      <w:szCs w:val="21"/>
                      <w:highlight w:val="none"/>
                    </w:rPr>
                    <w:t>锅炉冷凝水</w:t>
                  </w:r>
                  <w:r>
                    <w:rPr>
                      <w:rFonts w:hint="default" w:ascii="Times New Roman" w:hAnsi="Times New Roman" w:eastAsia="宋体" w:cs="Times New Roman"/>
                      <w:color w:val="auto"/>
                      <w:sz w:val="21"/>
                      <w:szCs w:val="21"/>
                      <w:highlight w:val="none"/>
                      <w:lang w:val="en-US" w:eastAsia="zh-CN"/>
                    </w:rPr>
                    <w:t>回用于生物质蒸汽锅炉</w:t>
                  </w:r>
                  <w:r>
                    <w:rPr>
                      <w:rFonts w:hint="default" w:ascii="Times New Roman" w:hAnsi="Times New Roman" w:eastAsia="宋体" w:cs="Times New Roman"/>
                      <w:color w:val="auto"/>
                      <w:kern w:val="0"/>
                      <w:sz w:val="21"/>
                      <w:szCs w:val="21"/>
                      <w:highlight w:val="none"/>
                      <w:lang w:val="en-US" w:eastAsia="zh-CN"/>
                    </w:rPr>
                    <w:t>。</w:t>
                  </w:r>
                </w:p>
              </w:tc>
              <w:tc>
                <w:tcPr>
                  <w:tcW w:w="597" w:type="dxa"/>
                  <w:tcBorders>
                    <w:top w:val="single" w:color="000000" w:sz="4" w:space="0"/>
                    <w:left w:val="single" w:color="000000" w:sz="4" w:space="0"/>
                    <w:bottom w:val="single" w:color="000000" w:sz="4" w:space="0"/>
                    <w:right w:val="single" w:color="auto" w:sz="4" w:space="0"/>
                  </w:tcBorders>
                  <w:noWrap w:val="0"/>
                  <w:vAlign w:val="center"/>
                </w:tcPr>
                <w:p w14:paraId="5FB1E0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14:paraId="53846BC9">
            <w:pPr>
              <w:keepNext w:val="0"/>
              <w:keepLines w:val="0"/>
              <w:suppressLineNumbers w:val="0"/>
              <w:tabs>
                <w:tab w:val="center" w:pos="4153"/>
                <w:tab w:val="right" w:pos="8306"/>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本项目位于</w:t>
            </w:r>
            <w:r>
              <w:rPr>
                <w:rFonts w:hint="default" w:ascii="Times New Roman" w:hAnsi="Times New Roman" w:eastAsia="宋体" w:cs="Times New Roman"/>
                <w:color w:val="auto"/>
                <w:sz w:val="24"/>
                <w:szCs w:val="24"/>
                <w:highlight w:val="none"/>
                <w:lang w:eastAsia="zh-CN"/>
              </w:rPr>
              <w:t>巴彦淖尔磴口工业园区环境管控单元</w:t>
            </w:r>
            <w:r>
              <w:rPr>
                <w:rFonts w:hint="default" w:ascii="Times New Roman" w:hAnsi="Times New Roman" w:eastAsia="宋体" w:cs="Times New Roman"/>
                <w:color w:val="auto"/>
                <w:sz w:val="24"/>
                <w:szCs w:val="24"/>
                <w:highlight w:val="none"/>
              </w:rPr>
              <w:t>，环境管控单元编码ZH15082220001，属于</w:t>
            </w:r>
            <w:r>
              <w:rPr>
                <w:rFonts w:hint="default" w:ascii="Times New Roman" w:hAnsi="Times New Roman" w:eastAsia="宋体" w:cs="Times New Roman"/>
                <w:color w:val="auto"/>
                <w:sz w:val="24"/>
                <w:szCs w:val="24"/>
                <w:highlight w:val="none"/>
                <w:lang w:val="en-US" w:eastAsia="zh-CN"/>
              </w:rPr>
              <w:t>重点管控</w:t>
            </w:r>
            <w:r>
              <w:rPr>
                <w:rFonts w:hint="default" w:ascii="Times New Roman" w:hAnsi="Times New Roman" w:eastAsia="宋体" w:cs="Times New Roman"/>
                <w:color w:val="auto"/>
                <w:sz w:val="24"/>
                <w:szCs w:val="24"/>
                <w:highlight w:val="none"/>
                <w:lang w:eastAsia="zh-CN"/>
              </w:rPr>
              <w:t>单元</w:t>
            </w:r>
            <w:r>
              <w:rPr>
                <w:rFonts w:hint="default" w:ascii="Times New Roman" w:hAnsi="Times New Roman" w:eastAsia="宋体" w:cs="Times New Roman"/>
                <w:color w:val="auto"/>
                <w:sz w:val="24"/>
                <w:szCs w:val="24"/>
                <w:highlight w:val="none"/>
              </w:rPr>
              <w:t>，从空间布局约束、污染物排放管控、环境风险防控、资源利用效率要求等方面分析，本项目</w:t>
            </w:r>
            <w:r>
              <w:rPr>
                <w:rFonts w:hint="default" w:ascii="Times New Roman" w:hAnsi="Times New Roman" w:eastAsia="宋体" w:cs="Times New Roman"/>
                <w:color w:val="auto"/>
                <w:sz w:val="24"/>
                <w:szCs w:val="24"/>
                <w:highlight w:val="none"/>
                <w:lang w:eastAsia="zh-CN"/>
              </w:rPr>
              <w:t>配套设置</w:t>
            </w:r>
            <w:r>
              <w:rPr>
                <w:rFonts w:hint="default" w:ascii="Times New Roman" w:hAnsi="Times New Roman" w:eastAsia="宋体" w:cs="Times New Roman"/>
                <w:color w:val="auto"/>
                <w:sz w:val="24"/>
                <w:szCs w:val="24"/>
                <w:highlight w:val="none"/>
              </w:rPr>
              <w:t>环保措施，环境影响及环境风险可控；在生产工艺技术、设备水平、清洁化生产均达到国内先进水平。</w:t>
            </w:r>
          </w:p>
          <w:p w14:paraId="40586804">
            <w:pPr>
              <w:spacing w:line="360" w:lineRule="auto"/>
              <w:ind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本项目符合</w:t>
            </w:r>
            <w:r>
              <w:rPr>
                <w:rFonts w:hint="default" w:ascii="Times New Roman" w:hAnsi="Times New Roman" w:eastAsia="宋体" w:cs="Times New Roman"/>
                <w:color w:val="auto"/>
                <w:sz w:val="24"/>
                <w:szCs w:val="24"/>
                <w:highlight w:val="none"/>
                <w:lang w:val="en-US" w:eastAsia="zh-CN"/>
              </w:rPr>
              <w:t>巴彦淖尔市生态环境分区管控要求</w:t>
            </w:r>
            <w:r>
              <w:rPr>
                <w:rFonts w:hint="default" w:ascii="Times New Roman" w:hAnsi="Times New Roman" w:eastAsia="宋体" w:cs="Times New Roman"/>
                <w:color w:val="auto"/>
                <w:sz w:val="24"/>
                <w:highlight w:val="none"/>
                <w:lang w:eastAsia="zh-CN"/>
              </w:rPr>
              <w:t>。</w:t>
            </w:r>
          </w:p>
          <w:p w14:paraId="1C6EA82E">
            <w:pPr>
              <w:spacing w:line="360" w:lineRule="auto"/>
              <w:ind w:firstLine="480" w:firstLineChars="200"/>
              <w:jc w:val="left"/>
              <w:rPr>
                <w:rFonts w:hint="default" w:ascii="Times New Roman" w:hAnsi="Times New Roman" w:eastAsia="宋体" w:cs="Times New Roman"/>
                <w:color w:val="auto"/>
                <w:sz w:val="24"/>
                <w:szCs w:val="24"/>
                <w:highlight w:val="none"/>
              </w:rPr>
            </w:pPr>
          </w:p>
          <w:p w14:paraId="683AF3C6">
            <w:pPr>
              <w:spacing w:line="360" w:lineRule="auto"/>
              <w:ind w:firstLine="480" w:firstLineChars="200"/>
              <w:jc w:val="left"/>
              <w:rPr>
                <w:rFonts w:hint="default" w:ascii="Times New Roman" w:hAnsi="Times New Roman" w:eastAsia="宋体" w:cs="Times New Roman"/>
                <w:color w:val="auto"/>
                <w:sz w:val="24"/>
                <w:highlight w:val="none"/>
              </w:rPr>
            </w:pPr>
          </w:p>
        </w:tc>
      </w:tr>
    </w:tbl>
    <w:p w14:paraId="77BBD171">
      <w:pPr>
        <w:rPr>
          <w:rFonts w:hint="default" w:ascii="Times New Roman" w:hAnsi="Times New Roman" w:eastAsia="宋体" w:cs="Times New Roman"/>
          <w:color w:val="auto"/>
          <w:sz w:val="28"/>
          <w:szCs w:val="28"/>
          <w:highlight w:val="none"/>
        </w:rPr>
      </w:pPr>
    </w:p>
    <w:p w14:paraId="2206ECDC">
      <w:pPr>
        <w:rPr>
          <w:rFonts w:hint="default" w:ascii="Times New Roman" w:hAnsi="Times New Roman" w:eastAsia="宋体" w:cs="Times New Roman"/>
          <w:color w:val="auto"/>
          <w:sz w:val="28"/>
          <w:szCs w:val="28"/>
          <w:highlight w:val="none"/>
        </w:rPr>
        <w:sectPr>
          <w:footerReference r:id="rId3" w:type="default"/>
          <w:pgSz w:w="11906" w:h="16838"/>
          <w:pgMar w:top="1440" w:right="1800" w:bottom="1440" w:left="1800" w:header="851" w:footer="992" w:gutter="0"/>
          <w:pgNumType w:start="1"/>
          <w:cols w:space="425" w:num="1"/>
          <w:docGrid w:type="lines" w:linePitch="312" w:charSpace="0"/>
        </w:sectPr>
      </w:pPr>
    </w:p>
    <w:p w14:paraId="0E09B447">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二、建设项目工程分析</w:t>
      </w:r>
    </w:p>
    <w:tbl>
      <w:tblPr>
        <w:tblStyle w:val="26"/>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8490"/>
      </w:tblGrid>
      <w:tr w14:paraId="43173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4" w:type="dxa"/>
            <w:vAlign w:val="center"/>
          </w:tcPr>
          <w:p w14:paraId="14CF8FBC">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建设内容</w:t>
            </w:r>
          </w:p>
        </w:tc>
        <w:tc>
          <w:tcPr>
            <w:tcW w:w="8490" w:type="dxa"/>
            <w:vAlign w:val="center"/>
          </w:tcPr>
          <w:p w14:paraId="25F547E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1、项目由来</w:t>
            </w:r>
          </w:p>
          <w:p w14:paraId="7956F1B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2011年10月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磴口县鸿运建材有限责任公司</w:t>
            </w:r>
            <w:r>
              <w:rPr>
                <w:rFonts w:hint="default"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rPr>
              <w:t>巴彦淖尔磴口工业园区</w:t>
            </w:r>
            <w:r>
              <w:rPr>
                <w:rFonts w:hint="default" w:ascii="Times New Roman" w:hAnsi="Times New Roman" w:eastAsia="宋体" w:cs="Times New Roman"/>
                <w:color w:val="auto"/>
                <w:sz w:val="24"/>
                <w:szCs w:val="24"/>
                <w:highlight w:val="none"/>
                <w:lang w:val="en-US" w:eastAsia="zh-CN"/>
              </w:rPr>
              <w:t>内建设年产20万m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加气混凝土砌块生产线项目，利用园区金牛电厂产生的固废粉煤灰等生产加气混凝土砌块。</w:t>
            </w:r>
          </w:p>
          <w:p w14:paraId="180FD2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2011年10月8日原磴口县环境保护局出具了《磴口县鸿运建材有限责任公司年产20万m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加气混凝土砌块生产线项目审批意见》（巴环审表〔2011〕128号），</w:t>
            </w:r>
            <w:r>
              <w:rPr>
                <w:rFonts w:hint="default" w:ascii="Times New Roman" w:hAnsi="Times New Roman" w:eastAsia="宋体" w:cs="Times New Roman"/>
                <w:color w:val="auto"/>
                <w:sz w:val="24"/>
                <w:szCs w:val="24"/>
                <w:highlight w:val="none"/>
                <w:lang w:val="en-US" w:eastAsia="zh-CN"/>
              </w:rPr>
              <w:t>2013年4月建成并投入生产。厂区总占地面积为20001m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，厂区建设有1座砌块生产车间、配料楼以及办公楼等，可年生产20</w:t>
            </w:r>
            <w:r>
              <w:rPr>
                <w:rFonts w:hint="default" w:ascii="Times New Roman" w:hAnsi="Times New Roman" w:eastAsia="宋体" w:cs="Times New Roman"/>
                <w:color w:val="auto"/>
                <w:sz w:val="24"/>
                <w:szCs w:val="24"/>
                <w:highlight w:val="none"/>
                <w:lang w:eastAsia="zh-CN"/>
              </w:rPr>
              <w:t>万m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加气混凝土砌块。</w:t>
            </w:r>
          </w:p>
          <w:p w14:paraId="513AE4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现有项目</w:t>
            </w:r>
            <w:r>
              <w:rPr>
                <w:rFonts w:hint="default" w:ascii="Times New Roman" w:hAnsi="Times New Roman" w:eastAsia="宋体" w:cs="Times New Roman"/>
                <w:color w:val="auto"/>
                <w:sz w:val="24"/>
                <w:szCs w:val="24"/>
                <w:highlight w:val="none"/>
                <w:lang w:eastAsia="zh-CN"/>
              </w:rPr>
              <w:t>加气混凝土砌块</w:t>
            </w:r>
            <w:r>
              <w:rPr>
                <w:rFonts w:hint="default" w:ascii="Times New Roman" w:hAnsi="Times New Roman" w:eastAsia="宋体" w:cs="Times New Roman"/>
                <w:color w:val="auto"/>
                <w:sz w:val="24"/>
                <w:szCs w:val="24"/>
                <w:highlight w:val="none"/>
                <w:lang w:val="en-US" w:eastAsia="zh-CN"/>
              </w:rPr>
              <w:t>生产线的产品需要采用蒸汽养护，养护蒸汽压力为1.0MPa到1.5MPa之间。厂区建成至今，养护蒸汽均由园区金牛电厂供给。</w:t>
            </w:r>
          </w:p>
          <w:p w14:paraId="40705A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2022年6月10日，生态环境部、国家发展和改革委员会、工业和信息化部、住房和城乡建设部、交通运输部、农业农村部、国家能源局等7部门发布关于印发《减污降碳协同增效实施方案》的通知（环综合〔2022〕42号）：“实施可再生能源替代行动，大力发展风能、太阳能、生物质能、海洋能、地热能等，因地制宜开发水电，开展小水电绿色改造，在严监管、确保绝对安全前提下有序发展核电，不断提高非化石能源消费比重。严控煤电项目，“十四五”时期严格合理控制煤炭消费增长、“十五五”时期逐步减少”。因此，近些年金牛电厂发电量逐渐减少，尤其昼间发电量下降较大，相应金牛电厂昼间蒸汽压力和温度均有较大降低。</w:t>
            </w:r>
          </w:p>
          <w:p w14:paraId="62EE76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根据建设单位提供2024年进厂蒸汽压力表记录，蒸汽压力均＜0.5MPa，导致</w:t>
            </w:r>
            <w:r>
              <w:rPr>
                <w:rFonts w:hint="default" w:ascii="Times New Roman" w:hAnsi="Times New Roman" w:eastAsia="宋体" w:cs="Times New Roman"/>
                <w:color w:val="auto"/>
                <w:sz w:val="24"/>
                <w:szCs w:val="24"/>
                <w:highlight w:val="none"/>
                <w:lang w:eastAsia="zh-CN"/>
              </w:rPr>
              <w:t>砌块</w:t>
            </w:r>
            <w:r>
              <w:rPr>
                <w:rFonts w:hint="default" w:ascii="Times New Roman" w:hAnsi="Times New Roman" w:eastAsia="宋体" w:cs="Times New Roman"/>
                <w:color w:val="auto"/>
                <w:sz w:val="24"/>
                <w:szCs w:val="24"/>
                <w:highlight w:val="none"/>
                <w:lang w:val="en-US" w:eastAsia="zh-CN"/>
              </w:rPr>
              <w:t>中水分含量较大，产品的干密度和抗压强度不能满足产品质量标准要求，已严重影响建设单位的销售量。</w:t>
            </w:r>
            <w:r>
              <w:rPr>
                <w:rFonts w:hint="default" w:ascii="Times New Roman" w:hAnsi="Times New Roman" w:eastAsia="宋体" w:cs="Times New Roman"/>
                <w:color w:val="auto"/>
                <w:sz w:val="24"/>
                <w:szCs w:val="24"/>
                <w:highlight w:val="none"/>
                <w:lang w:eastAsia="zh-CN"/>
              </w:rPr>
              <w:t>为保证</w:t>
            </w:r>
            <w:r>
              <w:rPr>
                <w:rFonts w:hint="default" w:ascii="Times New Roman" w:hAnsi="Times New Roman" w:eastAsia="宋体" w:cs="Times New Roman"/>
                <w:color w:val="auto"/>
                <w:sz w:val="24"/>
                <w:szCs w:val="24"/>
                <w:highlight w:val="none"/>
                <w:lang w:val="en-US" w:eastAsia="zh-CN"/>
              </w:rPr>
              <w:t>建设单位正常生产</w:t>
            </w:r>
            <w:r>
              <w:rPr>
                <w:rFonts w:hint="default" w:ascii="Times New Roman" w:hAnsi="Times New Roman" w:eastAsia="宋体" w:cs="Times New Roman"/>
                <w:color w:val="auto"/>
                <w:sz w:val="24"/>
                <w:szCs w:val="24"/>
                <w:highlight w:val="none"/>
                <w:lang w:eastAsia="zh-CN"/>
              </w:rPr>
              <w:t>需求，建设单位决定新建</w:t>
            </w:r>
            <w:r>
              <w:rPr>
                <w:rFonts w:hint="default" w:ascii="Times New Roman" w:hAnsi="Times New Roman" w:eastAsia="宋体" w:cs="Times New Roman"/>
                <w:color w:val="auto"/>
                <w:sz w:val="24"/>
                <w:szCs w:val="32"/>
                <w:highlight w:val="none"/>
                <w:lang w:eastAsia="zh-CN"/>
              </w:rPr>
              <w:t>10t/h生物质蒸汽锅炉</w:t>
            </w:r>
            <w:r>
              <w:rPr>
                <w:rFonts w:hint="default" w:ascii="Times New Roman" w:hAnsi="Times New Roman" w:eastAsia="宋体" w:cs="Times New Roman"/>
                <w:color w:val="auto"/>
                <w:sz w:val="24"/>
                <w:szCs w:val="24"/>
                <w:highlight w:val="none"/>
                <w:lang w:eastAsia="zh-CN"/>
              </w:rPr>
              <w:t>为厂区</w:t>
            </w:r>
            <w:r>
              <w:rPr>
                <w:rFonts w:hint="default" w:ascii="Times New Roman" w:hAnsi="Times New Roman" w:eastAsia="宋体" w:cs="Times New Roman"/>
                <w:color w:val="auto"/>
                <w:sz w:val="24"/>
                <w:szCs w:val="24"/>
                <w:highlight w:val="none"/>
                <w:lang w:val="en-US" w:eastAsia="zh-CN"/>
              </w:rPr>
              <w:t>产品养护提供蒸汽</w:t>
            </w:r>
            <w:r>
              <w:rPr>
                <w:rFonts w:hint="default" w:ascii="Times New Roman" w:hAnsi="Times New Roman" w:eastAsia="宋体" w:cs="Times New Roman"/>
                <w:color w:val="auto"/>
                <w:sz w:val="24"/>
                <w:szCs w:val="24"/>
                <w:highlight w:val="none"/>
                <w:lang w:eastAsia="zh-CN"/>
              </w:rPr>
              <w:t>，不再外购金牛电厂蒸汽。</w:t>
            </w:r>
          </w:p>
          <w:p w14:paraId="1BA2BE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中华人民共和国环境保护法》（中华人民共和国主席令第九号，2015年1月1日起施行）、《中华人民共和国环境影响评价法》（中华人民共和国主席令第四十八号，2018年12月29日第二次修正）和《建设项目环境影响评价分类管理名录（2021年版）》（中华人民共和国生态环境部令第16号）的有关规定，本项目属于“四十一、热力生产和供应工程：91（包括建设单位自建自用的供热工程）-使用其他高污染燃料的”类别，本项目应编制环境影响报告表。磴口县鸿运建材有限责任公司委托内蒙古蒙数办工程技术咨询有限公司承担本项目的环境影响报告表的编制工作（委托书见附件1）。我公司接受委托后，随即组织有关技术人员进行了实地踏勘，根据《建设项目环境影响报告表编制技术指南》（污染影响类）（试行）</w:t>
            </w:r>
            <w:r>
              <w:rPr>
                <w:rFonts w:hint="default" w:ascii="Times New Roman" w:hAnsi="Times New Roman" w:eastAsia="宋体" w:cs="Times New Roman"/>
                <w:color w:val="auto"/>
                <w:sz w:val="24"/>
                <w:highlight w:val="none"/>
                <w:lang w:val="en-US" w:eastAsia="zh-CN"/>
              </w:rPr>
              <w:t>以及</w:t>
            </w:r>
            <w:r>
              <w:rPr>
                <w:rFonts w:hint="default" w:ascii="Times New Roman" w:hAnsi="Times New Roman" w:eastAsia="宋体" w:cs="Times New Roman"/>
                <w:color w:val="auto"/>
                <w:sz w:val="24"/>
                <w:highlight w:val="none"/>
              </w:rPr>
              <w:t>环境影响评价技术导则编制完成了本项目环境影响报告表，现上报审批。</w:t>
            </w:r>
          </w:p>
          <w:p w14:paraId="77131CA8">
            <w:pPr>
              <w:spacing w:line="360" w:lineRule="auto"/>
              <w:ind w:firstLine="482" w:firstLineChars="20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2、建设项目概况</w:t>
            </w:r>
          </w:p>
          <w:p w14:paraId="0D83A4DC">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项目名称：</w:t>
            </w:r>
            <w:r>
              <w:rPr>
                <w:rFonts w:hint="default" w:ascii="Times New Roman" w:hAnsi="Times New Roman" w:eastAsia="宋体" w:cs="Times New Roman"/>
                <w:color w:val="auto"/>
                <w:sz w:val="24"/>
                <w:highlight w:val="none"/>
                <w:lang w:eastAsia="zh-CN"/>
              </w:rPr>
              <w:t>磴口县鸿运建材有限责任公司</w:t>
            </w:r>
            <w:r>
              <w:rPr>
                <w:rFonts w:hint="default" w:ascii="Times New Roman" w:hAnsi="Times New Roman" w:eastAsia="宋体" w:cs="Times New Roman"/>
                <w:color w:val="auto"/>
                <w:sz w:val="24"/>
                <w:highlight w:val="none"/>
              </w:rPr>
              <w:t>生物质锅炉建设项目</w:t>
            </w:r>
            <w:r>
              <w:rPr>
                <w:rFonts w:hint="default" w:ascii="Times New Roman" w:hAnsi="Times New Roman" w:eastAsia="宋体" w:cs="Times New Roman"/>
                <w:color w:val="auto"/>
                <w:sz w:val="24"/>
                <w:szCs w:val="32"/>
                <w:highlight w:val="none"/>
              </w:rPr>
              <w:t>；</w:t>
            </w:r>
          </w:p>
          <w:p w14:paraId="1ADD97C6">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建设性质：</w:t>
            </w:r>
            <w:r>
              <w:rPr>
                <w:rFonts w:hint="default" w:ascii="Times New Roman" w:hAnsi="Times New Roman" w:eastAsia="宋体" w:cs="Times New Roman"/>
                <w:color w:val="auto"/>
                <w:sz w:val="24"/>
                <w:highlight w:val="none"/>
              </w:rPr>
              <w:t>新建</w:t>
            </w:r>
            <w:r>
              <w:rPr>
                <w:rFonts w:hint="default" w:ascii="Times New Roman" w:hAnsi="Times New Roman" w:eastAsia="宋体" w:cs="Times New Roman"/>
                <w:color w:val="auto"/>
                <w:sz w:val="24"/>
                <w:szCs w:val="32"/>
                <w:highlight w:val="none"/>
              </w:rPr>
              <w:t>；</w:t>
            </w:r>
          </w:p>
          <w:p w14:paraId="1E234C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建设单位：</w:t>
            </w:r>
            <w:r>
              <w:rPr>
                <w:rFonts w:hint="default" w:ascii="Times New Roman" w:hAnsi="Times New Roman" w:eastAsia="宋体" w:cs="Times New Roman"/>
                <w:color w:val="auto"/>
                <w:sz w:val="24"/>
                <w:szCs w:val="24"/>
                <w:highlight w:val="none"/>
                <w:lang w:eastAsia="zh-CN"/>
              </w:rPr>
              <w:t>磴口县鸿运建材有限责任公司</w:t>
            </w:r>
            <w:r>
              <w:rPr>
                <w:rFonts w:hint="default" w:ascii="Times New Roman" w:hAnsi="Times New Roman" w:eastAsia="宋体" w:cs="Times New Roman"/>
                <w:color w:val="auto"/>
                <w:sz w:val="24"/>
                <w:szCs w:val="24"/>
                <w:highlight w:val="none"/>
              </w:rPr>
              <w:t>；</w:t>
            </w:r>
          </w:p>
          <w:p w14:paraId="11D484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建设地点：内蒙古自治区巴彦淖尔市</w:t>
            </w:r>
            <w:r>
              <w:rPr>
                <w:rFonts w:hint="default" w:ascii="Times New Roman" w:hAnsi="Times New Roman" w:eastAsia="宋体" w:cs="Times New Roman"/>
                <w:color w:val="auto"/>
                <w:sz w:val="24"/>
                <w:szCs w:val="24"/>
                <w:highlight w:val="none"/>
                <w:lang w:eastAsia="zh-CN"/>
              </w:rPr>
              <w:t>巴彦淖尔磴口工业园区</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磴口县鸿运建材有限责任公司</w:t>
            </w:r>
            <w:r>
              <w:rPr>
                <w:rFonts w:hint="default" w:ascii="Times New Roman" w:hAnsi="Times New Roman" w:eastAsia="宋体" w:cs="Times New Roman"/>
                <w:color w:val="auto"/>
                <w:sz w:val="24"/>
                <w:szCs w:val="24"/>
                <w:highlight w:val="none"/>
              </w:rPr>
              <w:t>现有厂区内，项目中心地理坐标：</w:t>
            </w:r>
            <w:r>
              <w:rPr>
                <w:rFonts w:hint="default" w:ascii="Times New Roman" w:hAnsi="Times New Roman" w:eastAsia="宋体" w:cs="Times New Roman"/>
                <w:color w:val="auto"/>
                <w:sz w:val="24"/>
                <w:highlight w:val="none"/>
              </w:rPr>
              <w:t>东经107°0′3.893″，北纬40°22′36.589″</w:t>
            </w:r>
            <w:r>
              <w:rPr>
                <w:rFonts w:hint="default" w:ascii="Times New Roman" w:hAnsi="Times New Roman" w:eastAsia="宋体" w:cs="Times New Roman"/>
                <w:color w:val="auto"/>
                <w:sz w:val="24"/>
                <w:szCs w:val="24"/>
                <w:highlight w:val="none"/>
              </w:rPr>
              <w:t>，项目具体地理位置见附图1；</w:t>
            </w:r>
          </w:p>
          <w:p w14:paraId="5ED02D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占地面积：本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不新增占地。</w:t>
            </w:r>
          </w:p>
          <w:p w14:paraId="01A417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项目投资：</w:t>
            </w:r>
            <w:r>
              <w:rPr>
                <w:rFonts w:hint="default" w:ascii="Times New Roman" w:hAnsi="Times New Roman" w:eastAsia="宋体" w:cs="Times New Roman"/>
                <w:bCs/>
                <w:color w:val="auto"/>
                <w:sz w:val="24"/>
                <w:highlight w:val="none"/>
                <w:lang w:eastAsia="zh-CN"/>
              </w:rPr>
              <w:t>总投资</w:t>
            </w:r>
            <w:r>
              <w:rPr>
                <w:rFonts w:hint="default" w:ascii="Times New Roman" w:hAnsi="Times New Roman" w:eastAsia="宋体" w:cs="Times New Roman"/>
                <w:bCs/>
                <w:color w:val="auto"/>
                <w:sz w:val="24"/>
                <w:highlight w:val="none"/>
                <w:lang w:val="en-US" w:eastAsia="zh-CN"/>
              </w:rPr>
              <w:t>60</w:t>
            </w:r>
            <w:r>
              <w:rPr>
                <w:rFonts w:hint="default" w:ascii="Times New Roman" w:hAnsi="Times New Roman" w:eastAsia="宋体" w:cs="Times New Roman"/>
                <w:bCs/>
                <w:color w:val="auto"/>
                <w:sz w:val="24"/>
                <w:highlight w:val="none"/>
                <w:lang w:eastAsia="zh-CN"/>
              </w:rPr>
              <w:t>万元，</w:t>
            </w:r>
            <w:r>
              <w:rPr>
                <w:rFonts w:hint="default" w:ascii="Times New Roman" w:hAnsi="Times New Roman" w:eastAsia="宋体" w:cs="Times New Roman"/>
                <w:bCs/>
                <w:color w:val="auto"/>
                <w:sz w:val="24"/>
                <w:highlight w:val="none"/>
              </w:rPr>
              <w:t>环保</w:t>
            </w:r>
            <w:r>
              <w:rPr>
                <w:rFonts w:hint="default" w:ascii="Times New Roman" w:hAnsi="Times New Roman" w:eastAsia="宋体" w:cs="Times New Roman"/>
                <w:bCs/>
                <w:color w:val="auto"/>
                <w:sz w:val="24"/>
                <w:highlight w:val="none"/>
                <w:lang w:eastAsia="zh-CN"/>
              </w:rPr>
              <w:t>投资</w:t>
            </w:r>
            <w:r>
              <w:rPr>
                <w:rFonts w:hint="default" w:ascii="Times New Roman" w:hAnsi="Times New Roman" w:eastAsia="宋体" w:cs="Times New Roman"/>
                <w:bCs/>
                <w:color w:val="auto"/>
                <w:sz w:val="24"/>
                <w:highlight w:val="none"/>
              </w:rPr>
              <w:t>约</w:t>
            </w:r>
            <w:r>
              <w:rPr>
                <w:rFonts w:hint="default" w:ascii="Times New Roman" w:hAnsi="Times New Roman" w:eastAsia="宋体" w:cs="Times New Roman"/>
                <w:bCs/>
                <w:color w:val="auto"/>
                <w:sz w:val="24"/>
                <w:highlight w:val="none"/>
                <w:lang w:val="en-US" w:eastAsia="zh-CN"/>
              </w:rPr>
              <w:t>17</w:t>
            </w:r>
            <w:r>
              <w:rPr>
                <w:rFonts w:hint="default" w:ascii="Times New Roman" w:hAnsi="Times New Roman" w:eastAsia="宋体" w:cs="Times New Roman"/>
                <w:bCs/>
                <w:color w:val="auto"/>
                <w:sz w:val="24"/>
                <w:highlight w:val="none"/>
              </w:rPr>
              <w:t>万元，约占总投资额的</w:t>
            </w:r>
            <w:r>
              <w:rPr>
                <w:rFonts w:hint="default" w:ascii="Times New Roman" w:hAnsi="Times New Roman" w:eastAsia="宋体" w:cs="Times New Roman"/>
                <w:bCs/>
                <w:color w:val="auto"/>
                <w:sz w:val="24"/>
                <w:highlight w:val="none"/>
                <w:lang w:val="en-US" w:eastAsia="zh-CN"/>
              </w:rPr>
              <w:t>28.33</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color w:val="auto"/>
                <w:sz w:val="24"/>
                <w:szCs w:val="24"/>
                <w:highlight w:val="none"/>
              </w:rPr>
              <w:t>。</w:t>
            </w:r>
          </w:p>
          <w:p w14:paraId="79E270B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建设内容：本项目主要建设一座锅炉房、一座生物质燃料库、一座</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新建1台10t/h生物质蒸汽锅炉。</w:t>
            </w:r>
          </w:p>
          <w:p w14:paraId="750954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项目组成情况见表2-1。</w:t>
            </w:r>
          </w:p>
          <w:p w14:paraId="1A28D199">
            <w:pPr>
              <w:spacing w:line="360" w:lineRule="auto"/>
              <w:ind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表2-1</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项目组成表</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72"/>
              <w:gridCol w:w="872"/>
              <w:gridCol w:w="5543"/>
              <w:gridCol w:w="990"/>
            </w:tblGrid>
            <w:tr w14:paraId="6324D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Align w:val="center"/>
                </w:tcPr>
                <w:p w14:paraId="3FB69132">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工程</w:t>
                  </w:r>
                </w:p>
              </w:tc>
              <w:tc>
                <w:tcPr>
                  <w:tcW w:w="872" w:type="dxa"/>
                  <w:vAlign w:val="center"/>
                </w:tcPr>
                <w:p w14:paraId="56DB16BC">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w:t>
                  </w:r>
                </w:p>
              </w:tc>
              <w:tc>
                <w:tcPr>
                  <w:tcW w:w="5543" w:type="dxa"/>
                  <w:vAlign w:val="center"/>
                </w:tcPr>
                <w:p w14:paraId="46AC264E">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本项目建设内容</w:t>
                  </w:r>
                </w:p>
              </w:tc>
              <w:tc>
                <w:tcPr>
                  <w:tcW w:w="990" w:type="dxa"/>
                  <w:vAlign w:val="center"/>
                </w:tcPr>
                <w:p w14:paraId="5E27EA03">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备注</w:t>
                  </w:r>
                </w:p>
              </w:tc>
            </w:tr>
            <w:tr w14:paraId="47B0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restart"/>
                  <w:vAlign w:val="center"/>
                </w:tcPr>
                <w:p w14:paraId="7C4512B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主体</w:t>
                  </w:r>
                </w:p>
                <w:p w14:paraId="52488AC3">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工程</w:t>
                  </w:r>
                </w:p>
              </w:tc>
              <w:tc>
                <w:tcPr>
                  <w:tcW w:w="872" w:type="dxa"/>
                  <w:vAlign w:val="center"/>
                </w:tcPr>
                <w:p w14:paraId="2A2CC17A">
                  <w:pPr>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锅炉房</w:t>
                  </w:r>
                </w:p>
              </w:tc>
              <w:tc>
                <w:tcPr>
                  <w:tcW w:w="5543" w:type="dxa"/>
                  <w:vAlign w:val="center"/>
                </w:tcPr>
                <w:p w14:paraId="2C68912C">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位于厂区南侧，</w:t>
                  </w:r>
                  <w:r>
                    <w:rPr>
                      <w:rFonts w:hint="default" w:ascii="Times New Roman" w:hAnsi="Times New Roman" w:eastAsia="宋体" w:cs="Times New Roman"/>
                      <w:color w:val="auto"/>
                      <w:szCs w:val="21"/>
                      <w:highlight w:val="none"/>
                      <w:lang w:eastAsia="zh-CN"/>
                    </w:rPr>
                    <w:t>占地</w:t>
                  </w:r>
                  <w:r>
                    <w:rPr>
                      <w:rFonts w:hint="default" w:ascii="Times New Roman" w:hAnsi="Times New Roman" w:eastAsia="宋体" w:cs="Times New Roman"/>
                      <w:color w:val="auto"/>
                      <w:szCs w:val="21"/>
                      <w:highlight w:val="none"/>
                    </w:rPr>
                    <w:t>面积为</w:t>
                  </w:r>
                  <w:r>
                    <w:rPr>
                      <w:rFonts w:hint="default" w:ascii="Times New Roman" w:hAnsi="Times New Roman" w:eastAsia="宋体" w:cs="Times New Roman"/>
                      <w:snapToGrid w:val="0"/>
                      <w:color w:val="auto"/>
                      <w:szCs w:val="21"/>
                      <w:highlight w:val="none"/>
                      <w:lang w:val="en-US" w:eastAsia="zh-CN"/>
                    </w:rPr>
                    <w:t>100</w:t>
                  </w:r>
                  <w:r>
                    <w:rPr>
                      <w:rFonts w:hint="default" w:ascii="Times New Roman" w:hAnsi="Times New Roman" w:eastAsia="宋体" w:cs="Times New Roman"/>
                      <w:color w:val="auto"/>
                      <w:szCs w:val="21"/>
                      <w:highlight w:val="none"/>
                    </w:rPr>
                    <w:t>m²，</w:t>
                  </w:r>
                  <w:r>
                    <w:rPr>
                      <w:rFonts w:hint="default" w:ascii="Times New Roman" w:hAnsi="Times New Roman" w:eastAsia="宋体" w:cs="Times New Roman"/>
                      <w:color w:val="auto"/>
                      <w:szCs w:val="21"/>
                      <w:highlight w:val="none"/>
                      <w:lang w:eastAsia="zh-CN"/>
                    </w:rPr>
                    <w:t>全封闭</w:t>
                  </w:r>
                  <w:r>
                    <w:rPr>
                      <w:rFonts w:hint="default" w:ascii="Times New Roman" w:hAnsi="Times New Roman" w:eastAsia="宋体" w:cs="Times New Roman"/>
                      <w:color w:val="auto"/>
                      <w:szCs w:val="21"/>
                      <w:highlight w:val="none"/>
                    </w:rPr>
                    <w:t>砖混结构</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内设1台</w:t>
                  </w:r>
                  <w:r>
                    <w:rPr>
                      <w:rFonts w:hint="default" w:ascii="Times New Roman" w:hAnsi="Times New Roman" w:eastAsia="宋体" w:cs="Times New Roman"/>
                      <w:color w:val="auto"/>
                      <w:szCs w:val="21"/>
                      <w:highlight w:val="none"/>
                      <w:lang w:eastAsia="zh-CN"/>
                    </w:rPr>
                    <w:t>10t/h生物质蒸汽锅炉（</w:t>
                  </w:r>
                  <w:r>
                    <w:rPr>
                      <w:rFonts w:hint="default" w:ascii="Times New Roman" w:hAnsi="Times New Roman" w:eastAsia="宋体" w:cs="Times New Roman"/>
                      <w:color w:val="auto"/>
                      <w:szCs w:val="21"/>
                      <w:highlight w:val="none"/>
                      <w:lang w:val="en-US" w:eastAsia="zh-CN"/>
                    </w:rPr>
                    <w:t>型号：SZL10-1.6-S</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并配套建设1台</w:t>
                  </w:r>
                  <w:r>
                    <w:rPr>
                      <w:rFonts w:hint="default" w:ascii="Times New Roman" w:hAnsi="Times New Roman" w:eastAsia="宋体" w:cs="Times New Roman"/>
                      <w:color w:val="auto"/>
                      <w:szCs w:val="21"/>
                      <w:highlight w:val="none"/>
                      <w:lang w:eastAsia="zh-CN"/>
                    </w:rPr>
                    <w:t>旋风除尘器、</w:t>
                  </w:r>
                  <w:r>
                    <w:rPr>
                      <w:rFonts w:hint="default" w:ascii="Times New Roman" w:hAnsi="Times New Roman" w:eastAsia="宋体" w:cs="Times New Roman"/>
                      <w:color w:val="auto"/>
                      <w:szCs w:val="21"/>
                      <w:highlight w:val="none"/>
                    </w:rPr>
                    <w:t>1台</w:t>
                  </w:r>
                  <w:r>
                    <w:rPr>
                      <w:rFonts w:hint="default"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rPr>
                    <w:t>、1根</w:t>
                  </w:r>
                  <w:r>
                    <w:rPr>
                      <w:rFonts w:hint="default" w:ascii="Times New Roman" w:hAnsi="Times New Roman" w:eastAsia="宋体" w:cs="Times New Roman"/>
                      <w:color w:val="auto"/>
                      <w:szCs w:val="21"/>
                      <w:highlight w:val="none"/>
                      <w:lang w:val="en-US" w:eastAsia="zh-CN"/>
                    </w:rPr>
                    <w:t>40m</w:t>
                  </w:r>
                  <w:r>
                    <w:rPr>
                      <w:rFonts w:hint="default" w:ascii="Times New Roman" w:hAnsi="Times New Roman" w:eastAsia="宋体" w:cs="Times New Roman"/>
                      <w:color w:val="auto"/>
                      <w:szCs w:val="21"/>
                      <w:highlight w:val="none"/>
                    </w:rPr>
                    <w:t>排气筒。</w:t>
                  </w:r>
                </w:p>
                <w:p w14:paraId="5360E525">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eastAsia="zh-CN"/>
                    </w:rPr>
                    <w:t>地面采用混凝土铺设</w:t>
                  </w:r>
                  <w:r>
                    <w:rPr>
                      <w:rFonts w:hint="default" w:ascii="Times New Roman" w:hAnsi="Times New Roman" w:eastAsia="宋体" w:cs="Times New Roman"/>
                      <w:color w:val="auto"/>
                      <w:kern w:val="0"/>
                      <w:szCs w:val="21"/>
                      <w:highlight w:val="none"/>
                    </w:rPr>
                    <w:t>。</w:t>
                  </w:r>
                </w:p>
              </w:tc>
              <w:tc>
                <w:tcPr>
                  <w:tcW w:w="990" w:type="dxa"/>
                  <w:vAlign w:val="center"/>
                </w:tcPr>
                <w:p w14:paraId="02F5B1C1">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43EC5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667AC861">
                  <w:pPr>
                    <w:jc w:val="center"/>
                    <w:rPr>
                      <w:rFonts w:hint="default" w:ascii="Times New Roman" w:hAnsi="Times New Roman" w:eastAsia="宋体" w:cs="Times New Roman"/>
                      <w:color w:val="auto"/>
                      <w:szCs w:val="21"/>
                      <w:highlight w:val="none"/>
                    </w:rPr>
                  </w:pPr>
                </w:p>
              </w:tc>
              <w:tc>
                <w:tcPr>
                  <w:tcW w:w="872" w:type="dxa"/>
                  <w:vAlign w:val="center"/>
                </w:tcPr>
                <w:p w14:paraId="2AB8BA5F">
                  <w:pPr>
                    <w:widowControl/>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生物质燃料库</w:t>
                  </w:r>
                </w:p>
              </w:tc>
              <w:tc>
                <w:tcPr>
                  <w:tcW w:w="5543" w:type="dxa"/>
                  <w:vAlign w:val="center"/>
                </w:tcPr>
                <w:p w14:paraId="5762776C">
                  <w:pPr>
                    <w:ind w:firstLine="420" w:firstLineChars="200"/>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位于厂区</w:t>
                  </w:r>
                  <w:r>
                    <w:rPr>
                      <w:rFonts w:hint="default" w:ascii="Times New Roman" w:hAnsi="Times New Roman" w:eastAsia="宋体" w:cs="Times New Roman"/>
                      <w:color w:val="auto"/>
                      <w:szCs w:val="21"/>
                      <w:highlight w:val="none"/>
                      <w:lang w:eastAsia="zh-CN"/>
                    </w:rPr>
                    <w:t>锅炉房</w:t>
                  </w:r>
                  <w:r>
                    <w:rPr>
                      <w:rFonts w:hint="default" w:ascii="Times New Roman" w:hAnsi="Times New Roman" w:eastAsia="宋体" w:cs="Times New Roman"/>
                      <w:color w:val="auto"/>
                      <w:szCs w:val="21"/>
                      <w:highlight w:val="none"/>
                      <w:lang w:val="en-US" w:eastAsia="zh-CN"/>
                    </w:rPr>
                    <w:t>西侧，</w:t>
                  </w:r>
                  <w:r>
                    <w:rPr>
                      <w:rFonts w:hint="default" w:ascii="Times New Roman" w:hAnsi="Times New Roman" w:eastAsia="宋体" w:cs="Times New Roman"/>
                      <w:color w:val="auto"/>
                      <w:szCs w:val="21"/>
                      <w:highlight w:val="none"/>
                      <w:lang w:eastAsia="zh-CN"/>
                    </w:rPr>
                    <w:t>占地</w:t>
                  </w:r>
                  <w:r>
                    <w:rPr>
                      <w:rFonts w:hint="default" w:ascii="Times New Roman" w:hAnsi="Times New Roman" w:eastAsia="宋体" w:cs="Times New Roman"/>
                      <w:color w:val="auto"/>
                      <w:szCs w:val="21"/>
                      <w:highlight w:val="none"/>
                    </w:rPr>
                    <w:t>面积为</w:t>
                  </w:r>
                  <w:r>
                    <w:rPr>
                      <w:rFonts w:hint="default" w:ascii="Times New Roman" w:hAnsi="Times New Roman" w:eastAsia="宋体" w:cs="Times New Roman"/>
                      <w:snapToGrid w:val="0"/>
                      <w:color w:val="auto"/>
                      <w:szCs w:val="21"/>
                      <w:highlight w:val="none"/>
                      <w:lang w:val="en-US" w:eastAsia="zh-CN"/>
                    </w:rPr>
                    <w:t>100</w:t>
                  </w:r>
                  <w:r>
                    <w:rPr>
                      <w:rFonts w:hint="default" w:ascii="Times New Roman" w:hAnsi="Times New Roman" w:eastAsia="宋体" w:cs="Times New Roman"/>
                      <w:color w:val="auto"/>
                      <w:szCs w:val="21"/>
                      <w:highlight w:val="none"/>
                    </w:rPr>
                    <w:t>m²，</w:t>
                  </w:r>
                  <w:r>
                    <w:rPr>
                      <w:rFonts w:hint="default" w:ascii="Times New Roman" w:hAnsi="Times New Roman" w:eastAsia="宋体" w:cs="Times New Roman"/>
                      <w:color w:val="auto"/>
                      <w:szCs w:val="21"/>
                      <w:highlight w:val="none"/>
                      <w:lang w:eastAsia="zh-CN"/>
                    </w:rPr>
                    <w:t>全封闭</w:t>
                  </w:r>
                  <w:r>
                    <w:rPr>
                      <w:rFonts w:hint="default" w:ascii="Times New Roman" w:hAnsi="Times New Roman" w:eastAsia="宋体" w:cs="Times New Roman"/>
                      <w:color w:val="auto"/>
                      <w:szCs w:val="21"/>
                      <w:highlight w:val="none"/>
                    </w:rPr>
                    <w:t>砖混结构</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用于储存生物质成型燃料。</w:t>
                  </w:r>
                </w:p>
                <w:p w14:paraId="177163AC">
                  <w:pPr>
                    <w:ind w:firstLine="420" w:firstLineChars="200"/>
                    <w:jc w:val="both"/>
                    <w:rPr>
                      <w:rFonts w:hint="default" w:ascii="Times New Roman" w:hAnsi="Times New Roman" w:eastAsia="宋体" w:cs="Times New Roman"/>
                      <w:color w:val="auto"/>
                      <w:szCs w:val="21"/>
                      <w:highlight w:val="none"/>
                      <w:vertAlign w:val="superscript"/>
                    </w:rPr>
                  </w:pPr>
                  <w:r>
                    <w:rPr>
                      <w:rFonts w:hint="default" w:ascii="Times New Roman" w:hAnsi="Times New Roman" w:eastAsia="宋体" w:cs="Times New Roman"/>
                      <w:color w:val="auto"/>
                      <w:kern w:val="0"/>
                      <w:szCs w:val="21"/>
                      <w:highlight w:val="none"/>
                      <w:lang w:eastAsia="zh-CN"/>
                    </w:rPr>
                    <w:t>地面采用混凝土铺设</w:t>
                  </w:r>
                  <w:r>
                    <w:rPr>
                      <w:rFonts w:hint="default" w:ascii="Times New Roman" w:hAnsi="Times New Roman" w:eastAsia="宋体" w:cs="Times New Roman"/>
                      <w:color w:val="auto"/>
                      <w:kern w:val="0"/>
                      <w:szCs w:val="21"/>
                      <w:highlight w:val="none"/>
                    </w:rPr>
                    <w:t>。</w:t>
                  </w:r>
                </w:p>
              </w:tc>
              <w:tc>
                <w:tcPr>
                  <w:tcW w:w="990" w:type="dxa"/>
                  <w:vAlign w:val="center"/>
                </w:tcPr>
                <w:p w14:paraId="4ECE9E63">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66051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50537433">
                  <w:pPr>
                    <w:jc w:val="center"/>
                    <w:rPr>
                      <w:rFonts w:hint="default" w:ascii="Times New Roman" w:hAnsi="Times New Roman" w:eastAsia="宋体" w:cs="Times New Roman"/>
                      <w:color w:val="auto"/>
                      <w:szCs w:val="21"/>
                      <w:highlight w:val="none"/>
                    </w:rPr>
                  </w:pPr>
                </w:p>
              </w:tc>
              <w:tc>
                <w:tcPr>
                  <w:tcW w:w="872" w:type="dxa"/>
                  <w:vAlign w:val="center"/>
                </w:tcPr>
                <w:p w14:paraId="7CF06928">
                  <w:pPr>
                    <w:widowControl/>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灰渣库</w:t>
                  </w:r>
                </w:p>
              </w:tc>
              <w:tc>
                <w:tcPr>
                  <w:tcW w:w="5543" w:type="dxa"/>
                  <w:vAlign w:val="center"/>
                </w:tcPr>
                <w:p w14:paraId="10BAE26A">
                  <w:pPr>
                    <w:ind w:firstLine="420" w:firstLineChars="200"/>
                    <w:jc w:val="both"/>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位于厂区</w:t>
                  </w:r>
                  <w:r>
                    <w:rPr>
                      <w:rFonts w:hint="default" w:ascii="Times New Roman" w:hAnsi="Times New Roman" w:eastAsia="宋体" w:cs="Times New Roman"/>
                      <w:color w:val="auto"/>
                      <w:szCs w:val="21"/>
                      <w:highlight w:val="none"/>
                      <w:lang w:eastAsia="zh-CN"/>
                    </w:rPr>
                    <w:t>锅炉房</w:t>
                  </w:r>
                  <w:r>
                    <w:rPr>
                      <w:rFonts w:hint="default" w:ascii="Times New Roman" w:hAnsi="Times New Roman" w:eastAsia="宋体" w:cs="Times New Roman"/>
                      <w:color w:val="auto"/>
                      <w:szCs w:val="21"/>
                      <w:highlight w:val="none"/>
                      <w:lang w:val="en-US" w:eastAsia="zh-CN"/>
                    </w:rPr>
                    <w:t>西侧，</w:t>
                  </w:r>
                  <w:r>
                    <w:rPr>
                      <w:rFonts w:hint="default" w:ascii="Times New Roman" w:hAnsi="Times New Roman" w:eastAsia="宋体" w:cs="Times New Roman"/>
                      <w:color w:val="auto"/>
                      <w:szCs w:val="21"/>
                      <w:highlight w:val="none"/>
                      <w:lang w:eastAsia="zh-CN"/>
                    </w:rPr>
                    <w:t>占地</w:t>
                  </w:r>
                  <w:r>
                    <w:rPr>
                      <w:rFonts w:hint="default" w:ascii="Times New Roman" w:hAnsi="Times New Roman" w:eastAsia="宋体" w:cs="Times New Roman"/>
                      <w:color w:val="auto"/>
                      <w:szCs w:val="21"/>
                      <w:highlight w:val="none"/>
                    </w:rPr>
                    <w:t>面积为</w:t>
                  </w:r>
                  <w:r>
                    <w:rPr>
                      <w:rFonts w:hint="default" w:ascii="Times New Roman" w:hAnsi="Times New Roman" w:eastAsia="宋体" w:cs="Times New Roman"/>
                      <w:snapToGrid w:val="0"/>
                      <w:color w:val="auto"/>
                      <w:szCs w:val="21"/>
                      <w:highlight w:val="none"/>
                      <w:lang w:val="en-US" w:eastAsia="zh-CN"/>
                    </w:rPr>
                    <w:t>100</w:t>
                  </w:r>
                  <w:r>
                    <w:rPr>
                      <w:rFonts w:hint="default" w:ascii="Times New Roman" w:hAnsi="Times New Roman" w:eastAsia="宋体" w:cs="Times New Roman"/>
                      <w:color w:val="auto"/>
                      <w:szCs w:val="21"/>
                      <w:highlight w:val="none"/>
                    </w:rPr>
                    <w:t>m²，全封闭砖混结构。用于储存</w:t>
                  </w:r>
                  <w:r>
                    <w:rPr>
                      <w:rFonts w:hint="default" w:ascii="Times New Roman" w:hAnsi="Times New Roman" w:eastAsia="宋体" w:cs="Times New Roman"/>
                      <w:color w:val="auto"/>
                      <w:szCs w:val="21"/>
                      <w:highlight w:val="none"/>
                      <w:lang w:eastAsia="zh-CN"/>
                    </w:rPr>
                    <w:t>生物质蒸汽锅炉</w:t>
                  </w:r>
                  <w:r>
                    <w:rPr>
                      <w:rFonts w:hint="default" w:ascii="Times New Roman" w:hAnsi="Times New Roman" w:eastAsia="宋体" w:cs="Times New Roman"/>
                      <w:color w:val="auto"/>
                      <w:szCs w:val="21"/>
                      <w:highlight w:val="none"/>
                    </w:rPr>
                    <w:t>产生的炉渣、</w:t>
                  </w:r>
                  <w:r>
                    <w:rPr>
                      <w:rFonts w:hint="default" w:ascii="Times New Roman" w:hAnsi="Times New Roman" w:eastAsia="宋体" w:cs="Times New Roman"/>
                      <w:color w:val="auto"/>
                      <w:szCs w:val="21"/>
                      <w:highlight w:val="none"/>
                      <w:lang w:eastAsia="zh-CN"/>
                    </w:rPr>
                    <w:t>旋风除尘器和布袋除尘器</w:t>
                  </w:r>
                  <w:r>
                    <w:rPr>
                      <w:rFonts w:hint="default" w:ascii="Times New Roman" w:hAnsi="Times New Roman" w:eastAsia="宋体" w:cs="Times New Roman"/>
                      <w:color w:val="auto"/>
                      <w:szCs w:val="21"/>
                      <w:highlight w:val="none"/>
                    </w:rPr>
                    <w:t>收集的除尘灰。</w:t>
                  </w:r>
                </w:p>
                <w:p w14:paraId="511CEFCD">
                  <w:pPr>
                    <w:ind w:firstLine="420" w:firstLineChars="200"/>
                    <w:jc w:val="both"/>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地面采用混凝土+高分子防渗布重新铺设，渗透系数≤10</w:t>
                  </w:r>
                  <w:r>
                    <w:rPr>
                      <w:rFonts w:hint="default" w:ascii="Times New Roman" w:hAnsi="Times New Roman" w:eastAsia="宋体" w:cs="Times New Roman"/>
                      <w:color w:val="auto"/>
                      <w:kern w:val="0"/>
                      <w:szCs w:val="21"/>
                      <w:highlight w:val="none"/>
                      <w:vertAlign w:val="superscript"/>
                      <w:lang w:val="en-US" w:eastAsia="zh-CN"/>
                    </w:rPr>
                    <w:t>-</w:t>
                  </w:r>
                  <w:r>
                    <w:rPr>
                      <w:rFonts w:hint="default" w:ascii="Times New Roman" w:hAnsi="Times New Roman" w:eastAsia="宋体" w:cs="Times New Roman"/>
                      <w:color w:val="auto"/>
                      <w:kern w:val="0"/>
                      <w:szCs w:val="21"/>
                      <w:highlight w:val="none"/>
                      <w:vertAlign w:val="superscript"/>
                    </w:rPr>
                    <w:t>7</w:t>
                  </w:r>
                  <w:r>
                    <w:rPr>
                      <w:rFonts w:hint="default" w:ascii="Times New Roman" w:hAnsi="Times New Roman" w:eastAsia="宋体" w:cs="Times New Roman"/>
                      <w:color w:val="auto"/>
                      <w:kern w:val="0"/>
                      <w:szCs w:val="21"/>
                      <w:highlight w:val="none"/>
                    </w:rPr>
                    <w:t>cm/s</w:t>
                  </w:r>
                  <w:r>
                    <w:rPr>
                      <w:rFonts w:hint="default" w:ascii="Times New Roman" w:hAnsi="Times New Roman" w:eastAsia="宋体" w:cs="Times New Roman"/>
                      <w:color w:val="auto"/>
                      <w:szCs w:val="21"/>
                      <w:highlight w:val="none"/>
                    </w:rPr>
                    <w:t>。</w:t>
                  </w:r>
                </w:p>
              </w:tc>
              <w:tc>
                <w:tcPr>
                  <w:tcW w:w="990" w:type="dxa"/>
                  <w:vAlign w:val="center"/>
                </w:tcPr>
                <w:p w14:paraId="31BA4436">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0D1BE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restart"/>
                  <w:vAlign w:val="center"/>
                </w:tcPr>
                <w:p w14:paraId="432618B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公用工程</w:t>
                  </w:r>
                </w:p>
              </w:tc>
              <w:tc>
                <w:tcPr>
                  <w:tcW w:w="872" w:type="dxa"/>
                  <w:vAlign w:val="center"/>
                </w:tcPr>
                <w:p w14:paraId="732B24B6">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给水</w:t>
                  </w:r>
                </w:p>
              </w:tc>
              <w:tc>
                <w:tcPr>
                  <w:tcW w:w="5543" w:type="dxa"/>
                  <w:vAlign w:val="center"/>
                </w:tcPr>
                <w:p w14:paraId="313B3B65">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本项目供水来自</w:t>
                  </w:r>
                  <w:r>
                    <w:rPr>
                      <w:rFonts w:hint="default" w:ascii="Times New Roman" w:hAnsi="Times New Roman" w:eastAsia="宋体" w:cs="Times New Roman"/>
                      <w:color w:val="auto"/>
                      <w:szCs w:val="21"/>
                      <w:highlight w:val="none"/>
                      <w:lang w:val="en-US" w:eastAsia="zh-CN"/>
                    </w:rPr>
                    <w:t>园区供水管网</w:t>
                  </w:r>
                  <w:r>
                    <w:rPr>
                      <w:rFonts w:hint="default" w:ascii="Times New Roman" w:hAnsi="Times New Roman" w:eastAsia="宋体" w:cs="Times New Roman"/>
                      <w:color w:val="auto"/>
                      <w:szCs w:val="21"/>
                      <w:highlight w:val="none"/>
                    </w:rPr>
                    <w:t>。</w:t>
                  </w:r>
                </w:p>
              </w:tc>
              <w:tc>
                <w:tcPr>
                  <w:tcW w:w="990" w:type="dxa"/>
                  <w:vAlign w:val="center"/>
                </w:tcPr>
                <w:p w14:paraId="4C8BF20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依托现有</w:t>
                  </w:r>
                </w:p>
              </w:tc>
            </w:tr>
            <w:tr w14:paraId="1CD8C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4DAE0046">
                  <w:pPr>
                    <w:jc w:val="center"/>
                    <w:rPr>
                      <w:rFonts w:hint="default" w:ascii="Times New Roman" w:hAnsi="Times New Roman" w:eastAsia="宋体" w:cs="Times New Roman"/>
                      <w:color w:val="auto"/>
                      <w:szCs w:val="21"/>
                      <w:highlight w:val="none"/>
                    </w:rPr>
                  </w:pPr>
                </w:p>
              </w:tc>
              <w:tc>
                <w:tcPr>
                  <w:tcW w:w="872" w:type="dxa"/>
                  <w:vAlign w:val="center"/>
                </w:tcPr>
                <w:p w14:paraId="377FC04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排水</w:t>
                  </w:r>
                </w:p>
              </w:tc>
              <w:tc>
                <w:tcPr>
                  <w:tcW w:w="5543" w:type="dxa"/>
                  <w:vAlign w:val="center"/>
                </w:tcPr>
                <w:p w14:paraId="4345DD77">
                  <w:pPr>
                    <w:ind w:firstLine="420" w:firstLineChars="200"/>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软水制备废水和锅炉排污水</w:t>
                  </w:r>
                  <w:r>
                    <w:rPr>
                      <w:rFonts w:hint="default" w:ascii="Times New Roman" w:hAnsi="Times New Roman" w:eastAsia="宋体" w:cs="Times New Roman"/>
                      <w:color w:val="auto"/>
                      <w:szCs w:val="21"/>
                      <w:highlight w:val="none"/>
                      <w:lang w:eastAsia="zh-CN"/>
                    </w:rPr>
                    <w:t>用于厂区运输道路和物料堆场降尘洒水</w:t>
                  </w:r>
                  <w:r>
                    <w:rPr>
                      <w:rFonts w:hint="default" w:ascii="Times New Roman" w:hAnsi="Times New Roman" w:eastAsia="宋体" w:cs="Times New Roman"/>
                      <w:color w:val="auto"/>
                      <w:szCs w:val="21"/>
                      <w:highlight w:val="none"/>
                    </w:rPr>
                    <w:t>，不外排；</w:t>
                  </w:r>
                </w:p>
              </w:tc>
              <w:tc>
                <w:tcPr>
                  <w:tcW w:w="990" w:type="dxa"/>
                  <w:vAlign w:val="center"/>
                </w:tcPr>
                <w:p w14:paraId="318E494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依托现有</w:t>
                  </w:r>
                </w:p>
              </w:tc>
            </w:tr>
            <w:tr w14:paraId="05A8C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2BDE9423">
                  <w:pPr>
                    <w:jc w:val="center"/>
                    <w:rPr>
                      <w:rFonts w:hint="default" w:ascii="Times New Roman" w:hAnsi="Times New Roman" w:eastAsia="宋体" w:cs="Times New Roman"/>
                      <w:color w:val="auto"/>
                      <w:szCs w:val="21"/>
                      <w:highlight w:val="none"/>
                    </w:rPr>
                  </w:pPr>
                </w:p>
              </w:tc>
              <w:tc>
                <w:tcPr>
                  <w:tcW w:w="872" w:type="dxa"/>
                  <w:vAlign w:val="center"/>
                </w:tcPr>
                <w:p w14:paraId="3323F737">
                  <w:pPr>
                    <w:widowControl/>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供电</w:t>
                  </w:r>
                </w:p>
              </w:tc>
              <w:tc>
                <w:tcPr>
                  <w:tcW w:w="5543" w:type="dxa"/>
                  <w:vAlign w:val="center"/>
                </w:tcPr>
                <w:p w14:paraId="2434B2BE">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由厂区</w:t>
                  </w:r>
                  <w:r>
                    <w:rPr>
                      <w:rFonts w:hint="default" w:ascii="Times New Roman" w:hAnsi="Times New Roman" w:eastAsia="宋体" w:cs="Times New Roman"/>
                      <w:color w:val="auto"/>
                      <w:szCs w:val="21"/>
                      <w:highlight w:val="none"/>
                      <w:lang w:eastAsia="zh-CN"/>
                    </w:rPr>
                    <w:t>现有供电系统提供。</w:t>
                  </w:r>
                </w:p>
              </w:tc>
              <w:tc>
                <w:tcPr>
                  <w:tcW w:w="990" w:type="dxa"/>
                  <w:vAlign w:val="center"/>
                </w:tcPr>
                <w:p w14:paraId="23323A3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依托现有</w:t>
                  </w:r>
                </w:p>
              </w:tc>
            </w:tr>
            <w:tr w14:paraId="141A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1EC58C2E">
                  <w:pPr>
                    <w:jc w:val="center"/>
                    <w:rPr>
                      <w:rFonts w:hint="default" w:ascii="Times New Roman" w:hAnsi="Times New Roman" w:eastAsia="宋体" w:cs="Times New Roman"/>
                      <w:color w:val="auto"/>
                      <w:szCs w:val="21"/>
                      <w:highlight w:val="none"/>
                    </w:rPr>
                  </w:pPr>
                </w:p>
              </w:tc>
              <w:tc>
                <w:tcPr>
                  <w:tcW w:w="872" w:type="dxa"/>
                  <w:vAlign w:val="center"/>
                </w:tcPr>
                <w:p w14:paraId="433DA184">
                  <w:pPr>
                    <w:widowControl/>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供暖</w:t>
                  </w:r>
                </w:p>
              </w:tc>
              <w:tc>
                <w:tcPr>
                  <w:tcW w:w="5543" w:type="dxa"/>
                  <w:vAlign w:val="center"/>
                </w:tcPr>
                <w:p w14:paraId="109656C6">
                  <w:pPr>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冬季</w:t>
                  </w:r>
                  <w:r>
                    <w:rPr>
                      <w:rFonts w:hint="default" w:ascii="Times New Roman" w:hAnsi="Times New Roman" w:eastAsia="宋体" w:cs="Times New Roman"/>
                      <w:color w:val="auto"/>
                      <w:sz w:val="21"/>
                      <w:szCs w:val="21"/>
                      <w:highlight w:val="none"/>
                      <w:lang w:val="en-US" w:eastAsia="zh-CN"/>
                    </w:rPr>
                    <w:t>办公楼供暖由厂区现有供暖系统供给</w:t>
                  </w:r>
                  <w:r>
                    <w:rPr>
                      <w:rFonts w:hint="default" w:ascii="Times New Roman" w:hAnsi="Times New Roman" w:eastAsia="宋体" w:cs="Times New Roman"/>
                      <w:color w:val="auto"/>
                      <w:sz w:val="21"/>
                      <w:szCs w:val="21"/>
                      <w:highlight w:val="none"/>
                    </w:rPr>
                    <w:t>。</w:t>
                  </w:r>
                </w:p>
              </w:tc>
              <w:tc>
                <w:tcPr>
                  <w:tcW w:w="990" w:type="dxa"/>
                  <w:vAlign w:val="center"/>
                </w:tcPr>
                <w:p w14:paraId="12C3C50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rPr>
                    <w:t>依托现有</w:t>
                  </w:r>
                </w:p>
              </w:tc>
            </w:tr>
            <w:tr w14:paraId="6CD75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restart"/>
                  <w:vAlign w:val="center"/>
                </w:tcPr>
                <w:p w14:paraId="12CC7E8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环保工程</w:t>
                  </w:r>
                </w:p>
              </w:tc>
              <w:tc>
                <w:tcPr>
                  <w:tcW w:w="872" w:type="dxa"/>
                  <w:vMerge w:val="restart"/>
                  <w:vAlign w:val="center"/>
                </w:tcPr>
                <w:p w14:paraId="4E1881A8">
                  <w:pPr>
                    <w:widowControl/>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废气治理</w:t>
                  </w:r>
                </w:p>
              </w:tc>
              <w:tc>
                <w:tcPr>
                  <w:tcW w:w="5543" w:type="dxa"/>
                  <w:vAlign w:val="center"/>
                </w:tcPr>
                <w:p w14:paraId="11E4DA51">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生物质蒸汽锅炉</w:t>
                  </w:r>
                  <w:r>
                    <w:rPr>
                      <w:rFonts w:hint="default" w:ascii="Times New Roman" w:hAnsi="Times New Roman" w:eastAsia="宋体" w:cs="Times New Roman"/>
                      <w:color w:val="auto"/>
                      <w:szCs w:val="21"/>
                      <w:highlight w:val="none"/>
                    </w:rPr>
                    <w:t>产生的废气经1台</w:t>
                  </w:r>
                  <w:r>
                    <w:rPr>
                      <w:rFonts w:hint="default" w:ascii="Times New Roman" w:hAnsi="Times New Roman" w:eastAsia="宋体" w:cs="Times New Roman"/>
                      <w:color w:val="auto"/>
                      <w:szCs w:val="21"/>
                      <w:highlight w:val="none"/>
                      <w:lang w:eastAsia="zh-CN"/>
                    </w:rPr>
                    <w:t>旋风除尘器和</w:t>
                  </w:r>
                  <w:r>
                    <w:rPr>
                      <w:rFonts w:hint="default" w:ascii="Times New Roman" w:hAnsi="Times New Roman" w:eastAsia="宋体" w:cs="Times New Roman"/>
                      <w:color w:val="auto"/>
                      <w:szCs w:val="21"/>
                      <w:highlight w:val="none"/>
                    </w:rPr>
                    <w:t>1台</w:t>
                  </w:r>
                  <w:r>
                    <w:rPr>
                      <w:rFonts w:hint="default"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rPr>
                    <w:t>处理后，由1根高</w:t>
                  </w:r>
                  <w:r>
                    <w:rPr>
                      <w:rFonts w:hint="default" w:ascii="Times New Roman" w:hAnsi="Times New Roman" w:eastAsia="宋体" w:cs="Times New Roman"/>
                      <w:color w:val="auto"/>
                      <w:szCs w:val="21"/>
                      <w:highlight w:val="none"/>
                      <w:lang w:val="en-US" w:eastAsia="zh-CN"/>
                    </w:rPr>
                    <w:t>40m</w:t>
                  </w:r>
                  <w:r>
                    <w:rPr>
                      <w:rFonts w:hint="default" w:ascii="Times New Roman" w:hAnsi="Times New Roman" w:eastAsia="宋体" w:cs="Times New Roman"/>
                      <w:color w:val="auto"/>
                      <w:szCs w:val="21"/>
                      <w:highlight w:val="none"/>
                    </w:rPr>
                    <w:t>排气筒排放。</w:t>
                  </w:r>
                </w:p>
              </w:tc>
              <w:tc>
                <w:tcPr>
                  <w:tcW w:w="990" w:type="dxa"/>
                  <w:vAlign w:val="center"/>
                </w:tcPr>
                <w:p w14:paraId="4A7519D0">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23BA3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6DE618AC">
                  <w:pPr>
                    <w:jc w:val="center"/>
                    <w:rPr>
                      <w:rFonts w:hint="default" w:ascii="Times New Roman" w:hAnsi="Times New Roman" w:eastAsia="宋体" w:cs="Times New Roman"/>
                      <w:color w:val="auto"/>
                      <w:szCs w:val="21"/>
                      <w:highlight w:val="none"/>
                    </w:rPr>
                  </w:pPr>
                </w:p>
              </w:tc>
              <w:tc>
                <w:tcPr>
                  <w:tcW w:w="872" w:type="dxa"/>
                  <w:vMerge w:val="continue"/>
                  <w:vAlign w:val="center"/>
                </w:tcPr>
                <w:p w14:paraId="0D94FCB4">
                  <w:pPr>
                    <w:widowControl/>
                    <w:adjustRightInd w:val="0"/>
                    <w:snapToGrid w:val="0"/>
                    <w:jc w:val="center"/>
                    <w:rPr>
                      <w:rFonts w:hint="default" w:ascii="Times New Roman" w:hAnsi="Times New Roman" w:eastAsia="宋体" w:cs="Times New Roman"/>
                      <w:color w:val="auto"/>
                      <w:szCs w:val="21"/>
                      <w:highlight w:val="none"/>
                    </w:rPr>
                  </w:pPr>
                </w:p>
              </w:tc>
              <w:tc>
                <w:tcPr>
                  <w:tcW w:w="5543" w:type="dxa"/>
                  <w:vAlign w:val="center"/>
                </w:tcPr>
                <w:p w14:paraId="3439D73F">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生物质蒸汽锅炉</w:t>
                  </w:r>
                  <w:r>
                    <w:rPr>
                      <w:rFonts w:hint="default" w:ascii="Times New Roman" w:hAnsi="Times New Roman" w:eastAsia="宋体" w:cs="Times New Roman"/>
                      <w:color w:val="auto"/>
                      <w:szCs w:val="21"/>
                      <w:highlight w:val="none"/>
                    </w:rPr>
                    <w:t>出渣采用湿出渣方式，出渣过程无粉尘排放。</w:t>
                  </w:r>
                </w:p>
              </w:tc>
              <w:tc>
                <w:tcPr>
                  <w:tcW w:w="990" w:type="dxa"/>
                  <w:vAlign w:val="center"/>
                </w:tcPr>
                <w:p w14:paraId="5A418C4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新建</w:t>
                  </w:r>
                </w:p>
              </w:tc>
            </w:tr>
            <w:tr w14:paraId="3A781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12B45599">
                  <w:pPr>
                    <w:jc w:val="center"/>
                    <w:rPr>
                      <w:rFonts w:hint="default" w:ascii="Times New Roman" w:hAnsi="Times New Roman" w:eastAsia="宋体" w:cs="Times New Roman"/>
                      <w:color w:val="auto"/>
                      <w:szCs w:val="21"/>
                      <w:highlight w:val="none"/>
                    </w:rPr>
                  </w:pPr>
                </w:p>
              </w:tc>
              <w:tc>
                <w:tcPr>
                  <w:tcW w:w="872" w:type="dxa"/>
                  <w:vMerge w:val="continue"/>
                  <w:vAlign w:val="center"/>
                </w:tcPr>
                <w:p w14:paraId="51BC1FC8">
                  <w:pPr>
                    <w:widowControl/>
                    <w:adjustRightInd w:val="0"/>
                    <w:snapToGrid w:val="0"/>
                    <w:jc w:val="center"/>
                    <w:rPr>
                      <w:rFonts w:hint="default" w:ascii="Times New Roman" w:hAnsi="Times New Roman" w:eastAsia="宋体" w:cs="Times New Roman"/>
                      <w:color w:val="auto"/>
                      <w:szCs w:val="21"/>
                      <w:highlight w:val="none"/>
                    </w:rPr>
                  </w:pPr>
                </w:p>
              </w:tc>
              <w:tc>
                <w:tcPr>
                  <w:tcW w:w="5543" w:type="dxa"/>
                  <w:vAlign w:val="center"/>
                </w:tcPr>
                <w:p w14:paraId="3C3B9647">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灰渣卸载</w:t>
                  </w:r>
                  <w:r>
                    <w:rPr>
                      <w:rFonts w:hint="default" w:ascii="Times New Roman" w:hAnsi="Times New Roman" w:eastAsia="宋体" w:cs="Times New Roman"/>
                      <w:color w:val="auto"/>
                      <w:szCs w:val="21"/>
                      <w:highlight w:val="none"/>
                      <w:lang w:eastAsia="zh-CN"/>
                    </w:rPr>
                    <w:t>、储存</w:t>
                  </w:r>
                  <w:r>
                    <w:rPr>
                      <w:rFonts w:hint="default" w:ascii="Times New Roman" w:hAnsi="Times New Roman" w:eastAsia="宋体" w:cs="Times New Roman"/>
                      <w:color w:val="auto"/>
                      <w:szCs w:val="21"/>
                      <w:highlight w:val="none"/>
                    </w:rPr>
                    <w:t>过程中产生的颗粒物经</w:t>
                  </w:r>
                  <w:r>
                    <w:rPr>
                      <w:rFonts w:hint="default" w:ascii="Times New Roman" w:hAnsi="Times New Roman" w:eastAsia="宋体" w:cs="Times New Roman"/>
                      <w:color w:val="auto"/>
                      <w:szCs w:val="21"/>
                      <w:highlight w:val="none"/>
                      <w:lang w:val="en-US" w:eastAsia="zh-CN"/>
                    </w:rPr>
                    <w:t>全</w:t>
                  </w:r>
                  <w:r>
                    <w:rPr>
                      <w:rFonts w:hint="default" w:ascii="Times New Roman" w:hAnsi="Times New Roman" w:eastAsia="宋体" w:cs="Times New Roman"/>
                      <w:color w:val="auto"/>
                      <w:szCs w:val="21"/>
                      <w:highlight w:val="none"/>
                    </w:rPr>
                    <w:t>封闭</w:t>
                  </w:r>
                  <w:r>
                    <w:rPr>
                      <w:rFonts w:hint="default" w:ascii="Times New Roman" w:hAnsi="Times New Roman" w:eastAsia="宋体" w:cs="Times New Roman"/>
                      <w:color w:val="auto"/>
                      <w:szCs w:val="21"/>
                      <w:highlight w:val="none"/>
                      <w:lang w:eastAsia="zh-CN"/>
                    </w:rPr>
                    <w:t>灰渣库</w:t>
                  </w:r>
                  <w:r>
                    <w:rPr>
                      <w:rFonts w:hint="default" w:ascii="Times New Roman" w:hAnsi="Times New Roman" w:eastAsia="宋体" w:cs="Times New Roman"/>
                      <w:color w:val="auto"/>
                      <w:szCs w:val="21"/>
                      <w:highlight w:val="none"/>
                    </w:rPr>
                    <w:t>沉降后，以无组织形式排放。</w:t>
                  </w:r>
                </w:p>
              </w:tc>
              <w:tc>
                <w:tcPr>
                  <w:tcW w:w="990" w:type="dxa"/>
                  <w:vAlign w:val="center"/>
                </w:tcPr>
                <w:p w14:paraId="4EA61E91">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14D38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4016EB00">
                  <w:pPr>
                    <w:jc w:val="center"/>
                    <w:rPr>
                      <w:rFonts w:hint="default" w:ascii="Times New Roman" w:hAnsi="Times New Roman" w:eastAsia="宋体" w:cs="Times New Roman"/>
                      <w:color w:val="auto"/>
                      <w:szCs w:val="21"/>
                      <w:highlight w:val="none"/>
                    </w:rPr>
                  </w:pPr>
                </w:p>
              </w:tc>
              <w:tc>
                <w:tcPr>
                  <w:tcW w:w="872" w:type="dxa"/>
                  <w:vAlign w:val="center"/>
                </w:tcPr>
                <w:p w14:paraId="38730778">
                  <w:pPr>
                    <w:widowControl/>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5543" w:type="dxa"/>
                  <w:vAlign w:val="center"/>
                </w:tcPr>
                <w:p w14:paraId="20823CBA">
                  <w:pPr>
                    <w:ind w:firstLine="420" w:firstLineChars="200"/>
                    <w:jc w:val="lef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软水制备废水和锅炉排污水</w:t>
                  </w:r>
                  <w:r>
                    <w:rPr>
                      <w:rFonts w:hint="default" w:ascii="Times New Roman" w:hAnsi="Times New Roman" w:eastAsia="宋体" w:cs="Times New Roman"/>
                      <w:color w:val="auto"/>
                      <w:szCs w:val="21"/>
                      <w:highlight w:val="none"/>
                      <w:lang w:eastAsia="zh-CN"/>
                    </w:rPr>
                    <w:t>用于厂区运输道路和物料堆场降尘洒水</w:t>
                  </w:r>
                  <w:r>
                    <w:rPr>
                      <w:rFonts w:hint="default" w:ascii="Times New Roman" w:hAnsi="Times New Roman" w:eastAsia="宋体" w:cs="Times New Roman"/>
                      <w:color w:val="auto"/>
                      <w:szCs w:val="21"/>
                      <w:highlight w:val="none"/>
                    </w:rPr>
                    <w:t>，不外排</w:t>
                  </w:r>
                  <w:r>
                    <w:rPr>
                      <w:rFonts w:hint="default" w:ascii="Times New Roman" w:hAnsi="Times New Roman" w:eastAsia="宋体" w:cs="Times New Roman"/>
                      <w:color w:val="auto"/>
                      <w:szCs w:val="21"/>
                      <w:highlight w:val="none"/>
                      <w:lang w:eastAsia="zh-CN"/>
                    </w:rPr>
                    <w:t>。</w:t>
                  </w:r>
                </w:p>
              </w:tc>
              <w:tc>
                <w:tcPr>
                  <w:tcW w:w="990" w:type="dxa"/>
                  <w:vAlign w:val="center"/>
                </w:tcPr>
                <w:p w14:paraId="36161B1A">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新建</w:t>
                  </w:r>
                </w:p>
              </w:tc>
            </w:tr>
            <w:tr w14:paraId="626DD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3E1F0C40">
                  <w:pPr>
                    <w:jc w:val="center"/>
                    <w:rPr>
                      <w:rFonts w:hint="default" w:ascii="Times New Roman" w:hAnsi="Times New Roman" w:eastAsia="宋体" w:cs="Times New Roman"/>
                      <w:color w:val="auto"/>
                      <w:szCs w:val="21"/>
                      <w:highlight w:val="none"/>
                    </w:rPr>
                  </w:pPr>
                </w:p>
              </w:tc>
              <w:tc>
                <w:tcPr>
                  <w:tcW w:w="872" w:type="dxa"/>
                  <w:vMerge w:val="restart"/>
                  <w:vAlign w:val="center"/>
                </w:tcPr>
                <w:p w14:paraId="04940172">
                  <w:pPr>
                    <w:widowControl/>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固废</w:t>
                  </w:r>
                  <w:r>
                    <w:rPr>
                      <w:rFonts w:hint="default" w:ascii="Times New Roman" w:hAnsi="Times New Roman" w:eastAsia="宋体" w:cs="Times New Roman"/>
                      <w:color w:val="auto"/>
                      <w:szCs w:val="21"/>
                      <w:highlight w:val="none"/>
                    </w:rPr>
                    <w:t>治理</w:t>
                  </w:r>
                </w:p>
              </w:tc>
              <w:tc>
                <w:tcPr>
                  <w:tcW w:w="5543" w:type="dxa"/>
                  <w:vAlign w:val="center"/>
                </w:tcPr>
                <w:p w14:paraId="54EE6E60">
                  <w:pPr>
                    <w:adjustRightInd w:val="0"/>
                    <w:snapToGrid w:val="0"/>
                    <w:spacing w:line="240" w:lineRule="atLeast"/>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生物质蒸汽锅炉</w:t>
                  </w:r>
                  <w:r>
                    <w:rPr>
                      <w:rFonts w:hint="default" w:ascii="Times New Roman" w:hAnsi="Times New Roman" w:eastAsia="宋体" w:cs="Times New Roman"/>
                      <w:color w:val="auto"/>
                      <w:szCs w:val="21"/>
                      <w:highlight w:val="none"/>
                    </w:rPr>
                    <w:t>产生的炉渣</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bCs/>
                      <w:color w:val="auto"/>
                      <w:szCs w:val="21"/>
                      <w:highlight w:val="none"/>
                    </w:rPr>
                    <w:t>暂存于全封闭</w:t>
                  </w:r>
                  <w:r>
                    <w:rPr>
                      <w:rFonts w:hint="default" w:ascii="Times New Roman" w:hAnsi="Times New Roman" w:eastAsia="宋体" w:cs="Times New Roman"/>
                      <w:bCs/>
                      <w:color w:val="auto"/>
                      <w:szCs w:val="21"/>
                      <w:highlight w:val="none"/>
                      <w:lang w:eastAsia="zh-CN"/>
                    </w:rPr>
                    <w:t>灰渣库</w:t>
                  </w:r>
                  <w:r>
                    <w:rPr>
                      <w:rFonts w:hint="default" w:ascii="Times New Roman" w:hAnsi="Times New Roman" w:eastAsia="宋体" w:cs="Times New Roman"/>
                      <w:bCs/>
                      <w:color w:val="auto"/>
                      <w:szCs w:val="21"/>
                      <w:highlight w:val="none"/>
                    </w:rPr>
                    <w:t>内</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eastAsia="zh-CN"/>
                    </w:rPr>
                    <w:t>作为原料回用于厂区现有加气混凝土砌块生产线</w:t>
                  </w:r>
                  <w:r>
                    <w:rPr>
                      <w:rFonts w:hint="default" w:ascii="Times New Roman" w:hAnsi="Times New Roman" w:eastAsia="宋体" w:cs="Times New Roman"/>
                      <w:color w:val="auto"/>
                      <w:szCs w:val="21"/>
                      <w:highlight w:val="none"/>
                    </w:rPr>
                    <w:t>。</w:t>
                  </w:r>
                </w:p>
              </w:tc>
              <w:tc>
                <w:tcPr>
                  <w:tcW w:w="990" w:type="dxa"/>
                  <w:vAlign w:val="center"/>
                </w:tcPr>
                <w:p w14:paraId="3E67E7A9">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288D4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872" w:type="dxa"/>
                  <w:vMerge w:val="continue"/>
                  <w:vAlign w:val="center"/>
                </w:tcPr>
                <w:p w14:paraId="6E01AEFD">
                  <w:pPr>
                    <w:jc w:val="center"/>
                    <w:rPr>
                      <w:rFonts w:hint="default" w:ascii="Times New Roman" w:hAnsi="Times New Roman" w:eastAsia="宋体" w:cs="Times New Roman"/>
                      <w:color w:val="auto"/>
                      <w:szCs w:val="21"/>
                      <w:highlight w:val="none"/>
                    </w:rPr>
                  </w:pPr>
                </w:p>
              </w:tc>
              <w:tc>
                <w:tcPr>
                  <w:tcW w:w="872" w:type="dxa"/>
                  <w:vMerge w:val="continue"/>
                  <w:vAlign w:val="center"/>
                </w:tcPr>
                <w:p w14:paraId="74F41AD2">
                  <w:pPr>
                    <w:widowControl/>
                    <w:adjustRightInd w:val="0"/>
                    <w:snapToGrid w:val="0"/>
                    <w:jc w:val="center"/>
                    <w:rPr>
                      <w:rFonts w:hint="default" w:ascii="Times New Roman" w:hAnsi="Times New Roman" w:eastAsia="宋体" w:cs="Times New Roman"/>
                      <w:color w:val="auto"/>
                      <w:highlight w:val="none"/>
                    </w:rPr>
                  </w:pPr>
                </w:p>
              </w:tc>
              <w:tc>
                <w:tcPr>
                  <w:tcW w:w="5543" w:type="dxa"/>
                  <w:vAlign w:val="center"/>
                </w:tcPr>
                <w:p w14:paraId="458472D3">
                  <w:pPr>
                    <w:adjustRightInd w:val="0"/>
                    <w:snapToGrid w:val="0"/>
                    <w:spacing w:line="240" w:lineRule="atLeast"/>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旋风除尘器和布袋除尘器</w:t>
                  </w:r>
                  <w:r>
                    <w:rPr>
                      <w:rFonts w:hint="default" w:ascii="Times New Roman" w:hAnsi="Times New Roman" w:eastAsia="宋体" w:cs="Times New Roman"/>
                      <w:color w:val="auto"/>
                      <w:szCs w:val="21"/>
                      <w:highlight w:val="none"/>
                    </w:rPr>
                    <w:t>收集的除尘灰，</w:t>
                  </w:r>
                  <w:r>
                    <w:rPr>
                      <w:rFonts w:hint="default" w:ascii="Times New Roman" w:hAnsi="Times New Roman" w:eastAsia="宋体" w:cs="Times New Roman"/>
                      <w:color w:val="auto"/>
                      <w:szCs w:val="21"/>
                      <w:highlight w:val="none"/>
                      <w:lang w:val="en-US" w:eastAsia="zh-CN"/>
                    </w:rPr>
                    <w:t>装袋后堆存于</w:t>
                  </w:r>
                  <w:r>
                    <w:rPr>
                      <w:rFonts w:hint="default" w:ascii="Times New Roman" w:hAnsi="Times New Roman" w:eastAsia="宋体" w:cs="Times New Roman"/>
                      <w:bCs/>
                      <w:color w:val="auto"/>
                      <w:szCs w:val="21"/>
                      <w:highlight w:val="none"/>
                    </w:rPr>
                    <w:t>全封闭</w:t>
                  </w:r>
                  <w:r>
                    <w:rPr>
                      <w:rFonts w:hint="default" w:ascii="Times New Roman" w:hAnsi="Times New Roman" w:eastAsia="宋体" w:cs="Times New Roman"/>
                      <w:bCs/>
                      <w:color w:val="auto"/>
                      <w:szCs w:val="21"/>
                      <w:highlight w:val="none"/>
                      <w:lang w:eastAsia="zh-CN"/>
                    </w:rPr>
                    <w:t>灰渣库</w:t>
                  </w:r>
                  <w:r>
                    <w:rPr>
                      <w:rFonts w:hint="default" w:ascii="Times New Roman" w:hAnsi="Times New Roman" w:eastAsia="宋体" w:cs="Times New Roman"/>
                      <w:bCs/>
                      <w:color w:val="auto"/>
                      <w:szCs w:val="21"/>
                      <w:highlight w:val="none"/>
                    </w:rPr>
                    <w:t>内</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eastAsia="zh-CN"/>
                    </w:rPr>
                    <w:t>作为原料回用于厂区现有加气混凝土砌块生产线</w:t>
                  </w:r>
                  <w:r>
                    <w:rPr>
                      <w:rFonts w:hint="default" w:ascii="Times New Roman" w:hAnsi="Times New Roman" w:eastAsia="宋体" w:cs="Times New Roman"/>
                      <w:color w:val="auto"/>
                      <w:szCs w:val="21"/>
                      <w:highlight w:val="none"/>
                    </w:rPr>
                    <w:t>。</w:t>
                  </w:r>
                </w:p>
              </w:tc>
              <w:tc>
                <w:tcPr>
                  <w:tcW w:w="990" w:type="dxa"/>
                  <w:vAlign w:val="center"/>
                </w:tcPr>
                <w:p w14:paraId="6ECB80F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新建</w:t>
                  </w:r>
                </w:p>
              </w:tc>
            </w:tr>
            <w:tr w14:paraId="528EC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2E599B72">
                  <w:pPr>
                    <w:jc w:val="center"/>
                    <w:rPr>
                      <w:rFonts w:hint="default" w:ascii="Times New Roman" w:hAnsi="Times New Roman" w:eastAsia="宋体" w:cs="Times New Roman"/>
                      <w:color w:val="auto"/>
                      <w:szCs w:val="21"/>
                      <w:highlight w:val="none"/>
                    </w:rPr>
                  </w:pPr>
                </w:p>
              </w:tc>
              <w:tc>
                <w:tcPr>
                  <w:tcW w:w="872" w:type="dxa"/>
                  <w:vMerge w:val="continue"/>
                  <w:vAlign w:val="center"/>
                </w:tcPr>
                <w:p w14:paraId="6372C8F9">
                  <w:pPr>
                    <w:widowControl/>
                    <w:adjustRightInd w:val="0"/>
                    <w:snapToGrid w:val="0"/>
                    <w:jc w:val="center"/>
                    <w:rPr>
                      <w:rFonts w:hint="default" w:ascii="Times New Roman" w:hAnsi="Times New Roman" w:eastAsia="宋体" w:cs="Times New Roman"/>
                      <w:color w:val="auto"/>
                      <w:szCs w:val="21"/>
                      <w:highlight w:val="none"/>
                    </w:rPr>
                  </w:pPr>
                </w:p>
              </w:tc>
              <w:tc>
                <w:tcPr>
                  <w:tcW w:w="5543" w:type="dxa"/>
                  <w:vAlign w:val="center"/>
                </w:tcPr>
                <w:p w14:paraId="012B9A3F">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软水制备装置产生的废饱和树脂定期更换，由销售厂家直接回收，不在厂区内储存。</w:t>
                  </w:r>
                </w:p>
              </w:tc>
              <w:tc>
                <w:tcPr>
                  <w:tcW w:w="990" w:type="dxa"/>
                  <w:vAlign w:val="center"/>
                </w:tcPr>
                <w:p w14:paraId="5FA9A959">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r w14:paraId="23CBB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872" w:type="dxa"/>
                  <w:vMerge w:val="continue"/>
                  <w:vAlign w:val="center"/>
                </w:tcPr>
                <w:p w14:paraId="69D7E558">
                  <w:pPr>
                    <w:jc w:val="center"/>
                    <w:rPr>
                      <w:rFonts w:hint="default" w:ascii="Times New Roman" w:hAnsi="Times New Roman" w:eastAsia="宋体" w:cs="Times New Roman"/>
                      <w:color w:val="auto"/>
                      <w:szCs w:val="21"/>
                      <w:highlight w:val="none"/>
                    </w:rPr>
                  </w:pPr>
                </w:p>
              </w:tc>
              <w:tc>
                <w:tcPr>
                  <w:tcW w:w="872" w:type="dxa"/>
                  <w:vAlign w:val="center"/>
                </w:tcPr>
                <w:p w14:paraId="69EDDEE7">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噪声治理</w:t>
                  </w:r>
                </w:p>
              </w:tc>
              <w:tc>
                <w:tcPr>
                  <w:tcW w:w="5543" w:type="dxa"/>
                  <w:vAlign w:val="center"/>
                </w:tcPr>
                <w:p w14:paraId="7C5B3966">
                  <w:pPr>
                    <w:ind w:firstLine="420" w:firstLineChars="200"/>
                    <w:jc w:val="lef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基础</w:t>
                  </w:r>
                  <w:r>
                    <w:rPr>
                      <w:rFonts w:hint="eastAsia" w:ascii="Times New Roman" w:hAnsi="Times New Roman" w:eastAsia="宋体" w:cs="Times New Roman"/>
                      <w:color w:val="auto"/>
                      <w:szCs w:val="21"/>
                      <w:highlight w:val="none"/>
                      <w:lang w:eastAsia="zh-CN"/>
                    </w:rPr>
                    <w:t>减振</w:t>
                  </w:r>
                  <w:r>
                    <w:rPr>
                      <w:rFonts w:hint="default" w:ascii="Times New Roman" w:hAnsi="Times New Roman" w:eastAsia="宋体" w:cs="Times New Roman"/>
                      <w:color w:val="auto"/>
                      <w:szCs w:val="21"/>
                      <w:highlight w:val="none"/>
                    </w:rPr>
                    <w:t>、厂房隔声。</w:t>
                  </w:r>
                </w:p>
              </w:tc>
              <w:tc>
                <w:tcPr>
                  <w:tcW w:w="990" w:type="dxa"/>
                  <w:vAlign w:val="center"/>
                </w:tcPr>
                <w:p w14:paraId="5AF78CBA">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color w:val="auto"/>
                      <w:szCs w:val="21"/>
                      <w:highlight w:val="none"/>
                    </w:rPr>
                    <w:t>新建</w:t>
                  </w:r>
                </w:p>
              </w:tc>
            </w:tr>
          </w:tbl>
          <w:p w14:paraId="6AB0CA07">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、主要设备</w:t>
            </w:r>
          </w:p>
          <w:p w14:paraId="3A3057D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本项目主要设备表见表2-</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3F059F1F">
            <w:pPr>
              <w:spacing w:line="360" w:lineRule="auto"/>
              <w:ind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 xml:space="preserve">2  </w:t>
            </w:r>
            <w:r>
              <w:rPr>
                <w:rFonts w:hint="default" w:ascii="Times New Roman" w:hAnsi="Times New Roman" w:eastAsia="宋体" w:cs="Times New Roman"/>
                <w:b/>
                <w:bCs/>
                <w:color w:val="auto"/>
                <w:sz w:val="24"/>
                <w:highlight w:val="none"/>
              </w:rPr>
              <w:t>本项目主要设备</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856"/>
              <w:gridCol w:w="2854"/>
              <w:gridCol w:w="2854"/>
              <w:gridCol w:w="856"/>
              <w:gridCol w:w="857"/>
            </w:tblGrid>
            <w:tr w14:paraId="20365AB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7643914F">
                  <w:pPr>
                    <w:snapToGrid w:val="0"/>
                    <w:jc w:val="center"/>
                    <w:rPr>
                      <w:rFonts w:hint="default" w:ascii="Times New Roman" w:hAnsi="Times New Roman" w:eastAsia="宋体" w:cs="Times New Roman"/>
                      <w:b/>
                      <w:color w:val="auto"/>
                      <w:kern w:val="0"/>
                      <w:szCs w:val="21"/>
                      <w:highlight w:val="none"/>
                      <w:lang w:bidi="ar"/>
                    </w:rPr>
                  </w:pPr>
                  <w:r>
                    <w:rPr>
                      <w:rFonts w:hint="default" w:ascii="Times New Roman" w:hAnsi="Times New Roman" w:eastAsia="宋体" w:cs="Times New Roman"/>
                      <w:b/>
                      <w:color w:val="auto"/>
                      <w:kern w:val="0"/>
                      <w:szCs w:val="21"/>
                      <w:highlight w:val="none"/>
                      <w:lang w:bidi="ar"/>
                    </w:rPr>
                    <w:t>序号</w:t>
                  </w:r>
                </w:p>
              </w:tc>
              <w:tc>
                <w:tcPr>
                  <w:tcW w:w="2854" w:type="dxa"/>
                  <w:tcBorders>
                    <w:left w:val="single" w:color="auto" w:sz="2" w:space="0"/>
                    <w:bottom w:val="single" w:color="auto" w:sz="2" w:space="0"/>
                    <w:right w:val="single" w:color="auto" w:sz="2" w:space="0"/>
                  </w:tcBorders>
                  <w:vAlign w:val="center"/>
                </w:tcPr>
                <w:p w14:paraId="42B5C244">
                  <w:pPr>
                    <w:snapToGrid w:val="0"/>
                    <w:jc w:val="center"/>
                    <w:rPr>
                      <w:rFonts w:hint="default" w:ascii="Times New Roman" w:hAnsi="Times New Roman" w:eastAsia="宋体" w:cs="Times New Roman"/>
                      <w:b/>
                      <w:color w:val="auto"/>
                      <w:kern w:val="0"/>
                      <w:szCs w:val="21"/>
                      <w:highlight w:val="none"/>
                      <w:lang w:bidi="ar"/>
                    </w:rPr>
                  </w:pPr>
                  <w:r>
                    <w:rPr>
                      <w:rFonts w:hint="default" w:ascii="Times New Roman" w:hAnsi="Times New Roman" w:eastAsia="宋体" w:cs="Times New Roman"/>
                      <w:b/>
                      <w:color w:val="auto"/>
                      <w:kern w:val="0"/>
                      <w:szCs w:val="21"/>
                      <w:highlight w:val="none"/>
                      <w:lang w:bidi="ar"/>
                    </w:rPr>
                    <w:t>设备名称</w:t>
                  </w:r>
                </w:p>
              </w:tc>
              <w:tc>
                <w:tcPr>
                  <w:tcW w:w="2854" w:type="dxa"/>
                  <w:tcBorders>
                    <w:left w:val="single" w:color="auto" w:sz="2" w:space="0"/>
                    <w:bottom w:val="single" w:color="auto" w:sz="2" w:space="0"/>
                    <w:right w:val="single" w:color="auto" w:sz="2" w:space="0"/>
                  </w:tcBorders>
                  <w:vAlign w:val="center"/>
                </w:tcPr>
                <w:p w14:paraId="054EFE87">
                  <w:pPr>
                    <w:snapToGrid w:val="0"/>
                    <w:jc w:val="center"/>
                    <w:rPr>
                      <w:rFonts w:hint="default" w:ascii="Times New Roman" w:hAnsi="Times New Roman" w:eastAsia="宋体" w:cs="Times New Roman"/>
                      <w:b/>
                      <w:color w:val="auto"/>
                      <w:kern w:val="0"/>
                      <w:szCs w:val="21"/>
                      <w:highlight w:val="none"/>
                      <w:lang w:bidi="ar"/>
                    </w:rPr>
                  </w:pPr>
                  <w:r>
                    <w:rPr>
                      <w:rFonts w:hint="default" w:ascii="Times New Roman" w:hAnsi="Times New Roman" w:eastAsia="宋体" w:cs="Times New Roman"/>
                      <w:b/>
                      <w:color w:val="auto"/>
                      <w:kern w:val="0"/>
                      <w:szCs w:val="21"/>
                      <w:highlight w:val="none"/>
                      <w:lang w:bidi="ar"/>
                    </w:rPr>
                    <w:t>规格型号</w:t>
                  </w:r>
                </w:p>
              </w:tc>
              <w:tc>
                <w:tcPr>
                  <w:tcW w:w="856" w:type="dxa"/>
                  <w:tcBorders>
                    <w:left w:val="single" w:color="auto" w:sz="2" w:space="0"/>
                    <w:bottom w:val="single" w:color="auto" w:sz="2" w:space="0"/>
                    <w:right w:val="single" w:color="auto" w:sz="2" w:space="0"/>
                  </w:tcBorders>
                  <w:vAlign w:val="center"/>
                </w:tcPr>
                <w:p w14:paraId="56D6D754">
                  <w:pPr>
                    <w:snapToGrid w:val="0"/>
                    <w:jc w:val="center"/>
                    <w:rPr>
                      <w:rFonts w:hint="default" w:ascii="Times New Roman" w:hAnsi="Times New Roman" w:eastAsia="宋体" w:cs="Times New Roman"/>
                      <w:b/>
                      <w:color w:val="auto"/>
                      <w:kern w:val="0"/>
                      <w:szCs w:val="21"/>
                      <w:highlight w:val="none"/>
                      <w:lang w:bidi="ar"/>
                    </w:rPr>
                  </w:pPr>
                  <w:r>
                    <w:rPr>
                      <w:rFonts w:hint="default" w:ascii="Times New Roman" w:hAnsi="Times New Roman" w:eastAsia="宋体" w:cs="Times New Roman"/>
                      <w:b/>
                      <w:color w:val="auto"/>
                      <w:kern w:val="0"/>
                      <w:szCs w:val="21"/>
                      <w:highlight w:val="none"/>
                      <w:lang w:bidi="ar"/>
                    </w:rPr>
                    <w:t>单位</w:t>
                  </w:r>
                </w:p>
              </w:tc>
              <w:tc>
                <w:tcPr>
                  <w:tcW w:w="857" w:type="dxa"/>
                  <w:tcBorders>
                    <w:left w:val="single" w:color="auto" w:sz="2" w:space="0"/>
                    <w:bottom w:val="single" w:color="auto" w:sz="2" w:space="0"/>
                  </w:tcBorders>
                  <w:vAlign w:val="center"/>
                </w:tcPr>
                <w:p w14:paraId="353398D5">
                  <w:pPr>
                    <w:snapToGrid w:val="0"/>
                    <w:jc w:val="center"/>
                    <w:rPr>
                      <w:rFonts w:hint="default" w:ascii="Times New Roman" w:hAnsi="Times New Roman" w:eastAsia="宋体" w:cs="Times New Roman"/>
                      <w:b/>
                      <w:color w:val="auto"/>
                      <w:kern w:val="0"/>
                      <w:szCs w:val="21"/>
                      <w:highlight w:val="none"/>
                      <w:lang w:bidi="ar"/>
                    </w:rPr>
                  </w:pPr>
                  <w:r>
                    <w:rPr>
                      <w:rFonts w:hint="default" w:ascii="Times New Roman" w:hAnsi="Times New Roman" w:eastAsia="宋体" w:cs="Times New Roman"/>
                      <w:b/>
                      <w:color w:val="auto"/>
                      <w:kern w:val="0"/>
                      <w:szCs w:val="21"/>
                      <w:highlight w:val="none"/>
                      <w:lang w:bidi="ar"/>
                    </w:rPr>
                    <w:t>数量</w:t>
                  </w:r>
                </w:p>
              </w:tc>
            </w:tr>
            <w:tr w14:paraId="4FBE408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557C6A0A">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1</w:t>
                  </w:r>
                </w:p>
              </w:tc>
              <w:tc>
                <w:tcPr>
                  <w:tcW w:w="2854" w:type="dxa"/>
                  <w:tcBorders>
                    <w:left w:val="single" w:color="auto" w:sz="2" w:space="0"/>
                    <w:bottom w:val="single" w:color="auto" w:sz="2" w:space="0"/>
                    <w:right w:val="single" w:color="auto" w:sz="2" w:space="0"/>
                  </w:tcBorders>
                  <w:vAlign w:val="center"/>
                </w:tcPr>
                <w:p w14:paraId="0085A78B">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锅炉主机</w:t>
                  </w:r>
                </w:p>
              </w:tc>
              <w:tc>
                <w:tcPr>
                  <w:tcW w:w="2854" w:type="dxa"/>
                  <w:tcBorders>
                    <w:left w:val="single" w:color="auto" w:sz="2" w:space="0"/>
                    <w:bottom w:val="single" w:color="auto" w:sz="2" w:space="0"/>
                    <w:right w:val="single" w:color="auto" w:sz="2" w:space="0"/>
                  </w:tcBorders>
                  <w:vAlign w:val="center"/>
                </w:tcPr>
                <w:p w14:paraId="7657D529">
                  <w:pPr>
                    <w:snapToGrid w:val="0"/>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SZL10-1.6-S</w:t>
                  </w:r>
                </w:p>
              </w:tc>
              <w:tc>
                <w:tcPr>
                  <w:tcW w:w="856" w:type="dxa"/>
                  <w:tcBorders>
                    <w:left w:val="single" w:color="auto" w:sz="2" w:space="0"/>
                    <w:bottom w:val="single" w:color="auto" w:sz="2" w:space="0"/>
                    <w:right w:val="single" w:color="auto" w:sz="2" w:space="0"/>
                  </w:tcBorders>
                  <w:vAlign w:val="center"/>
                </w:tcPr>
                <w:p w14:paraId="61F4EDC4">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181644EF">
                  <w:pPr>
                    <w:snapToGrid w:val="0"/>
                    <w:jc w:val="center"/>
                    <w:rPr>
                      <w:rFonts w:hint="default" w:ascii="Times New Roman" w:hAnsi="Times New Roman" w:eastAsia="宋体" w:cs="Times New Roman"/>
                      <w:color w:val="auto"/>
                      <w:kern w:val="0"/>
                      <w:szCs w:val="21"/>
                      <w:highlight w:val="none"/>
                      <w:lang w:eastAsia="zh-CN" w:bidi="ar"/>
                    </w:rPr>
                  </w:pPr>
                  <w:r>
                    <w:rPr>
                      <w:rFonts w:hint="default" w:ascii="Times New Roman" w:hAnsi="Times New Roman" w:eastAsia="宋体" w:cs="Times New Roman"/>
                      <w:color w:val="auto"/>
                      <w:kern w:val="0"/>
                      <w:szCs w:val="21"/>
                      <w:highlight w:val="none"/>
                      <w:lang w:bidi="ar"/>
                    </w:rPr>
                    <w:t>1</w:t>
                  </w:r>
                </w:p>
              </w:tc>
            </w:tr>
            <w:tr w14:paraId="50B28FF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6848850F">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2</w:t>
                  </w:r>
                </w:p>
              </w:tc>
              <w:tc>
                <w:tcPr>
                  <w:tcW w:w="2854" w:type="dxa"/>
                  <w:tcBorders>
                    <w:left w:val="single" w:color="auto" w:sz="2" w:space="0"/>
                    <w:bottom w:val="single" w:color="auto" w:sz="2" w:space="0"/>
                    <w:right w:val="single" w:color="auto" w:sz="2" w:space="0"/>
                  </w:tcBorders>
                  <w:vAlign w:val="center"/>
                </w:tcPr>
                <w:p w14:paraId="7128F836">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引风机</w:t>
                  </w:r>
                </w:p>
              </w:tc>
              <w:tc>
                <w:tcPr>
                  <w:tcW w:w="2854" w:type="dxa"/>
                  <w:tcBorders>
                    <w:left w:val="single" w:color="auto" w:sz="2" w:space="0"/>
                    <w:bottom w:val="single" w:color="auto" w:sz="2" w:space="0"/>
                    <w:right w:val="single" w:color="auto" w:sz="2" w:space="0"/>
                  </w:tcBorders>
                  <w:vAlign w:val="center"/>
                </w:tcPr>
                <w:p w14:paraId="2603B351">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75</w:t>
                  </w:r>
                  <w:r>
                    <w:rPr>
                      <w:rFonts w:hint="default" w:ascii="Times New Roman" w:hAnsi="Times New Roman" w:eastAsia="宋体" w:cs="Times New Roman"/>
                      <w:color w:val="auto"/>
                      <w:kern w:val="0"/>
                      <w:szCs w:val="21"/>
                      <w:highlight w:val="none"/>
                      <w:lang w:eastAsia="zh-CN" w:bidi="ar"/>
                    </w:rPr>
                    <w:t>kW</w:t>
                  </w:r>
                </w:p>
              </w:tc>
              <w:tc>
                <w:tcPr>
                  <w:tcW w:w="856" w:type="dxa"/>
                  <w:tcBorders>
                    <w:left w:val="single" w:color="auto" w:sz="2" w:space="0"/>
                    <w:bottom w:val="single" w:color="auto" w:sz="2" w:space="0"/>
                    <w:right w:val="single" w:color="auto" w:sz="2" w:space="0"/>
                  </w:tcBorders>
                  <w:vAlign w:val="center"/>
                </w:tcPr>
                <w:p w14:paraId="6CD5A335">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2E4AB444">
                  <w:pPr>
                    <w:snapToGrid w:val="0"/>
                    <w:jc w:val="center"/>
                    <w:rPr>
                      <w:rFonts w:hint="default" w:ascii="Times New Roman" w:hAnsi="Times New Roman" w:eastAsia="宋体" w:cs="Times New Roman"/>
                      <w:color w:val="auto"/>
                      <w:kern w:val="0"/>
                      <w:szCs w:val="21"/>
                      <w:highlight w:val="none"/>
                      <w:lang w:eastAsia="zh-CN" w:bidi="ar"/>
                    </w:rPr>
                  </w:pPr>
                  <w:r>
                    <w:rPr>
                      <w:rFonts w:hint="default" w:ascii="Times New Roman" w:hAnsi="Times New Roman" w:eastAsia="宋体" w:cs="Times New Roman"/>
                      <w:color w:val="auto"/>
                      <w:kern w:val="0"/>
                      <w:szCs w:val="21"/>
                      <w:highlight w:val="none"/>
                      <w:lang w:bidi="ar"/>
                    </w:rPr>
                    <w:t>1</w:t>
                  </w:r>
                </w:p>
              </w:tc>
            </w:tr>
            <w:tr w14:paraId="030920CF">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5A0DBDB6">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3</w:t>
                  </w:r>
                </w:p>
              </w:tc>
              <w:tc>
                <w:tcPr>
                  <w:tcW w:w="2854" w:type="dxa"/>
                  <w:tcBorders>
                    <w:left w:val="single" w:color="auto" w:sz="2" w:space="0"/>
                    <w:bottom w:val="single" w:color="auto" w:sz="2" w:space="0"/>
                    <w:right w:val="single" w:color="auto" w:sz="2" w:space="0"/>
                  </w:tcBorders>
                  <w:vAlign w:val="center"/>
                </w:tcPr>
                <w:p w14:paraId="59D7F2F2">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生物质给料斗</w:t>
                  </w:r>
                </w:p>
              </w:tc>
              <w:tc>
                <w:tcPr>
                  <w:tcW w:w="2854" w:type="dxa"/>
                  <w:tcBorders>
                    <w:left w:val="single" w:color="auto" w:sz="2" w:space="0"/>
                    <w:bottom w:val="single" w:color="auto" w:sz="2" w:space="0"/>
                    <w:right w:val="single" w:color="auto" w:sz="2" w:space="0"/>
                  </w:tcBorders>
                  <w:vAlign w:val="center"/>
                </w:tcPr>
                <w:p w14:paraId="792417E2">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2C9DDCFF">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62F46650">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78FE46AC">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0BB5E57F">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4</w:t>
                  </w:r>
                </w:p>
              </w:tc>
              <w:tc>
                <w:tcPr>
                  <w:tcW w:w="2854" w:type="dxa"/>
                  <w:tcBorders>
                    <w:left w:val="single" w:color="auto" w:sz="2" w:space="0"/>
                    <w:bottom w:val="single" w:color="auto" w:sz="2" w:space="0"/>
                    <w:right w:val="single" w:color="auto" w:sz="2" w:space="0"/>
                  </w:tcBorders>
                  <w:vAlign w:val="center"/>
                </w:tcPr>
                <w:p w14:paraId="5B9AF059">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炉排减速机</w:t>
                  </w:r>
                </w:p>
              </w:tc>
              <w:tc>
                <w:tcPr>
                  <w:tcW w:w="2854" w:type="dxa"/>
                  <w:tcBorders>
                    <w:left w:val="single" w:color="auto" w:sz="2" w:space="0"/>
                    <w:bottom w:val="single" w:color="auto" w:sz="2" w:space="0"/>
                    <w:right w:val="single" w:color="auto" w:sz="2" w:space="0"/>
                  </w:tcBorders>
                  <w:vAlign w:val="center"/>
                </w:tcPr>
                <w:p w14:paraId="2926C421">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5F301AE8">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622C5E09">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76F8D6E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4C66193C">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5</w:t>
                  </w:r>
                </w:p>
              </w:tc>
              <w:tc>
                <w:tcPr>
                  <w:tcW w:w="2854" w:type="dxa"/>
                  <w:tcBorders>
                    <w:left w:val="single" w:color="auto" w:sz="2" w:space="0"/>
                    <w:bottom w:val="single" w:color="auto" w:sz="2" w:space="0"/>
                    <w:right w:val="single" w:color="auto" w:sz="2" w:space="0"/>
                  </w:tcBorders>
                  <w:vAlign w:val="center"/>
                </w:tcPr>
                <w:p w14:paraId="14CE162B">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上料机</w:t>
                  </w:r>
                </w:p>
              </w:tc>
              <w:tc>
                <w:tcPr>
                  <w:tcW w:w="2854" w:type="dxa"/>
                  <w:tcBorders>
                    <w:left w:val="single" w:color="auto" w:sz="2" w:space="0"/>
                    <w:bottom w:val="single" w:color="auto" w:sz="2" w:space="0"/>
                    <w:right w:val="single" w:color="auto" w:sz="2" w:space="0"/>
                  </w:tcBorders>
                  <w:vAlign w:val="center"/>
                </w:tcPr>
                <w:p w14:paraId="05F065D4">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6B8F2762">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45B486EA">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5101F13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4E16186F">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6</w:t>
                  </w:r>
                </w:p>
              </w:tc>
              <w:tc>
                <w:tcPr>
                  <w:tcW w:w="2854" w:type="dxa"/>
                  <w:tcBorders>
                    <w:left w:val="single" w:color="auto" w:sz="2" w:space="0"/>
                    <w:bottom w:val="single" w:color="auto" w:sz="2" w:space="0"/>
                    <w:right w:val="single" w:color="auto" w:sz="2" w:space="0"/>
                  </w:tcBorders>
                  <w:vAlign w:val="center"/>
                </w:tcPr>
                <w:p w14:paraId="54065EF0">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出渣机</w:t>
                  </w:r>
                </w:p>
              </w:tc>
              <w:tc>
                <w:tcPr>
                  <w:tcW w:w="2854" w:type="dxa"/>
                  <w:tcBorders>
                    <w:left w:val="single" w:color="auto" w:sz="2" w:space="0"/>
                    <w:bottom w:val="single" w:color="auto" w:sz="2" w:space="0"/>
                    <w:right w:val="single" w:color="auto" w:sz="2" w:space="0"/>
                  </w:tcBorders>
                  <w:vAlign w:val="center"/>
                </w:tcPr>
                <w:p w14:paraId="3720581E">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37933E4F">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70B0CCB7">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4664780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0620B71C">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7</w:t>
                  </w:r>
                </w:p>
              </w:tc>
              <w:tc>
                <w:tcPr>
                  <w:tcW w:w="2854" w:type="dxa"/>
                  <w:tcBorders>
                    <w:left w:val="single" w:color="auto" w:sz="2" w:space="0"/>
                    <w:bottom w:val="single" w:color="auto" w:sz="2" w:space="0"/>
                    <w:right w:val="single" w:color="auto" w:sz="2" w:space="0"/>
                  </w:tcBorders>
                  <w:vAlign w:val="center"/>
                </w:tcPr>
                <w:p w14:paraId="2EE09552">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eastAsia="zh-CN" w:bidi="ar"/>
                    </w:rPr>
                    <w:t>软水制备装置</w:t>
                  </w:r>
                </w:p>
              </w:tc>
              <w:tc>
                <w:tcPr>
                  <w:tcW w:w="2854" w:type="dxa"/>
                  <w:tcBorders>
                    <w:left w:val="single" w:color="auto" w:sz="2" w:space="0"/>
                    <w:bottom w:val="single" w:color="auto" w:sz="2" w:space="0"/>
                    <w:right w:val="single" w:color="auto" w:sz="2" w:space="0"/>
                  </w:tcBorders>
                  <w:vAlign w:val="center"/>
                </w:tcPr>
                <w:p w14:paraId="0C3C2BB2">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r>
                    <w:rPr>
                      <w:rFonts w:hint="default" w:ascii="Times New Roman" w:hAnsi="Times New Roman" w:eastAsia="宋体" w:cs="Times New Roman"/>
                      <w:color w:val="auto"/>
                      <w:kern w:val="0"/>
                      <w:szCs w:val="21"/>
                      <w:highlight w:val="none"/>
                      <w:lang w:bidi="ar"/>
                    </w:rPr>
                    <w:t>T/</w:t>
                  </w:r>
                  <w:r>
                    <w:rPr>
                      <w:rFonts w:hint="default" w:ascii="Times New Roman" w:hAnsi="Times New Roman" w:eastAsia="宋体" w:cs="Times New Roman"/>
                      <w:color w:val="auto"/>
                      <w:kern w:val="0"/>
                      <w:szCs w:val="21"/>
                      <w:highlight w:val="none"/>
                      <w:lang w:val="en-US" w:eastAsia="zh-CN" w:bidi="ar"/>
                    </w:rPr>
                    <w:t>h</w:t>
                  </w:r>
                </w:p>
              </w:tc>
              <w:tc>
                <w:tcPr>
                  <w:tcW w:w="856" w:type="dxa"/>
                  <w:tcBorders>
                    <w:left w:val="single" w:color="auto" w:sz="2" w:space="0"/>
                    <w:bottom w:val="single" w:color="auto" w:sz="2" w:space="0"/>
                    <w:right w:val="single" w:color="auto" w:sz="2" w:space="0"/>
                  </w:tcBorders>
                  <w:vAlign w:val="center"/>
                </w:tcPr>
                <w:p w14:paraId="1552B237">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套</w:t>
                  </w:r>
                </w:p>
              </w:tc>
              <w:tc>
                <w:tcPr>
                  <w:tcW w:w="857" w:type="dxa"/>
                  <w:tcBorders>
                    <w:left w:val="single" w:color="auto" w:sz="2" w:space="0"/>
                    <w:bottom w:val="single" w:color="auto" w:sz="2" w:space="0"/>
                  </w:tcBorders>
                  <w:vAlign w:val="center"/>
                </w:tcPr>
                <w:p w14:paraId="3CE7721F">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146D6F37">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1F5B75A7">
                  <w:pPr>
                    <w:snapToGrid w:val="0"/>
                    <w:jc w:val="center"/>
                    <w:rPr>
                      <w:rFonts w:hint="default"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bidi="ar"/>
                    </w:rPr>
                    <w:t>8</w:t>
                  </w:r>
                </w:p>
              </w:tc>
              <w:tc>
                <w:tcPr>
                  <w:tcW w:w="2854" w:type="dxa"/>
                  <w:tcBorders>
                    <w:left w:val="single" w:color="auto" w:sz="2" w:space="0"/>
                    <w:bottom w:val="single" w:color="auto" w:sz="2" w:space="0"/>
                    <w:right w:val="single" w:color="auto" w:sz="2" w:space="0"/>
                  </w:tcBorders>
                  <w:vAlign w:val="center"/>
                </w:tcPr>
                <w:p w14:paraId="5F4CC81D">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循环水泵</w:t>
                  </w:r>
                </w:p>
              </w:tc>
              <w:tc>
                <w:tcPr>
                  <w:tcW w:w="2854" w:type="dxa"/>
                  <w:tcBorders>
                    <w:left w:val="single" w:color="auto" w:sz="2" w:space="0"/>
                    <w:bottom w:val="single" w:color="auto" w:sz="2" w:space="0"/>
                    <w:right w:val="single" w:color="auto" w:sz="2" w:space="0"/>
                  </w:tcBorders>
                  <w:vAlign w:val="center"/>
                </w:tcPr>
                <w:p w14:paraId="0C16CCFC">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55</w:t>
                  </w:r>
                  <w:r>
                    <w:rPr>
                      <w:rFonts w:hint="default" w:ascii="Times New Roman" w:hAnsi="Times New Roman" w:eastAsia="宋体" w:cs="Times New Roman"/>
                      <w:color w:val="auto"/>
                      <w:kern w:val="0"/>
                      <w:szCs w:val="21"/>
                      <w:highlight w:val="none"/>
                      <w:lang w:eastAsia="zh-CN" w:bidi="ar"/>
                    </w:rPr>
                    <w:t>kW</w:t>
                  </w:r>
                </w:p>
              </w:tc>
              <w:tc>
                <w:tcPr>
                  <w:tcW w:w="856" w:type="dxa"/>
                  <w:tcBorders>
                    <w:left w:val="single" w:color="auto" w:sz="2" w:space="0"/>
                    <w:bottom w:val="single" w:color="auto" w:sz="2" w:space="0"/>
                    <w:right w:val="single" w:color="auto" w:sz="2" w:space="0"/>
                  </w:tcBorders>
                  <w:vAlign w:val="center"/>
                </w:tcPr>
                <w:p w14:paraId="02CCF8CB">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03B2B50C">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2</w:t>
                  </w:r>
                </w:p>
              </w:tc>
            </w:tr>
            <w:tr w14:paraId="5FE2047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23392EAC">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9</w:t>
                  </w:r>
                </w:p>
              </w:tc>
              <w:tc>
                <w:tcPr>
                  <w:tcW w:w="2854" w:type="dxa"/>
                  <w:tcBorders>
                    <w:left w:val="single" w:color="auto" w:sz="2" w:space="0"/>
                    <w:bottom w:val="single" w:color="auto" w:sz="2" w:space="0"/>
                    <w:right w:val="single" w:color="auto" w:sz="2" w:space="0"/>
                  </w:tcBorders>
                  <w:vAlign w:val="center"/>
                </w:tcPr>
                <w:p w14:paraId="45638523">
                  <w:pPr>
                    <w:snapToGrid w:val="0"/>
                    <w:jc w:val="center"/>
                    <w:rPr>
                      <w:rFonts w:hint="default" w:ascii="Times New Roman" w:hAnsi="Times New Roman" w:eastAsia="宋体" w:cs="Times New Roman"/>
                      <w:color w:val="auto"/>
                      <w:kern w:val="0"/>
                      <w:szCs w:val="21"/>
                      <w:highlight w:val="none"/>
                      <w:lang w:eastAsia="zh-CN" w:bidi="ar"/>
                    </w:rPr>
                  </w:pPr>
                  <w:r>
                    <w:rPr>
                      <w:rFonts w:hint="default" w:ascii="Times New Roman" w:hAnsi="Times New Roman" w:eastAsia="宋体" w:cs="Times New Roman"/>
                      <w:color w:val="auto"/>
                      <w:kern w:val="0"/>
                      <w:szCs w:val="21"/>
                      <w:highlight w:val="none"/>
                      <w:lang w:eastAsia="zh-CN" w:bidi="ar"/>
                    </w:rPr>
                    <w:t>旋风除尘器</w:t>
                  </w:r>
                </w:p>
              </w:tc>
              <w:tc>
                <w:tcPr>
                  <w:tcW w:w="2854" w:type="dxa"/>
                  <w:tcBorders>
                    <w:left w:val="single" w:color="auto" w:sz="2" w:space="0"/>
                    <w:bottom w:val="single" w:color="auto" w:sz="2" w:space="0"/>
                    <w:right w:val="single" w:color="auto" w:sz="2" w:space="0"/>
                  </w:tcBorders>
                  <w:vAlign w:val="center"/>
                </w:tcPr>
                <w:p w14:paraId="42EBE816">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79F79F8E">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3785CB26">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54BE620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350F18B0">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10</w:t>
                  </w:r>
                </w:p>
              </w:tc>
              <w:tc>
                <w:tcPr>
                  <w:tcW w:w="2854" w:type="dxa"/>
                  <w:tcBorders>
                    <w:left w:val="single" w:color="auto" w:sz="2" w:space="0"/>
                    <w:bottom w:val="single" w:color="auto" w:sz="2" w:space="0"/>
                    <w:right w:val="single" w:color="auto" w:sz="2" w:space="0"/>
                  </w:tcBorders>
                  <w:vAlign w:val="center"/>
                </w:tcPr>
                <w:p w14:paraId="058DA320">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Cs w:val="21"/>
                      <w:highlight w:val="none"/>
                      <w:lang w:eastAsia="zh-CN"/>
                    </w:rPr>
                    <w:t>布袋除尘器</w:t>
                  </w:r>
                </w:p>
              </w:tc>
              <w:tc>
                <w:tcPr>
                  <w:tcW w:w="2854" w:type="dxa"/>
                  <w:tcBorders>
                    <w:left w:val="single" w:color="auto" w:sz="2" w:space="0"/>
                    <w:bottom w:val="single" w:color="auto" w:sz="2" w:space="0"/>
                    <w:right w:val="single" w:color="auto" w:sz="2" w:space="0"/>
                  </w:tcBorders>
                  <w:vAlign w:val="center"/>
                </w:tcPr>
                <w:p w14:paraId="31502E26">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锅炉配套</w:t>
                  </w:r>
                </w:p>
              </w:tc>
              <w:tc>
                <w:tcPr>
                  <w:tcW w:w="856" w:type="dxa"/>
                  <w:tcBorders>
                    <w:left w:val="single" w:color="auto" w:sz="2" w:space="0"/>
                    <w:bottom w:val="single" w:color="auto" w:sz="2" w:space="0"/>
                    <w:right w:val="single" w:color="auto" w:sz="2" w:space="0"/>
                  </w:tcBorders>
                  <w:vAlign w:val="center"/>
                </w:tcPr>
                <w:p w14:paraId="3C4FE7A9">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台</w:t>
                  </w:r>
                </w:p>
              </w:tc>
              <w:tc>
                <w:tcPr>
                  <w:tcW w:w="857" w:type="dxa"/>
                  <w:tcBorders>
                    <w:left w:val="single" w:color="auto" w:sz="2" w:space="0"/>
                    <w:bottom w:val="single" w:color="auto" w:sz="2" w:space="0"/>
                  </w:tcBorders>
                  <w:vAlign w:val="center"/>
                </w:tcPr>
                <w:p w14:paraId="2A3789AA">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1</w:t>
                  </w:r>
                </w:p>
              </w:tc>
            </w:tr>
            <w:tr w14:paraId="1A73D1E6">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56" w:type="dxa"/>
                  <w:tcBorders>
                    <w:bottom w:val="single" w:color="auto" w:sz="2" w:space="0"/>
                    <w:right w:val="single" w:color="auto" w:sz="2" w:space="0"/>
                  </w:tcBorders>
                  <w:vAlign w:val="center"/>
                </w:tcPr>
                <w:p w14:paraId="21209DF3">
                  <w:pPr>
                    <w:snapToGrid w:val="0"/>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11</w:t>
                  </w:r>
                </w:p>
              </w:tc>
              <w:tc>
                <w:tcPr>
                  <w:tcW w:w="2854" w:type="dxa"/>
                  <w:tcBorders>
                    <w:left w:val="single" w:color="auto" w:sz="2" w:space="0"/>
                    <w:bottom w:val="single" w:color="auto" w:sz="2" w:space="0"/>
                    <w:right w:val="single" w:color="auto" w:sz="2" w:space="0"/>
                  </w:tcBorders>
                  <w:vAlign w:val="center"/>
                </w:tcPr>
                <w:p w14:paraId="62EFB9C8">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eastAsia="zh-CN" w:bidi="ar"/>
                    </w:rPr>
                    <w:t>排气筒</w:t>
                  </w:r>
                </w:p>
              </w:tc>
              <w:tc>
                <w:tcPr>
                  <w:tcW w:w="2854" w:type="dxa"/>
                  <w:tcBorders>
                    <w:left w:val="single" w:color="auto" w:sz="2" w:space="0"/>
                    <w:bottom w:val="single" w:color="auto" w:sz="2" w:space="0"/>
                    <w:right w:val="single" w:color="auto" w:sz="2" w:space="0"/>
                  </w:tcBorders>
                  <w:vAlign w:val="center"/>
                </w:tcPr>
                <w:p w14:paraId="36A6F5BA">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40m</w:t>
                  </w:r>
                </w:p>
              </w:tc>
              <w:tc>
                <w:tcPr>
                  <w:tcW w:w="856" w:type="dxa"/>
                  <w:tcBorders>
                    <w:left w:val="single" w:color="auto" w:sz="2" w:space="0"/>
                    <w:bottom w:val="single" w:color="auto" w:sz="2" w:space="0"/>
                    <w:right w:val="single" w:color="auto" w:sz="2" w:space="0"/>
                  </w:tcBorders>
                  <w:vAlign w:val="center"/>
                </w:tcPr>
                <w:p w14:paraId="3F405535">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eastAsia="zh-CN" w:bidi="ar"/>
                    </w:rPr>
                    <w:t>根</w:t>
                  </w:r>
                </w:p>
              </w:tc>
              <w:tc>
                <w:tcPr>
                  <w:tcW w:w="857" w:type="dxa"/>
                  <w:tcBorders>
                    <w:left w:val="single" w:color="auto" w:sz="2" w:space="0"/>
                    <w:bottom w:val="single" w:color="auto" w:sz="2" w:space="0"/>
                  </w:tcBorders>
                  <w:vAlign w:val="center"/>
                </w:tcPr>
                <w:p w14:paraId="070E46DB">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w:t>
                  </w:r>
                </w:p>
              </w:tc>
            </w:tr>
          </w:tbl>
          <w:p w14:paraId="7D958583">
            <w:pPr>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、主要原辅材料及用量</w:t>
            </w:r>
          </w:p>
          <w:p w14:paraId="401C92CE">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 xml:space="preserve">3  </w:t>
            </w:r>
            <w:r>
              <w:rPr>
                <w:rFonts w:hint="default" w:ascii="Times New Roman" w:hAnsi="Times New Roman" w:eastAsia="宋体" w:cs="Times New Roman"/>
                <w:b/>
                <w:bCs/>
                <w:color w:val="auto"/>
                <w:sz w:val="24"/>
                <w:highlight w:val="none"/>
              </w:rPr>
              <w:t>本项目主要消耗情况一览表</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72"/>
              <w:gridCol w:w="2039"/>
              <w:gridCol w:w="1822"/>
              <w:gridCol w:w="3544"/>
            </w:tblGrid>
            <w:tr w14:paraId="77EFE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872" w:type="dxa"/>
                  <w:vAlign w:val="center"/>
                </w:tcPr>
                <w:p w14:paraId="55BCCBB5">
                  <w:pPr>
                    <w:widowControl/>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2039" w:type="dxa"/>
                  <w:vAlign w:val="center"/>
                </w:tcPr>
                <w:p w14:paraId="598037C4">
                  <w:pPr>
                    <w:widowControl/>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消耗品</w:t>
                  </w:r>
                </w:p>
              </w:tc>
              <w:tc>
                <w:tcPr>
                  <w:tcW w:w="1822" w:type="dxa"/>
                  <w:vAlign w:val="center"/>
                </w:tcPr>
                <w:p w14:paraId="6477DD05">
                  <w:pPr>
                    <w:widowControl/>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消耗量</w:t>
                  </w:r>
                </w:p>
              </w:tc>
              <w:tc>
                <w:tcPr>
                  <w:tcW w:w="3544" w:type="dxa"/>
                  <w:vAlign w:val="center"/>
                </w:tcPr>
                <w:p w14:paraId="6551E7A3">
                  <w:pPr>
                    <w:widowControl/>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储存场所</w:t>
                  </w:r>
                </w:p>
              </w:tc>
            </w:tr>
            <w:tr w14:paraId="54725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872" w:type="dxa"/>
                  <w:vAlign w:val="center"/>
                </w:tcPr>
                <w:p w14:paraId="06723DFC">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039" w:type="dxa"/>
                  <w:vAlign w:val="center"/>
                </w:tcPr>
                <w:p w14:paraId="204B72D0">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生物质成型燃料</w:t>
                  </w:r>
                </w:p>
              </w:tc>
              <w:tc>
                <w:tcPr>
                  <w:tcW w:w="1822" w:type="dxa"/>
                  <w:vAlign w:val="center"/>
                </w:tcPr>
                <w:p w14:paraId="38886DDC">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2132.64</w:t>
                  </w:r>
                  <w:r>
                    <w:rPr>
                      <w:rFonts w:hint="default" w:ascii="Times New Roman" w:hAnsi="Times New Roman" w:eastAsia="宋体" w:cs="Times New Roman"/>
                      <w:color w:val="auto"/>
                      <w:highlight w:val="none"/>
                    </w:rPr>
                    <w:t>t/a</w:t>
                  </w:r>
                </w:p>
              </w:tc>
              <w:tc>
                <w:tcPr>
                  <w:tcW w:w="3544" w:type="dxa"/>
                  <w:vAlign w:val="center"/>
                </w:tcPr>
                <w:p w14:paraId="6546D3C8">
                  <w:pPr>
                    <w:jc w:val="center"/>
                    <w:rPr>
                      <w:rFonts w:hint="default" w:ascii="Times New Roman" w:hAnsi="Times New Roman" w:eastAsia="宋体" w:cs="Times New Roman"/>
                      <w:color w:val="auto"/>
                      <w:highlight w:val="none"/>
                      <w:lang w:eastAsia="zh-CN"/>
                    </w:rPr>
                  </w:pPr>
                  <w:r>
                    <w:rPr>
                      <w:rFonts w:hint="eastAsia"/>
                      <w:color w:val="auto"/>
                      <w:lang w:val="en-US" w:eastAsia="zh-CN"/>
                    </w:rPr>
                    <w:t>袋装</w:t>
                  </w:r>
                  <w:r>
                    <w:rPr>
                      <w:rFonts w:hint="default" w:ascii="Times New Roman" w:hAnsi="Times New Roman" w:eastAsia="宋体" w:cs="Times New Roman"/>
                      <w:color w:val="auto"/>
                      <w:highlight w:val="none"/>
                    </w:rPr>
                    <w:t>堆存于封闭</w:t>
                  </w:r>
                  <w:r>
                    <w:rPr>
                      <w:rFonts w:hint="default" w:ascii="Times New Roman" w:hAnsi="Times New Roman" w:eastAsia="宋体" w:cs="Times New Roman"/>
                      <w:color w:val="auto"/>
                      <w:highlight w:val="none"/>
                      <w:lang w:eastAsia="zh-CN"/>
                    </w:rPr>
                    <w:t>生物质燃料库</w:t>
                  </w:r>
                </w:p>
              </w:tc>
            </w:tr>
            <w:tr w14:paraId="0D949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872" w:type="dxa"/>
                  <w:vAlign w:val="center"/>
                </w:tcPr>
                <w:p w14:paraId="6F61C1BE">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039" w:type="dxa"/>
                  <w:vAlign w:val="center"/>
                </w:tcPr>
                <w:p w14:paraId="70DA26DD">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w:t>
                  </w:r>
                </w:p>
              </w:tc>
              <w:tc>
                <w:tcPr>
                  <w:tcW w:w="1822" w:type="dxa"/>
                  <w:vAlign w:val="center"/>
                </w:tcPr>
                <w:p w14:paraId="6689D41D">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5400</w:t>
                  </w:r>
                  <w:r>
                    <w:rPr>
                      <w:rFonts w:hint="default" w:ascii="Times New Roman" w:hAnsi="Times New Roman" w:eastAsia="宋体" w:cs="Times New Roman"/>
                      <w:color w:val="auto"/>
                      <w:highlight w:val="none"/>
                    </w:rPr>
                    <w:t>t/a</w:t>
                  </w:r>
                </w:p>
              </w:tc>
              <w:tc>
                <w:tcPr>
                  <w:tcW w:w="3544" w:type="dxa"/>
                  <w:vAlign w:val="center"/>
                </w:tcPr>
                <w:p w14:paraId="23957DB9">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14:paraId="03C51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872" w:type="dxa"/>
                  <w:vAlign w:val="center"/>
                </w:tcPr>
                <w:p w14:paraId="336C8A0A">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039" w:type="dxa"/>
                  <w:vAlign w:val="center"/>
                </w:tcPr>
                <w:p w14:paraId="3157A238">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w:t>
                  </w:r>
                </w:p>
              </w:tc>
              <w:tc>
                <w:tcPr>
                  <w:tcW w:w="1822" w:type="dxa"/>
                  <w:vAlign w:val="center"/>
                </w:tcPr>
                <w:p w14:paraId="172B7D22">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lang w:val="en-US" w:eastAsia="zh-CN"/>
                    </w:rPr>
                    <w:t>0.9</w:t>
                  </w:r>
                  <w:r>
                    <w:rPr>
                      <w:rFonts w:hint="default" w:ascii="Times New Roman" w:hAnsi="Times New Roman" w:eastAsia="宋体" w:cs="Times New Roman"/>
                      <w:color w:val="auto"/>
                      <w:szCs w:val="21"/>
                      <w:highlight w:val="none"/>
                    </w:rPr>
                    <w:t>×10</w:t>
                  </w:r>
                  <w:r>
                    <w:rPr>
                      <w:rFonts w:hint="default" w:ascii="Times New Roman" w:hAnsi="Times New Roman" w:eastAsia="宋体" w:cs="Times New Roman"/>
                      <w:color w:val="auto"/>
                      <w:szCs w:val="21"/>
                      <w:highlight w:val="none"/>
                      <w:vertAlign w:val="superscript"/>
                    </w:rPr>
                    <w:t>4</w:t>
                  </w:r>
                  <w:r>
                    <w:rPr>
                      <w:rFonts w:hint="default" w:ascii="Times New Roman" w:hAnsi="Times New Roman" w:eastAsia="宋体" w:cs="Times New Roman"/>
                      <w:color w:val="auto"/>
                      <w:szCs w:val="21"/>
                      <w:highlight w:val="none"/>
                    </w:rPr>
                    <w:t>KWh/a</w:t>
                  </w:r>
                </w:p>
              </w:tc>
              <w:tc>
                <w:tcPr>
                  <w:tcW w:w="3544" w:type="dxa"/>
                  <w:vAlign w:val="center"/>
                </w:tcPr>
                <w:p w14:paraId="65974A12">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14:paraId="6A208891">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val="0"/>
                <w:bCs/>
                <w:color w:val="auto"/>
                <w:sz w:val="24"/>
                <w:highlight w:val="none"/>
                <w:lang w:eastAsia="zh-CN"/>
              </w:rPr>
              <w:t>本项目1台10t/h生物质蒸汽锅炉每小时消耗的生物质燃料为1481kg，锅炉每天运行8h，则每天消耗生物质燃料为11848kg；每年运行180天，则全年生物质燃料消耗量为2132.64t。</w:t>
            </w:r>
          </w:p>
          <w:p w14:paraId="45DFF059">
            <w:pPr>
              <w:spacing w:line="360" w:lineRule="auto"/>
              <w:ind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 xml:space="preserve">2-4  </w:t>
            </w:r>
            <w:r>
              <w:rPr>
                <w:rFonts w:hint="default" w:ascii="Times New Roman" w:hAnsi="Times New Roman" w:eastAsia="宋体" w:cs="Times New Roman"/>
                <w:b/>
                <w:color w:val="auto"/>
                <w:sz w:val="24"/>
                <w:szCs w:val="24"/>
                <w:highlight w:val="none"/>
              </w:rPr>
              <w:t>生物质成型燃料成分分析表</w:t>
            </w:r>
          </w:p>
          <w:tbl>
            <w:tblPr>
              <w:tblStyle w:val="25"/>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50"/>
              <w:gridCol w:w="1916"/>
              <w:gridCol w:w="1559"/>
              <w:gridCol w:w="1776"/>
              <w:gridCol w:w="1776"/>
            </w:tblGrid>
            <w:tr w14:paraId="0CC8E5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0" w:space="0"/>
                    <w:bottom w:val="single" w:color="auto" w:sz="4" w:space="0"/>
                    <w:right w:val="single" w:color="auto" w:sz="4" w:space="0"/>
                  </w:tcBorders>
                  <w:vAlign w:val="center"/>
                </w:tcPr>
                <w:p w14:paraId="1BF179D5">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序号</w:t>
                  </w:r>
                </w:p>
              </w:tc>
              <w:tc>
                <w:tcPr>
                  <w:tcW w:w="1916" w:type="dxa"/>
                  <w:tcBorders>
                    <w:top w:val="single" w:color="auto" w:sz="4" w:space="0"/>
                    <w:left w:val="single" w:color="auto" w:sz="4" w:space="0"/>
                    <w:bottom w:val="single" w:color="auto" w:sz="4" w:space="0"/>
                    <w:right w:val="single" w:color="auto" w:sz="4" w:space="0"/>
                  </w:tcBorders>
                  <w:vAlign w:val="center"/>
                </w:tcPr>
                <w:p w14:paraId="29EF48F5">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w:t>
                  </w:r>
                </w:p>
              </w:tc>
              <w:tc>
                <w:tcPr>
                  <w:tcW w:w="1559" w:type="dxa"/>
                  <w:tcBorders>
                    <w:top w:val="single" w:color="auto" w:sz="4" w:space="0"/>
                    <w:left w:val="single" w:color="auto" w:sz="4" w:space="0"/>
                    <w:bottom w:val="single" w:color="auto" w:sz="4" w:space="0"/>
                    <w:right w:val="single" w:color="auto" w:sz="4" w:space="0"/>
                  </w:tcBorders>
                  <w:vAlign w:val="center"/>
                </w:tcPr>
                <w:p w14:paraId="26F14FDE">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符号</w:t>
                  </w:r>
                </w:p>
              </w:tc>
              <w:tc>
                <w:tcPr>
                  <w:tcW w:w="1776" w:type="dxa"/>
                  <w:tcBorders>
                    <w:top w:val="single" w:color="auto" w:sz="4" w:space="0"/>
                    <w:left w:val="single" w:color="auto" w:sz="4" w:space="0"/>
                    <w:bottom w:val="single" w:color="auto" w:sz="4" w:space="0"/>
                    <w:right w:val="single" w:color="auto" w:sz="4" w:space="0"/>
                  </w:tcBorders>
                  <w:vAlign w:val="center"/>
                </w:tcPr>
                <w:p w14:paraId="2D50D27F">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数值</w:t>
                  </w:r>
                </w:p>
              </w:tc>
              <w:tc>
                <w:tcPr>
                  <w:tcW w:w="1776" w:type="dxa"/>
                  <w:tcBorders>
                    <w:top w:val="single" w:color="auto" w:sz="4" w:space="0"/>
                    <w:left w:val="single" w:color="auto" w:sz="4" w:space="0"/>
                    <w:bottom w:val="single" w:color="auto" w:sz="4" w:space="0"/>
                    <w:right w:val="single" w:color="auto" w:sz="4" w:space="0"/>
                  </w:tcBorders>
                </w:tcPr>
                <w:p w14:paraId="500877A4">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单位</w:t>
                  </w:r>
                </w:p>
              </w:tc>
            </w:tr>
            <w:tr w14:paraId="161231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14:paraId="5F6ED8E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w:t>
                  </w:r>
                </w:p>
              </w:tc>
              <w:tc>
                <w:tcPr>
                  <w:tcW w:w="1916" w:type="dxa"/>
                  <w:tcBorders>
                    <w:top w:val="single" w:color="auto" w:sz="4" w:space="0"/>
                    <w:left w:val="single" w:color="auto" w:sz="4" w:space="0"/>
                    <w:bottom w:val="single" w:color="auto" w:sz="4" w:space="0"/>
                    <w:right w:val="single" w:color="auto" w:sz="4" w:space="0"/>
                  </w:tcBorders>
                  <w:vAlign w:val="center"/>
                </w:tcPr>
                <w:p w14:paraId="33B5362B">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收到基灰分</w:t>
                  </w:r>
                </w:p>
              </w:tc>
              <w:tc>
                <w:tcPr>
                  <w:tcW w:w="1559" w:type="dxa"/>
                  <w:tcBorders>
                    <w:top w:val="single" w:color="auto" w:sz="4" w:space="0"/>
                    <w:left w:val="single" w:color="auto" w:sz="4" w:space="0"/>
                    <w:bottom w:val="single" w:color="auto" w:sz="4" w:space="0"/>
                    <w:right w:val="single" w:color="auto" w:sz="4" w:space="0"/>
                  </w:tcBorders>
                  <w:vAlign w:val="center"/>
                </w:tcPr>
                <w:p w14:paraId="6F11086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Ad</w:t>
                  </w:r>
                </w:p>
              </w:tc>
              <w:tc>
                <w:tcPr>
                  <w:tcW w:w="1776" w:type="dxa"/>
                  <w:tcBorders>
                    <w:top w:val="single" w:color="auto" w:sz="4" w:space="0"/>
                    <w:left w:val="single" w:color="auto" w:sz="4" w:space="0"/>
                    <w:bottom w:val="single" w:color="auto" w:sz="4" w:space="0"/>
                    <w:right w:val="single" w:color="auto" w:sz="4" w:space="0"/>
                  </w:tcBorders>
                  <w:vAlign w:val="center"/>
                </w:tcPr>
                <w:p w14:paraId="0E666A3A">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2.56</w:t>
                  </w:r>
                </w:p>
              </w:tc>
              <w:tc>
                <w:tcPr>
                  <w:tcW w:w="1776" w:type="dxa"/>
                  <w:tcBorders>
                    <w:top w:val="single" w:color="auto" w:sz="4" w:space="0"/>
                    <w:left w:val="single" w:color="auto" w:sz="4" w:space="0"/>
                    <w:bottom w:val="single" w:color="auto" w:sz="4" w:space="0"/>
                    <w:right w:val="single" w:color="auto" w:sz="4" w:space="0"/>
                  </w:tcBorders>
                </w:tcPr>
                <w:p w14:paraId="3B3E80F7">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r>
            <w:tr w14:paraId="24D892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14:paraId="3D22631A">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w:t>
                  </w:r>
                </w:p>
              </w:tc>
              <w:tc>
                <w:tcPr>
                  <w:tcW w:w="1916" w:type="dxa"/>
                  <w:tcBorders>
                    <w:top w:val="single" w:color="auto" w:sz="4" w:space="0"/>
                    <w:left w:val="single" w:color="auto" w:sz="4" w:space="0"/>
                    <w:bottom w:val="single" w:color="auto" w:sz="4" w:space="0"/>
                    <w:right w:val="single" w:color="auto" w:sz="4" w:space="0"/>
                  </w:tcBorders>
                  <w:vAlign w:val="center"/>
                </w:tcPr>
                <w:p w14:paraId="565E729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收到基硫分</w:t>
                  </w:r>
                </w:p>
              </w:tc>
              <w:tc>
                <w:tcPr>
                  <w:tcW w:w="1559" w:type="dxa"/>
                  <w:tcBorders>
                    <w:top w:val="single" w:color="auto" w:sz="4" w:space="0"/>
                    <w:left w:val="single" w:color="auto" w:sz="4" w:space="0"/>
                    <w:bottom w:val="single" w:color="auto" w:sz="4" w:space="0"/>
                    <w:right w:val="single" w:color="auto" w:sz="4" w:space="0"/>
                  </w:tcBorders>
                  <w:vAlign w:val="center"/>
                </w:tcPr>
                <w:p w14:paraId="63AE4923">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St.d</w:t>
                  </w:r>
                </w:p>
              </w:tc>
              <w:tc>
                <w:tcPr>
                  <w:tcW w:w="1776" w:type="dxa"/>
                  <w:tcBorders>
                    <w:top w:val="single" w:color="auto" w:sz="4" w:space="0"/>
                    <w:left w:val="single" w:color="auto" w:sz="4" w:space="0"/>
                    <w:bottom w:val="single" w:color="auto" w:sz="4" w:space="0"/>
                    <w:right w:val="single" w:color="auto" w:sz="4" w:space="0"/>
                  </w:tcBorders>
                  <w:vAlign w:val="center"/>
                </w:tcPr>
                <w:p w14:paraId="591CE36D">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06</w:t>
                  </w:r>
                </w:p>
              </w:tc>
              <w:tc>
                <w:tcPr>
                  <w:tcW w:w="1776" w:type="dxa"/>
                  <w:tcBorders>
                    <w:top w:val="single" w:color="auto" w:sz="4" w:space="0"/>
                    <w:left w:val="single" w:color="auto" w:sz="4" w:space="0"/>
                    <w:bottom w:val="single" w:color="auto" w:sz="4" w:space="0"/>
                    <w:right w:val="single" w:color="auto" w:sz="4" w:space="0"/>
                  </w:tcBorders>
                </w:tcPr>
                <w:p w14:paraId="4666C376">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r>
            <w:tr w14:paraId="57A143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14:paraId="642C30B2">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w:t>
                  </w:r>
                </w:p>
              </w:tc>
              <w:tc>
                <w:tcPr>
                  <w:tcW w:w="1916" w:type="dxa"/>
                  <w:tcBorders>
                    <w:top w:val="single" w:color="auto" w:sz="4" w:space="0"/>
                    <w:left w:val="single" w:color="auto" w:sz="4" w:space="0"/>
                    <w:bottom w:val="single" w:color="auto" w:sz="4" w:space="0"/>
                    <w:right w:val="single" w:color="auto" w:sz="4" w:space="0"/>
                  </w:tcBorders>
                  <w:vAlign w:val="center"/>
                </w:tcPr>
                <w:p w14:paraId="5503BBC7">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收到基低位发热量</w:t>
                  </w:r>
                </w:p>
              </w:tc>
              <w:tc>
                <w:tcPr>
                  <w:tcW w:w="1559" w:type="dxa"/>
                  <w:tcBorders>
                    <w:top w:val="single" w:color="auto" w:sz="4" w:space="0"/>
                    <w:left w:val="single" w:color="auto" w:sz="4" w:space="0"/>
                    <w:bottom w:val="single" w:color="auto" w:sz="4" w:space="0"/>
                    <w:right w:val="single" w:color="auto" w:sz="4" w:space="0"/>
                  </w:tcBorders>
                  <w:vAlign w:val="center"/>
                </w:tcPr>
                <w:p w14:paraId="31EDD54A">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Qnet,ar</w:t>
                  </w:r>
                </w:p>
              </w:tc>
              <w:tc>
                <w:tcPr>
                  <w:tcW w:w="1776" w:type="dxa"/>
                  <w:tcBorders>
                    <w:top w:val="single" w:color="auto" w:sz="4" w:space="0"/>
                    <w:left w:val="single" w:color="auto" w:sz="4" w:space="0"/>
                    <w:bottom w:val="single" w:color="auto" w:sz="4" w:space="0"/>
                    <w:right w:val="single" w:color="auto" w:sz="4" w:space="0"/>
                  </w:tcBorders>
                  <w:vAlign w:val="center"/>
                </w:tcPr>
                <w:p w14:paraId="2A07C73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18.60</w:t>
                  </w:r>
                </w:p>
              </w:tc>
              <w:tc>
                <w:tcPr>
                  <w:tcW w:w="1776" w:type="dxa"/>
                  <w:tcBorders>
                    <w:top w:val="single" w:color="auto" w:sz="4" w:space="0"/>
                    <w:left w:val="single" w:color="auto" w:sz="4" w:space="0"/>
                    <w:bottom w:val="single" w:color="auto" w:sz="4" w:space="0"/>
                    <w:right w:val="single" w:color="auto" w:sz="4" w:space="0"/>
                  </w:tcBorders>
                </w:tcPr>
                <w:p w14:paraId="0D834BB9">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MJ/kg</w:t>
                  </w:r>
                </w:p>
              </w:tc>
            </w:tr>
            <w:tr w14:paraId="21ACA7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50" w:type="dxa"/>
                  <w:tcBorders>
                    <w:top w:val="single" w:color="auto" w:sz="4" w:space="0"/>
                    <w:left w:val="single" w:color="auto" w:sz="4" w:space="0"/>
                    <w:bottom w:val="single" w:color="auto" w:sz="4" w:space="0"/>
                    <w:right w:val="single" w:color="auto" w:sz="4" w:space="0"/>
                  </w:tcBorders>
                  <w:vAlign w:val="center"/>
                </w:tcPr>
                <w:p w14:paraId="5B70C7D4">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w:t>
                  </w:r>
                </w:p>
              </w:tc>
              <w:tc>
                <w:tcPr>
                  <w:tcW w:w="1916" w:type="dxa"/>
                  <w:tcBorders>
                    <w:top w:val="single" w:color="auto" w:sz="4" w:space="0"/>
                    <w:left w:val="single" w:color="auto" w:sz="4" w:space="0"/>
                    <w:bottom w:val="single" w:color="auto" w:sz="4" w:space="0"/>
                    <w:right w:val="single" w:color="auto" w:sz="4" w:space="0"/>
                  </w:tcBorders>
                  <w:vAlign w:val="center"/>
                </w:tcPr>
                <w:p w14:paraId="1812AD6B">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飞灰可燃物含量</w:t>
                  </w:r>
                </w:p>
              </w:tc>
              <w:tc>
                <w:tcPr>
                  <w:tcW w:w="1559" w:type="dxa"/>
                  <w:tcBorders>
                    <w:top w:val="single" w:color="auto" w:sz="4" w:space="0"/>
                    <w:left w:val="single" w:color="auto" w:sz="4" w:space="0"/>
                    <w:bottom w:val="single" w:color="auto" w:sz="4" w:space="0"/>
                    <w:right w:val="single" w:color="auto" w:sz="4" w:space="0"/>
                  </w:tcBorders>
                  <w:vAlign w:val="center"/>
                </w:tcPr>
                <w:p w14:paraId="293183CA">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C</w:t>
                  </w:r>
                  <w:r>
                    <w:rPr>
                      <w:rFonts w:hint="default" w:ascii="Times New Roman" w:hAnsi="Times New Roman" w:eastAsia="宋体" w:cs="Times New Roman"/>
                      <w:color w:val="auto"/>
                      <w:szCs w:val="21"/>
                      <w:highlight w:val="none"/>
                      <w:vertAlign w:val="subscript"/>
                    </w:rPr>
                    <w:t>fh</w:t>
                  </w:r>
                </w:p>
              </w:tc>
              <w:tc>
                <w:tcPr>
                  <w:tcW w:w="1776" w:type="dxa"/>
                  <w:tcBorders>
                    <w:top w:val="single" w:color="auto" w:sz="4" w:space="0"/>
                    <w:left w:val="single" w:color="auto" w:sz="4" w:space="0"/>
                    <w:bottom w:val="single" w:color="auto" w:sz="4" w:space="0"/>
                    <w:right w:val="single" w:color="auto" w:sz="4" w:space="0"/>
                  </w:tcBorders>
                  <w:vAlign w:val="center"/>
                </w:tcPr>
                <w:p w14:paraId="2850053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1.86</w:t>
                  </w:r>
                </w:p>
              </w:tc>
              <w:tc>
                <w:tcPr>
                  <w:tcW w:w="1776" w:type="dxa"/>
                  <w:tcBorders>
                    <w:top w:val="single" w:color="auto" w:sz="4" w:space="0"/>
                    <w:left w:val="single" w:color="auto" w:sz="4" w:space="0"/>
                    <w:bottom w:val="single" w:color="auto" w:sz="4" w:space="0"/>
                    <w:right w:val="single" w:color="auto" w:sz="4" w:space="0"/>
                  </w:tcBorders>
                </w:tcPr>
                <w:p w14:paraId="7984F9D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w:t>
                  </w:r>
                </w:p>
              </w:tc>
            </w:tr>
          </w:tbl>
          <w:p w14:paraId="532EB27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5</w:t>
            </w:r>
            <w:r>
              <w:rPr>
                <w:rFonts w:hint="default" w:ascii="Times New Roman" w:hAnsi="Times New Roman" w:eastAsia="宋体" w:cs="Times New Roman"/>
                <w:b/>
                <w:bCs/>
                <w:color w:val="auto"/>
                <w:sz w:val="24"/>
                <w:szCs w:val="32"/>
                <w:highlight w:val="none"/>
              </w:rPr>
              <w:t>、工作制度及劳动定员</w:t>
            </w:r>
          </w:p>
          <w:p w14:paraId="07337A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厂区现有加气混凝土砌块生产线编组好的蒸养小车由慢动卷扬机拉入蒸压釜内进行蒸压养护，升温、升压时间2h，恒压蒸养时间6h，蒸汽压力温度191℃，降压时间约2h。</w:t>
            </w:r>
          </w:p>
          <w:p w14:paraId="6FDDA0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w:t>
            </w:r>
            <w:r>
              <w:rPr>
                <w:rFonts w:hint="default" w:ascii="Times New Roman" w:hAnsi="Times New Roman" w:eastAsia="宋体" w:cs="Times New Roman"/>
                <w:color w:val="auto"/>
                <w:sz w:val="24"/>
                <w:szCs w:val="32"/>
                <w:highlight w:val="none"/>
                <w:lang w:val="en-US" w:eastAsia="zh-CN"/>
              </w:rPr>
              <w:t>生物质蒸汽锅炉</w:t>
            </w:r>
            <w:r>
              <w:rPr>
                <w:rFonts w:hint="default" w:ascii="Times New Roman" w:hAnsi="Times New Roman" w:eastAsia="宋体" w:cs="Times New Roman"/>
                <w:color w:val="auto"/>
                <w:sz w:val="24"/>
                <w:szCs w:val="32"/>
                <w:highlight w:val="none"/>
              </w:rPr>
              <w:t>全年</w:t>
            </w:r>
            <w:r>
              <w:rPr>
                <w:rFonts w:hint="default" w:ascii="Times New Roman" w:hAnsi="Times New Roman" w:eastAsia="宋体" w:cs="Times New Roman"/>
                <w:color w:val="auto"/>
                <w:sz w:val="24"/>
                <w:szCs w:val="32"/>
                <w:highlight w:val="none"/>
                <w:lang w:val="en-US" w:eastAsia="zh-CN"/>
              </w:rPr>
              <w:t>运行18</w:t>
            </w:r>
            <w:r>
              <w:rPr>
                <w:rFonts w:hint="default" w:ascii="Times New Roman" w:hAnsi="Times New Roman" w:eastAsia="宋体" w:cs="Times New Roman"/>
                <w:color w:val="auto"/>
                <w:sz w:val="24"/>
                <w:szCs w:val="32"/>
                <w:highlight w:val="none"/>
              </w:rPr>
              <w:t>0天，每天运行</w:t>
            </w:r>
            <w:r>
              <w:rPr>
                <w:rFonts w:hint="default" w:ascii="Times New Roman" w:hAnsi="Times New Roman" w:eastAsia="宋体" w:cs="Times New Roman"/>
                <w:color w:val="auto"/>
                <w:sz w:val="24"/>
                <w:szCs w:val="32"/>
                <w:highlight w:val="none"/>
                <w:lang w:val="en-US" w:eastAsia="zh-CN"/>
              </w:rPr>
              <w:t>8</w:t>
            </w:r>
            <w:r>
              <w:rPr>
                <w:rFonts w:hint="default" w:ascii="Times New Roman" w:hAnsi="Times New Roman" w:eastAsia="宋体" w:cs="Times New Roman"/>
                <w:color w:val="auto"/>
                <w:sz w:val="24"/>
                <w:szCs w:val="32"/>
                <w:highlight w:val="none"/>
              </w:rPr>
              <w:t>小时。</w:t>
            </w:r>
          </w:p>
          <w:p w14:paraId="37E9E4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本项目不新增工作人员，由</w:t>
            </w:r>
            <w:r>
              <w:rPr>
                <w:rFonts w:hint="default" w:ascii="Times New Roman" w:hAnsi="Times New Roman" w:eastAsia="宋体" w:cs="Times New Roman"/>
                <w:color w:val="auto"/>
                <w:sz w:val="24"/>
                <w:szCs w:val="32"/>
                <w:highlight w:val="none"/>
                <w:lang w:eastAsia="zh-CN"/>
              </w:rPr>
              <w:t>磴口县鸿运建材有限责任公司</w:t>
            </w:r>
            <w:r>
              <w:rPr>
                <w:rFonts w:hint="default" w:ascii="Times New Roman" w:hAnsi="Times New Roman" w:eastAsia="宋体" w:cs="Times New Roman"/>
                <w:color w:val="auto"/>
                <w:sz w:val="24"/>
                <w:szCs w:val="32"/>
                <w:highlight w:val="none"/>
              </w:rPr>
              <w:t>厂区内部调配。</w:t>
            </w:r>
          </w:p>
          <w:p w14:paraId="2A5DDC2D">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6</w:t>
            </w:r>
            <w:r>
              <w:rPr>
                <w:rFonts w:hint="default" w:ascii="Times New Roman" w:hAnsi="Times New Roman" w:eastAsia="宋体" w:cs="Times New Roman"/>
                <w:b/>
                <w:color w:val="auto"/>
                <w:sz w:val="24"/>
                <w:highlight w:val="none"/>
              </w:rPr>
              <w:t>、公用工程</w:t>
            </w:r>
          </w:p>
          <w:p w14:paraId="0BEB2E42">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.1水源：</w:t>
            </w:r>
          </w:p>
          <w:p w14:paraId="79FE38DF">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val="en-US" w:eastAsia="zh-CN"/>
              </w:rPr>
              <w:t>用水由园区自来水管网供给</w:t>
            </w:r>
            <w:r>
              <w:rPr>
                <w:rFonts w:hint="default" w:ascii="Times New Roman" w:hAnsi="Times New Roman" w:eastAsia="宋体" w:cs="Times New Roman"/>
                <w:color w:val="auto"/>
                <w:sz w:val="24"/>
                <w:highlight w:val="none"/>
              </w:rPr>
              <w:t>，用水</w:t>
            </w:r>
            <w:r>
              <w:rPr>
                <w:rFonts w:hint="default" w:ascii="Times New Roman" w:hAnsi="Times New Roman" w:eastAsia="宋体" w:cs="Times New Roman"/>
                <w:color w:val="auto"/>
                <w:sz w:val="24"/>
                <w:highlight w:val="none"/>
                <w:lang w:val="en-US" w:eastAsia="zh-CN"/>
              </w:rPr>
              <w:t>工序</w:t>
            </w:r>
            <w:r>
              <w:rPr>
                <w:rFonts w:hint="default" w:ascii="Times New Roman" w:hAnsi="Times New Roman" w:eastAsia="宋体" w:cs="Times New Roman"/>
                <w:color w:val="auto"/>
                <w:sz w:val="24"/>
                <w:highlight w:val="none"/>
              </w:rPr>
              <w:t>主要为锅炉用水、出渣机补水。</w:t>
            </w:r>
          </w:p>
          <w:p w14:paraId="2DB6C14A">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.2给水</w:t>
            </w:r>
          </w:p>
          <w:p w14:paraId="35BD6646">
            <w:pPr>
              <w:spacing w:line="360" w:lineRule="auto"/>
              <w:ind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①锅炉用水</w:t>
            </w:r>
          </w:p>
          <w:p w14:paraId="38FA383C">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本项目1台</w:t>
            </w:r>
            <w:r>
              <w:rPr>
                <w:rFonts w:hint="default" w:ascii="Times New Roman" w:hAnsi="Times New Roman" w:eastAsia="宋体" w:cs="Times New Roman"/>
                <w:color w:val="auto"/>
                <w:sz w:val="24"/>
                <w:highlight w:val="none"/>
                <w:lang w:eastAsia="zh-CN"/>
              </w:rPr>
              <w:t>10t/h生物质蒸汽锅炉</w:t>
            </w:r>
            <w:r>
              <w:rPr>
                <w:rFonts w:hint="default" w:ascii="Times New Roman" w:hAnsi="Times New Roman" w:eastAsia="宋体" w:cs="Times New Roman"/>
                <w:color w:val="auto"/>
                <w:sz w:val="24"/>
                <w:highlight w:val="none"/>
              </w:rPr>
              <w:t>产生的</w:t>
            </w:r>
            <w:r>
              <w:rPr>
                <w:rFonts w:hint="default" w:ascii="Times New Roman" w:hAnsi="Times New Roman" w:eastAsia="宋体" w:cs="Times New Roman"/>
                <w:color w:val="auto"/>
                <w:sz w:val="24"/>
                <w:highlight w:val="none"/>
                <w:lang w:eastAsia="zh-CN"/>
              </w:rPr>
              <w:t>蒸汽</w:t>
            </w:r>
            <w:r>
              <w:rPr>
                <w:rFonts w:hint="default" w:ascii="Times New Roman" w:hAnsi="Times New Roman" w:eastAsia="宋体" w:cs="Times New Roman"/>
                <w:color w:val="auto"/>
                <w:sz w:val="24"/>
                <w:highlight w:val="none"/>
                <w:lang w:val="en-US" w:eastAsia="zh-CN"/>
              </w:rPr>
              <w:t>用于厂区现有加气混凝土砌块生产线产品养护。本项目</w:t>
            </w:r>
            <w:r>
              <w:rPr>
                <w:rFonts w:hint="default" w:ascii="Times New Roman" w:hAnsi="Times New Roman" w:eastAsia="宋体" w:cs="Times New Roman"/>
                <w:color w:val="auto"/>
                <w:sz w:val="24"/>
                <w:highlight w:val="none"/>
                <w:lang w:eastAsia="zh-CN"/>
              </w:rPr>
              <w:t>生物质蒸汽锅炉</w:t>
            </w:r>
            <w:r>
              <w:rPr>
                <w:rFonts w:hint="default" w:ascii="Times New Roman" w:hAnsi="Times New Roman" w:eastAsia="宋体" w:cs="Times New Roman"/>
                <w:color w:val="auto"/>
                <w:sz w:val="24"/>
                <w:highlight w:val="none"/>
              </w:rPr>
              <w:t>额定循环量为</w:t>
            </w:r>
            <w:r>
              <w:rPr>
                <w:rFonts w:hint="default" w:ascii="Times New Roman" w:hAnsi="Times New Roman" w:eastAsia="宋体" w:cs="Times New Roman"/>
                <w:color w:val="auto"/>
                <w:sz w:val="24"/>
                <w:highlight w:val="none"/>
                <w:lang w:eastAsia="zh-CN"/>
              </w:rPr>
              <w:t>10t/h，</w:t>
            </w:r>
            <w:r>
              <w:rPr>
                <w:rFonts w:hint="default" w:ascii="Times New Roman" w:hAnsi="Times New Roman" w:eastAsia="宋体" w:cs="Times New Roman"/>
                <w:color w:val="auto"/>
                <w:sz w:val="24"/>
                <w:highlight w:val="none"/>
              </w:rPr>
              <w:t>锅炉排污水按循环水量的2%计算，则锅炉排污水排放量为0.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288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/a）；锅炉内</w:t>
            </w:r>
            <w:r>
              <w:rPr>
                <w:rFonts w:hint="default" w:ascii="Times New Roman" w:hAnsi="Times New Roman" w:eastAsia="宋体" w:cs="Times New Roman"/>
                <w:color w:val="auto"/>
                <w:sz w:val="24"/>
                <w:highlight w:val="none"/>
                <w:lang w:eastAsia="zh-CN"/>
              </w:rPr>
              <w:t>蒸汽</w:t>
            </w:r>
            <w:r>
              <w:rPr>
                <w:rFonts w:hint="default" w:ascii="Times New Roman" w:hAnsi="Times New Roman" w:eastAsia="宋体" w:cs="Times New Roman"/>
                <w:color w:val="auto"/>
                <w:sz w:val="24"/>
                <w:highlight w:val="none"/>
              </w:rPr>
              <w:t>加热过程中，水分</w:t>
            </w:r>
            <w:r>
              <w:rPr>
                <w:rFonts w:hint="default" w:ascii="Times New Roman" w:hAnsi="Times New Roman" w:eastAsia="宋体" w:cs="Times New Roman"/>
                <w:color w:val="auto"/>
                <w:sz w:val="24"/>
                <w:highlight w:val="none"/>
                <w:lang w:val="zh-CN"/>
              </w:rPr>
              <w:t>损失量</w:t>
            </w:r>
            <w:r>
              <w:rPr>
                <w:rFonts w:hint="default" w:ascii="Times New Roman" w:hAnsi="Times New Roman" w:eastAsia="宋体" w:cs="Times New Roman"/>
                <w:color w:val="auto"/>
                <w:sz w:val="24"/>
                <w:highlight w:val="none"/>
              </w:rPr>
              <w:t>按循环水量的3%计算，则锅炉循环水损失量为0.</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432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蒸汽养护过程中，蒸汽</w:t>
            </w:r>
            <w:r>
              <w:rPr>
                <w:rFonts w:hint="default" w:ascii="Times New Roman" w:hAnsi="Times New Roman" w:eastAsia="宋体" w:cs="Times New Roman"/>
                <w:color w:val="auto"/>
                <w:sz w:val="24"/>
                <w:highlight w:val="none"/>
                <w:lang w:val="zh-CN"/>
              </w:rPr>
              <w:t>损失量</w:t>
            </w:r>
            <w:r>
              <w:rPr>
                <w:rFonts w:hint="default" w:ascii="Times New Roman" w:hAnsi="Times New Roman" w:eastAsia="宋体" w:cs="Times New Roman"/>
                <w:color w:val="auto"/>
                <w:sz w:val="24"/>
                <w:highlight w:val="none"/>
              </w:rPr>
              <w:t>按循环水量的</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rPr>
              <w:t>%计算，则锅炉循环水损失量为</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3600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val="en-US" w:eastAsia="zh-CN"/>
              </w:rPr>
              <w:t>。锅炉冷凝水回至蒸汽锅炉循环利用</w:t>
            </w:r>
            <w:r>
              <w:rPr>
                <w:rFonts w:hint="default" w:ascii="Times New Roman" w:hAnsi="Times New Roman" w:eastAsia="宋体" w:cs="Times New Roman"/>
                <w:color w:val="auto"/>
                <w:sz w:val="24"/>
                <w:highlight w:val="none"/>
              </w:rPr>
              <w:t>。</w:t>
            </w:r>
          </w:p>
          <w:p w14:paraId="1436EFEA">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锅炉用水通过软水制备装置补给，本项目1台</w:t>
            </w:r>
            <w:r>
              <w:rPr>
                <w:rFonts w:hint="default" w:ascii="Times New Roman" w:hAnsi="Times New Roman" w:eastAsia="宋体" w:cs="Times New Roman"/>
                <w:color w:val="auto"/>
                <w:sz w:val="24"/>
                <w:highlight w:val="none"/>
                <w:lang w:eastAsia="zh-CN"/>
              </w:rPr>
              <w:t>10t/h生物质蒸汽锅炉</w:t>
            </w:r>
            <w:r>
              <w:rPr>
                <w:rFonts w:hint="default" w:ascii="Times New Roman" w:hAnsi="Times New Roman" w:eastAsia="宋体" w:cs="Times New Roman"/>
                <w:color w:val="auto"/>
                <w:sz w:val="24"/>
                <w:highlight w:val="none"/>
              </w:rPr>
              <w:t>软水消耗量为</w:t>
            </w:r>
            <w:r>
              <w:rPr>
                <w:rFonts w:hint="default" w:ascii="Times New Roman" w:hAnsi="Times New Roman" w:eastAsia="宋体" w:cs="Times New Roman"/>
                <w:color w:val="auto"/>
                <w:sz w:val="24"/>
                <w:highlight w:val="none"/>
                <w:lang w:val="en-US" w:eastAsia="zh-CN"/>
              </w:rPr>
              <w:t>3m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4320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/a），软水制备装置的软水产出率按80%计算，因此，软水制备装置消耗的新鲜水量为</w:t>
            </w:r>
            <w:r>
              <w:rPr>
                <w:rFonts w:hint="default" w:ascii="Times New Roman" w:hAnsi="Times New Roman" w:eastAsia="宋体" w:cs="Times New Roman"/>
                <w:color w:val="auto"/>
                <w:sz w:val="24"/>
                <w:highlight w:val="none"/>
                <w:lang w:val="en-US" w:eastAsia="zh-CN"/>
              </w:rPr>
              <w:t>30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540</w:t>
            </w:r>
            <w:r>
              <w:rPr>
                <w:rFonts w:hint="default" w:ascii="Times New Roman" w:hAnsi="Times New Roman" w:eastAsia="宋体" w:cs="Times New Roman"/>
                <w:color w:val="auto"/>
                <w:sz w:val="24"/>
                <w:highlight w:val="none"/>
              </w:rPr>
              <w:t>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p>
          <w:p w14:paraId="13D617D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②出渣机补水</w:t>
            </w:r>
          </w:p>
          <w:p w14:paraId="3BC190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w:t>
            </w:r>
            <w:r>
              <w:rPr>
                <w:rFonts w:hint="default" w:ascii="Times New Roman" w:hAnsi="Times New Roman" w:eastAsia="宋体" w:cs="Times New Roman"/>
                <w:color w:val="auto"/>
                <w:sz w:val="24"/>
                <w:szCs w:val="32"/>
                <w:highlight w:val="none"/>
                <w:lang w:eastAsia="zh-CN"/>
              </w:rPr>
              <w:t>生物质蒸汽锅炉</w:t>
            </w:r>
            <w:r>
              <w:rPr>
                <w:rFonts w:hint="default" w:ascii="Times New Roman" w:hAnsi="Times New Roman" w:eastAsia="宋体" w:cs="Times New Roman"/>
                <w:color w:val="auto"/>
                <w:sz w:val="24"/>
                <w:szCs w:val="32"/>
                <w:highlight w:val="none"/>
              </w:rPr>
              <w:t>出渣采用湿出渣方式，出渣废水循环使用，不外排；由于出渣过程中温度较高，水与锅炉炉渣直接接触时，出渣废水由于炉渣热量的作用成为</w:t>
            </w:r>
            <w:r>
              <w:rPr>
                <w:rFonts w:hint="default" w:ascii="Times New Roman" w:hAnsi="Times New Roman" w:eastAsia="宋体" w:cs="Times New Roman"/>
                <w:color w:val="auto"/>
                <w:sz w:val="24"/>
                <w:szCs w:val="32"/>
                <w:highlight w:val="none"/>
                <w:lang w:eastAsia="zh-CN"/>
              </w:rPr>
              <w:t>水蒸气</w:t>
            </w:r>
            <w:r>
              <w:rPr>
                <w:rFonts w:hint="default" w:ascii="Times New Roman" w:hAnsi="Times New Roman" w:eastAsia="宋体" w:cs="Times New Roman"/>
                <w:color w:val="auto"/>
                <w:sz w:val="24"/>
                <w:szCs w:val="32"/>
                <w:highlight w:val="none"/>
              </w:rPr>
              <w:t>外排。</w:t>
            </w:r>
            <w:r>
              <w:rPr>
                <w:rFonts w:hint="default" w:ascii="Times New Roman" w:hAnsi="Times New Roman" w:eastAsia="宋体" w:cs="Times New Roman"/>
                <w:color w:val="auto"/>
                <w:sz w:val="24"/>
                <w:szCs w:val="24"/>
                <w:highlight w:val="none"/>
                <w:lang w:val="en-US" w:eastAsia="zh-CN"/>
              </w:rPr>
              <w:t>本项目生物质蒸汽锅炉</w:t>
            </w:r>
            <w:r>
              <w:rPr>
                <w:rFonts w:hint="default" w:ascii="Times New Roman" w:hAnsi="Times New Roman" w:eastAsia="宋体" w:cs="Times New Roman"/>
                <w:color w:val="auto"/>
                <w:sz w:val="24"/>
                <w:szCs w:val="24"/>
                <w:highlight w:val="none"/>
              </w:rPr>
              <w:t>运营期共</w:t>
            </w:r>
            <w:r>
              <w:rPr>
                <w:rFonts w:hint="default" w:ascii="Times New Roman" w:hAnsi="Times New Roman" w:eastAsia="宋体" w:cs="Times New Roman"/>
                <w:color w:val="auto"/>
                <w:sz w:val="24"/>
                <w:szCs w:val="24"/>
                <w:highlight w:val="none"/>
                <w:lang w:val="en-US" w:eastAsia="zh-CN"/>
              </w:rPr>
              <w:t>180</w:t>
            </w:r>
            <w:r>
              <w:rPr>
                <w:rFonts w:hint="default" w:ascii="Times New Roman" w:hAnsi="Times New Roman" w:eastAsia="宋体" w:cs="Times New Roman"/>
                <w:color w:val="auto"/>
                <w:sz w:val="24"/>
                <w:szCs w:val="24"/>
                <w:highlight w:val="none"/>
              </w:rPr>
              <w:t>天，</w:t>
            </w:r>
            <w:r>
              <w:rPr>
                <w:rFonts w:hint="default" w:ascii="Times New Roman" w:hAnsi="Times New Roman" w:eastAsia="宋体" w:cs="Times New Roman"/>
                <w:color w:val="auto"/>
                <w:sz w:val="24"/>
                <w:szCs w:val="32"/>
                <w:highlight w:val="none"/>
              </w:rPr>
              <w:t>出渣机补水量为</w:t>
            </w:r>
            <w:r>
              <w:rPr>
                <w:rFonts w:hint="default" w:ascii="Times New Roman" w:hAnsi="Times New Roman" w:eastAsia="宋体" w:cs="Times New Roman"/>
                <w:color w:val="auto"/>
                <w:sz w:val="24"/>
                <w:szCs w:val="32"/>
                <w:highlight w:val="none"/>
                <w:lang w:val="en-US" w:eastAsia="zh-CN"/>
              </w:rPr>
              <w:t>3</w:t>
            </w:r>
            <w:r>
              <w:rPr>
                <w:rFonts w:hint="default" w:ascii="Times New Roman" w:hAnsi="Times New Roman" w:eastAsia="宋体" w:cs="Times New Roman"/>
                <w:color w:val="auto"/>
                <w:sz w:val="24"/>
                <w:szCs w:val="32"/>
                <w:highlight w:val="none"/>
              </w:rPr>
              <w:t>m</w:t>
            </w:r>
            <w:r>
              <w:rPr>
                <w:rFonts w:hint="default" w:ascii="Times New Roman" w:hAnsi="Times New Roman" w:eastAsia="宋体" w:cs="Times New Roman"/>
                <w:color w:val="auto"/>
                <w:sz w:val="24"/>
                <w:szCs w:val="32"/>
                <w:highlight w:val="none"/>
                <w:vertAlign w:val="superscript"/>
              </w:rPr>
              <w:t>3</w:t>
            </w:r>
            <w:r>
              <w:rPr>
                <w:rFonts w:hint="default" w:ascii="Times New Roman" w:hAnsi="Times New Roman" w:eastAsia="宋体" w:cs="Times New Roman"/>
                <w:color w:val="auto"/>
                <w:sz w:val="24"/>
                <w:szCs w:val="32"/>
                <w:highlight w:val="none"/>
              </w:rPr>
              <w:t>/d（</w:t>
            </w:r>
            <w:r>
              <w:rPr>
                <w:rFonts w:hint="default" w:ascii="Times New Roman" w:hAnsi="Times New Roman" w:eastAsia="宋体" w:cs="Times New Roman"/>
                <w:color w:val="auto"/>
                <w:sz w:val="24"/>
                <w:szCs w:val="32"/>
                <w:highlight w:val="none"/>
                <w:lang w:val="en-US" w:eastAsia="zh-CN"/>
              </w:rPr>
              <w:t>540</w:t>
            </w:r>
            <w:r>
              <w:rPr>
                <w:rFonts w:hint="default" w:ascii="Times New Roman" w:hAnsi="Times New Roman" w:eastAsia="宋体" w:cs="Times New Roman"/>
                <w:color w:val="auto"/>
                <w:sz w:val="24"/>
                <w:szCs w:val="32"/>
                <w:highlight w:val="none"/>
              </w:rPr>
              <w:t>m</w:t>
            </w:r>
            <w:r>
              <w:rPr>
                <w:rFonts w:hint="default" w:ascii="Times New Roman" w:hAnsi="Times New Roman" w:eastAsia="宋体" w:cs="Times New Roman"/>
                <w:color w:val="auto"/>
                <w:sz w:val="24"/>
                <w:szCs w:val="32"/>
                <w:highlight w:val="none"/>
                <w:vertAlign w:val="superscript"/>
              </w:rPr>
              <w:t>3</w:t>
            </w:r>
            <w:r>
              <w:rPr>
                <w:rFonts w:hint="default" w:ascii="Times New Roman" w:hAnsi="Times New Roman" w:eastAsia="宋体" w:cs="Times New Roman"/>
                <w:color w:val="auto"/>
                <w:sz w:val="24"/>
                <w:szCs w:val="32"/>
                <w:highlight w:val="none"/>
              </w:rPr>
              <w:t>/a）</w:t>
            </w:r>
            <w:r>
              <w:rPr>
                <w:rFonts w:hint="default" w:ascii="Times New Roman" w:hAnsi="Times New Roman" w:eastAsia="宋体" w:cs="Times New Roman"/>
                <w:color w:val="auto"/>
                <w:sz w:val="24"/>
                <w:szCs w:val="24"/>
                <w:highlight w:val="none"/>
                <w:lang w:eastAsia="zh-CN"/>
              </w:rPr>
              <w:t>，由锅炉定期排污水和软水制备废水供给，不消耗新鲜水</w:t>
            </w:r>
            <w:r>
              <w:rPr>
                <w:rFonts w:hint="default" w:ascii="Times New Roman" w:hAnsi="Times New Roman" w:eastAsia="宋体" w:cs="Times New Roman"/>
                <w:color w:val="auto"/>
                <w:sz w:val="24"/>
                <w:szCs w:val="24"/>
                <w:highlight w:val="none"/>
                <w:lang w:val="en-US" w:eastAsia="zh-CN"/>
              </w:rPr>
              <w:t>。</w:t>
            </w:r>
          </w:p>
          <w:p w14:paraId="0412CE23">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.3排水</w:t>
            </w:r>
          </w:p>
          <w:p w14:paraId="6652585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①锅炉定期排污水</w:t>
            </w:r>
          </w:p>
          <w:p w14:paraId="193221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本项目1台</w:t>
            </w:r>
            <w:r>
              <w:rPr>
                <w:rFonts w:hint="default" w:ascii="Times New Roman" w:hAnsi="Times New Roman" w:eastAsia="宋体" w:cs="Times New Roman"/>
                <w:color w:val="auto"/>
                <w:sz w:val="24"/>
                <w:szCs w:val="32"/>
                <w:highlight w:val="none"/>
                <w:lang w:eastAsia="zh-CN"/>
              </w:rPr>
              <w:t>10t/h生物质蒸汽锅炉</w:t>
            </w:r>
            <w:r>
              <w:rPr>
                <w:rFonts w:hint="default" w:ascii="Times New Roman" w:hAnsi="Times New Roman" w:eastAsia="宋体" w:cs="Times New Roman"/>
                <w:color w:val="auto"/>
                <w:sz w:val="24"/>
                <w:szCs w:val="32"/>
                <w:highlight w:val="none"/>
              </w:rPr>
              <w:t>排污水按循环水量的2%计算，则锅炉排污水排放量为</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288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用于厂区运输道路和物料堆场降尘洒水</w:t>
            </w:r>
            <w:r>
              <w:rPr>
                <w:rFonts w:hint="default" w:ascii="Times New Roman" w:hAnsi="Times New Roman" w:eastAsia="宋体" w:cs="Times New Roman"/>
                <w:color w:val="auto"/>
                <w:sz w:val="24"/>
                <w:szCs w:val="32"/>
                <w:highlight w:val="none"/>
              </w:rPr>
              <w:t>，不外排。</w:t>
            </w:r>
          </w:p>
          <w:p w14:paraId="61FF0C5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②软水制备废水</w:t>
            </w:r>
          </w:p>
          <w:p w14:paraId="12B8C89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本项目软水制备</w:t>
            </w:r>
            <w:r>
              <w:rPr>
                <w:rFonts w:hint="default" w:ascii="Times New Roman" w:hAnsi="Times New Roman" w:eastAsia="宋体" w:cs="Times New Roman"/>
                <w:color w:val="auto"/>
                <w:sz w:val="24"/>
                <w:highlight w:val="none"/>
                <w:lang w:eastAsia="zh-CN"/>
              </w:rPr>
              <w:t>废水</w:t>
            </w:r>
            <w:r>
              <w:rPr>
                <w:rFonts w:hint="default" w:ascii="Times New Roman" w:hAnsi="Times New Roman" w:eastAsia="宋体" w:cs="Times New Roman"/>
                <w:color w:val="auto"/>
                <w:sz w:val="24"/>
                <w:highlight w:val="none"/>
              </w:rPr>
              <w:t>排</w:t>
            </w:r>
            <w:r>
              <w:rPr>
                <w:rFonts w:hint="default" w:ascii="Times New Roman" w:hAnsi="Times New Roman" w:eastAsia="宋体" w:cs="Times New Roman"/>
                <w:color w:val="auto"/>
                <w:sz w:val="24"/>
                <w:highlight w:val="none"/>
                <w:lang w:eastAsia="zh-CN"/>
              </w:rPr>
              <w:t>放</w:t>
            </w:r>
            <w:r>
              <w:rPr>
                <w:rFonts w:hint="default" w:ascii="Times New Roman" w:hAnsi="Times New Roman" w:eastAsia="宋体" w:cs="Times New Roman"/>
                <w:color w:val="auto"/>
                <w:sz w:val="24"/>
                <w:highlight w:val="none"/>
              </w:rPr>
              <w:t>量为</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1080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用于厂区运输道路和物料堆场降尘洒水</w:t>
            </w:r>
            <w:r>
              <w:rPr>
                <w:rFonts w:hint="default" w:ascii="Times New Roman" w:hAnsi="Times New Roman" w:eastAsia="宋体" w:cs="Times New Roman"/>
                <w:color w:val="auto"/>
                <w:sz w:val="24"/>
                <w:szCs w:val="24"/>
                <w:highlight w:val="none"/>
              </w:rPr>
              <w:t>，不外排。</w:t>
            </w:r>
          </w:p>
          <w:p w14:paraId="01D996E6">
            <w:pPr>
              <w:widowControl/>
              <w:spacing w:line="360" w:lineRule="auto"/>
              <w:ind w:firstLine="480" w:firstLineChars="200"/>
              <w:outlineLvl w:val="1"/>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本项目水平衡图见图2-1。</w:t>
            </w:r>
          </w:p>
          <w:p w14:paraId="6B10C6DC">
            <w:pPr>
              <w:snapToGrid w:val="0"/>
              <w:spacing w:line="360" w:lineRule="auto"/>
              <w:jc w:val="center"/>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object>
                <v:shape id="_x0000_i1025" o:spt="75" type="#_x0000_t75" style="height:152.1pt;width:413.85pt;" o:ole="t" filled="f" o:preferrelative="t" stroked="f" coordsize="21600,21600">
                  <v:path/>
                  <v:fill on="f" focussize="0,0"/>
                  <v:stroke on="f"/>
                  <v:imagedata r:id="rId13" o:title=""/>
                  <o:lock v:ext="edit" aspectratio="t"/>
                  <w10:wrap type="none"/>
                  <w10:anchorlock/>
                </v:shape>
                <o:OLEObject Type="Embed" ProgID="Visio.Drawing.11" ShapeID="_x0000_i1025" DrawAspect="Content" ObjectID="_1468075725" r:id="rId12">
                  <o:LockedField>false</o:LockedField>
                </o:OLEObject>
              </w:object>
            </w:r>
          </w:p>
          <w:p w14:paraId="68418AA6">
            <w:pPr>
              <w:snapToGrid w:val="0"/>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图2-1</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本项目水平衡图</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单位m</w:t>
            </w:r>
            <w:r>
              <w:rPr>
                <w:rFonts w:hint="default" w:ascii="Times New Roman" w:hAnsi="Times New Roman" w:eastAsia="宋体" w:cs="Times New Roman"/>
                <w:b/>
                <w:bCs/>
                <w:color w:val="auto"/>
                <w:sz w:val="24"/>
                <w:highlight w:val="none"/>
                <w:vertAlign w:val="superscript"/>
              </w:rPr>
              <w:t>3</w:t>
            </w:r>
            <w:r>
              <w:rPr>
                <w:rFonts w:hint="default" w:ascii="Times New Roman" w:hAnsi="Times New Roman" w:eastAsia="宋体" w:cs="Times New Roman"/>
                <w:b/>
                <w:bCs/>
                <w:color w:val="auto"/>
                <w:sz w:val="24"/>
                <w:highlight w:val="none"/>
              </w:rPr>
              <w:t>/d</w:t>
            </w:r>
          </w:p>
          <w:p w14:paraId="23682472">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.4供电</w:t>
            </w:r>
          </w:p>
          <w:p w14:paraId="14C48C7A">
            <w:pPr>
              <w:spacing w:line="360" w:lineRule="auto"/>
              <w:ind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由厂区现有供电系统提供。</w:t>
            </w:r>
          </w:p>
          <w:p w14:paraId="4B7E7B1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7</w:t>
            </w:r>
            <w:r>
              <w:rPr>
                <w:rFonts w:hint="default" w:ascii="Times New Roman" w:hAnsi="Times New Roman" w:eastAsia="宋体" w:cs="Times New Roman"/>
                <w:b/>
                <w:bCs/>
                <w:color w:val="auto"/>
                <w:sz w:val="24"/>
                <w:szCs w:val="32"/>
                <w:highlight w:val="none"/>
              </w:rPr>
              <w:t>、平面布置</w:t>
            </w:r>
          </w:p>
          <w:p w14:paraId="7E3064D0">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本项目</w:t>
            </w:r>
            <w:r>
              <w:rPr>
                <w:rFonts w:hint="default" w:ascii="Times New Roman" w:hAnsi="Times New Roman" w:eastAsia="宋体" w:cs="Times New Roman"/>
                <w:color w:val="auto"/>
                <w:sz w:val="24"/>
                <w:highlight w:val="none"/>
                <w:lang w:val="en-US" w:eastAsia="zh-CN"/>
              </w:rPr>
              <w:t>位于厂区南侧，</w:t>
            </w:r>
            <w:r>
              <w:rPr>
                <w:rFonts w:hint="default" w:ascii="Times New Roman" w:hAnsi="Times New Roman" w:eastAsia="宋体" w:cs="Times New Roman"/>
                <w:color w:val="auto"/>
                <w:sz w:val="24"/>
                <w:highlight w:val="none"/>
              </w:rPr>
              <w:t>锅炉房</w:t>
            </w:r>
            <w:r>
              <w:rPr>
                <w:rFonts w:hint="default" w:ascii="Times New Roman" w:hAnsi="Times New Roman" w:eastAsia="宋体" w:cs="Times New Roman"/>
                <w:color w:val="auto"/>
                <w:sz w:val="24"/>
                <w:highlight w:val="none"/>
                <w:lang w:eastAsia="zh-CN"/>
              </w:rPr>
              <w:t>南侧为生物质燃料库和灰渣库</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锅炉房</w:t>
            </w:r>
            <w:r>
              <w:rPr>
                <w:rFonts w:hint="default" w:ascii="Times New Roman" w:hAnsi="Times New Roman" w:eastAsia="宋体" w:cs="Times New Roman"/>
                <w:color w:val="auto"/>
                <w:sz w:val="24"/>
                <w:highlight w:val="none"/>
              </w:rPr>
              <w:t>内建设1台</w:t>
            </w:r>
            <w:r>
              <w:rPr>
                <w:rFonts w:hint="default" w:ascii="Times New Roman" w:hAnsi="Times New Roman" w:eastAsia="宋体" w:cs="Times New Roman"/>
                <w:color w:val="auto"/>
                <w:sz w:val="24"/>
                <w:highlight w:val="none"/>
                <w:lang w:eastAsia="zh-CN"/>
              </w:rPr>
              <w:t>10t/h生物质蒸汽锅炉</w:t>
            </w:r>
            <w:r>
              <w:rPr>
                <w:rFonts w:hint="default" w:ascii="Times New Roman" w:hAnsi="Times New Roman" w:eastAsia="宋体" w:cs="Times New Roman"/>
                <w:color w:val="auto"/>
                <w:sz w:val="24"/>
                <w:highlight w:val="none"/>
              </w:rPr>
              <w:t>并配套建设1台</w:t>
            </w:r>
            <w:r>
              <w:rPr>
                <w:rFonts w:hint="default" w:ascii="Times New Roman" w:hAnsi="Times New Roman" w:eastAsia="宋体" w:cs="Times New Roman"/>
                <w:color w:val="auto"/>
                <w:sz w:val="24"/>
                <w:highlight w:val="none"/>
                <w:lang w:eastAsia="zh-CN"/>
              </w:rPr>
              <w:t>旋风除尘器和</w:t>
            </w:r>
            <w:r>
              <w:rPr>
                <w:rFonts w:hint="default" w:ascii="Times New Roman" w:hAnsi="Times New Roman" w:eastAsia="宋体" w:cs="Times New Roman"/>
                <w:color w:val="auto"/>
                <w:sz w:val="24"/>
                <w:highlight w:val="none"/>
              </w:rPr>
              <w:t>1台</w:t>
            </w:r>
            <w:r>
              <w:rPr>
                <w:rFonts w:hint="default" w:ascii="Times New Roman" w:hAnsi="Times New Roman" w:eastAsia="宋体" w:cs="Times New Roman"/>
                <w:color w:val="auto"/>
                <w:sz w:val="24"/>
                <w:highlight w:val="none"/>
                <w:lang w:eastAsia="zh-CN"/>
              </w:rPr>
              <w:t>布袋除尘器</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rPr>
              <w:t>项目</w:t>
            </w:r>
            <w:r>
              <w:rPr>
                <w:rFonts w:hint="default" w:ascii="Times New Roman" w:hAnsi="Times New Roman" w:eastAsia="宋体" w:cs="Times New Roman"/>
                <w:color w:val="auto"/>
                <w:sz w:val="24"/>
                <w:highlight w:val="none"/>
              </w:rPr>
              <w:t>锅炉房</w:t>
            </w:r>
            <w:r>
              <w:rPr>
                <w:rFonts w:hint="default" w:ascii="Times New Roman" w:hAnsi="Times New Roman" w:eastAsia="宋体" w:cs="Times New Roman"/>
                <w:color w:val="auto"/>
                <w:kern w:val="0"/>
                <w:sz w:val="24"/>
                <w:highlight w:val="none"/>
              </w:rPr>
              <w:t>平面布置见图3。</w:t>
            </w:r>
          </w:p>
          <w:p w14:paraId="69D0BB67">
            <w:pPr>
              <w:spacing w:line="360" w:lineRule="auto"/>
              <w:ind w:firstLine="480" w:firstLineChars="200"/>
              <w:rPr>
                <w:rFonts w:hint="default" w:ascii="Times New Roman" w:hAnsi="Times New Roman" w:eastAsia="宋体" w:cs="Times New Roman"/>
                <w:color w:val="auto"/>
                <w:sz w:val="24"/>
                <w:highlight w:val="none"/>
              </w:rPr>
            </w:pPr>
          </w:p>
        </w:tc>
      </w:tr>
      <w:tr w14:paraId="611C1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4" w:type="dxa"/>
            <w:vAlign w:val="center"/>
          </w:tcPr>
          <w:p w14:paraId="386EAB0A">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工艺流程和产排污环节</w:t>
            </w:r>
          </w:p>
        </w:tc>
        <w:tc>
          <w:tcPr>
            <w:tcW w:w="8490" w:type="dxa"/>
            <w:vAlign w:val="center"/>
          </w:tcPr>
          <w:p w14:paraId="3EC6C1F5">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w:t>
            </w:r>
            <w:r>
              <w:rPr>
                <w:rFonts w:hint="default" w:ascii="Times New Roman" w:hAnsi="Times New Roman" w:eastAsia="宋体" w:cs="Times New Roman"/>
                <w:b/>
                <w:bCs/>
                <w:color w:val="auto"/>
                <w:sz w:val="24"/>
                <w:highlight w:val="none"/>
                <w:lang w:eastAsia="zh-CN"/>
              </w:rPr>
              <w:t>蒸汽</w:t>
            </w:r>
            <w:r>
              <w:rPr>
                <w:rFonts w:hint="default" w:ascii="Times New Roman" w:hAnsi="Times New Roman" w:eastAsia="宋体" w:cs="Times New Roman"/>
                <w:b/>
                <w:bCs/>
                <w:color w:val="auto"/>
                <w:sz w:val="24"/>
                <w:highlight w:val="none"/>
              </w:rPr>
              <w:t>锅炉运行工艺</w:t>
            </w:r>
          </w:p>
          <w:p w14:paraId="3C41AED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蒸汽</w:t>
            </w:r>
            <w:r>
              <w:rPr>
                <w:rFonts w:hint="default" w:ascii="Times New Roman" w:hAnsi="Times New Roman" w:eastAsia="宋体" w:cs="Times New Roman"/>
                <w:color w:val="auto"/>
                <w:sz w:val="24"/>
                <w:highlight w:val="none"/>
              </w:rPr>
              <w:t>锅炉是利用燃料（本项目采用生物质成型燃料）燃烧释放的热能对容器内的水进行加热，使水达到所需温度</w:t>
            </w:r>
            <w:r>
              <w:rPr>
                <w:rFonts w:hint="default" w:ascii="Times New Roman" w:hAnsi="Times New Roman" w:eastAsia="宋体" w:cs="Times New Roman"/>
                <w:color w:val="auto"/>
                <w:sz w:val="24"/>
                <w:highlight w:val="none"/>
                <w:lang w:eastAsia="zh-CN"/>
              </w:rPr>
              <w:t>（蒸汽）</w:t>
            </w:r>
            <w:r>
              <w:rPr>
                <w:rFonts w:hint="default" w:ascii="Times New Roman" w:hAnsi="Times New Roman" w:eastAsia="宋体" w:cs="Times New Roman"/>
                <w:color w:val="auto"/>
                <w:sz w:val="24"/>
                <w:highlight w:val="none"/>
              </w:rPr>
              <w:t>的一种热力设备。</w:t>
            </w:r>
          </w:p>
          <w:p w14:paraId="4C916B1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它是由锅炉本体附件仪表及附属设备构成的一个整体。锅炉在锅与炉两部分同时进行，生水进入锅炉以后，锅炉受热面将吸收的热量传递给水，把水加热成一定温度给用户生产供暖使用。燃烧机不断的燃烧燃料不断的放出热量，燃烧中产生的高温烟气通过热的传播，可以将热量传递给锅炉受热面，而本身温度逐渐降低，最后经过烟囱排出。锅与炉分工进行工作，一个吸热，一个放热，完美</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配合是密切联系的一个整体设备，缺一不可。</w:t>
            </w:r>
          </w:p>
          <w:p w14:paraId="2557481B">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蒸汽</w:t>
            </w:r>
            <w:r>
              <w:rPr>
                <w:rFonts w:hint="default" w:ascii="Times New Roman" w:hAnsi="Times New Roman" w:eastAsia="宋体" w:cs="Times New Roman"/>
                <w:color w:val="auto"/>
                <w:sz w:val="24"/>
                <w:highlight w:val="none"/>
              </w:rPr>
              <w:t>锅炉在运行中由循环泵作动力。将水不断</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循环流动，不停的将受热面吸收的热量全部传递给生水，使受热面得到良好的冷却，使水升温足部加快，从而保证了锅炉受热面在高温条件下安全的工作</w:t>
            </w:r>
            <w:r>
              <w:rPr>
                <w:rFonts w:hint="default" w:ascii="Times New Roman" w:hAnsi="Times New Roman" w:eastAsia="宋体" w:cs="Times New Roman"/>
                <w:color w:val="auto"/>
                <w:sz w:val="24"/>
                <w:highlight w:val="none"/>
                <w:lang w:eastAsia="zh-CN"/>
              </w:rPr>
              <w:t>。</w:t>
            </w:r>
          </w:p>
          <w:p w14:paraId="11F99881">
            <w:pPr>
              <w:spacing w:line="360" w:lineRule="auto"/>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highlight w:val="none"/>
              </w:rPr>
              <w:object>
                <v:shape id="_x0000_i1026" o:spt="75" type="#_x0000_t75" style="height:254.65pt;width:413.85pt;" o:ole="t" filled="f" o:preferrelative="t" stroked="f" coordsize="21600,21600">
                  <v:path/>
                  <v:fill on="f" focussize="0,0"/>
                  <v:stroke on="f"/>
                  <v:imagedata r:id="rId15" o:title=""/>
                  <o:lock v:ext="edit" aspectratio="t"/>
                  <w10:wrap type="none"/>
                  <w10:anchorlock/>
                </v:shape>
                <o:OLEObject Type="Embed" ProgID="Visio.Drawing.11" ShapeID="_x0000_i1026" DrawAspect="Content" ObjectID="_1468075726" r:id="rId14">
                  <o:LockedField>false</o:LockedField>
                </o:OLEObject>
              </w:object>
            </w:r>
            <w:r>
              <w:rPr>
                <w:rFonts w:hint="default" w:ascii="Times New Roman" w:hAnsi="Times New Roman" w:eastAsia="宋体" w:cs="Times New Roman"/>
                <w:b/>
                <w:bCs/>
                <w:color w:val="auto"/>
                <w:sz w:val="24"/>
                <w:szCs w:val="32"/>
                <w:highlight w:val="none"/>
              </w:rPr>
              <w:t>图2-2</w:t>
            </w:r>
            <w:r>
              <w:rPr>
                <w:rFonts w:hint="default" w:ascii="Times New Roman" w:hAnsi="Times New Roman" w:eastAsia="宋体" w:cs="Times New Roman"/>
                <w:b/>
                <w:bCs/>
                <w:color w:val="auto"/>
                <w:sz w:val="24"/>
                <w:szCs w:val="32"/>
                <w:highlight w:val="none"/>
                <w:lang w:val="en-US" w:eastAsia="zh-CN"/>
              </w:rPr>
              <w:t xml:space="preserve">  </w:t>
            </w:r>
            <w:r>
              <w:rPr>
                <w:rFonts w:hint="default" w:ascii="Times New Roman" w:hAnsi="Times New Roman" w:eastAsia="宋体" w:cs="Times New Roman"/>
                <w:b/>
                <w:bCs/>
                <w:color w:val="auto"/>
                <w:sz w:val="24"/>
                <w:szCs w:val="32"/>
                <w:highlight w:val="none"/>
              </w:rPr>
              <w:t>锅炉工艺及排污节点图</w:t>
            </w:r>
          </w:p>
          <w:p w14:paraId="3F7B78B1">
            <w:pPr>
              <w:snapToGrid w:val="0"/>
              <w:spacing w:line="360" w:lineRule="auto"/>
              <w:ind w:firstLine="482" w:firstLineChars="200"/>
              <w:jc w:val="left"/>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color w:val="auto"/>
                <w:sz w:val="24"/>
                <w:highlight w:val="none"/>
              </w:rPr>
              <w:t>2、锅</w:t>
            </w:r>
            <w:r>
              <w:rPr>
                <w:rFonts w:hint="default" w:ascii="Times New Roman" w:hAnsi="Times New Roman" w:eastAsia="宋体" w:cs="Times New Roman"/>
                <w:b/>
                <w:color w:val="auto"/>
                <w:sz w:val="24"/>
                <w:highlight w:val="none"/>
              </w:rPr>
              <w:t>炉除尘工艺流程</w:t>
            </w:r>
          </w:p>
          <w:p w14:paraId="6F3CE76C">
            <w:pPr>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）旋风除尘器除尘原理及工艺流程</w:t>
            </w:r>
          </w:p>
          <w:p w14:paraId="1F6E3514">
            <w:pPr>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锅炉废气进入旋风除尘器进气管进入气体分布室，随后进入旋风体和导流片之间的环形空隙。导流片使气体由直线运动变为圆周运动，旋转气流的绝大部分沿旋风体自圆筒体呈螺旋形向下，朝锥体流动，含尘气体在旋转过程中产生离心力，将密度大于气体的尘粒甩向筒壁。尘粒在与筒壁接触，便失去惯性力而靠入口速度的动量和向下的重力沿壁面向下落入排灰口进入总灰斗。旋转下降的外旋气流到达锥体下端位时，因圆锥体的收缩即以同样的旋转方向在旋风管轴线方向由下而上继续做螺旋形流动（净气），经过旋风体排气管进入排气室，由排气口排出。</w:t>
            </w:r>
          </w:p>
          <w:p w14:paraId="6CE6ED81">
            <w:pPr>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）布袋除尘器除尘原理及工艺流程</w:t>
            </w:r>
          </w:p>
          <w:p w14:paraId="3E916645">
            <w:pPr>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袋式除尘器是除尘装置中常用的一类。含尘气体从袋式除尘器入口进入后，由导流管进入各单元室，在导流装置的作用下，大颗粒粉尘分离后直接落入灰斗，其余粉尘随气流均匀进入各仓室过滤区中的滤袋，当含尘气体穿过滤袋时，粉尘即被吸附在滤袋上，而被净化的气体从滤袋内排除。当吸附在滤袋上的粉尘达到一定厚度电磁阀开，喷吹空气从滤袋出口处自上而下与气体排出的相反方向进入滤袋，将吸附在滤袋外面的粉尘清落至下面的灰斗中，粉尘经卸灰阀排出后利用输灰系统送出。</w:t>
            </w:r>
          </w:p>
          <w:p w14:paraId="66BCA070">
            <w:pPr>
              <w:spacing w:line="360" w:lineRule="auto"/>
              <w:ind w:firstLine="482" w:firstLineChars="200"/>
              <w:rPr>
                <w:rFonts w:hint="default" w:ascii="Times New Roman" w:hAnsi="Times New Roman" w:eastAsia="宋体" w:cs="Times New Roman"/>
                <w:b/>
                <w:color w:val="auto"/>
                <w:kern w:val="0"/>
                <w:sz w:val="24"/>
                <w:highlight w:val="none"/>
                <w:shd w:val="clear" w:color="auto" w:fill="FFFFFF"/>
                <w:lang w:bidi="ar"/>
              </w:rPr>
            </w:pPr>
            <w:r>
              <w:rPr>
                <w:rFonts w:hint="default" w:ascii="Times New Roman" w:hAnsi="Times New Roman" w:eastAsia="宋体" w:cs="Times New Roman"/>
                <w:b/>
                <w:color w:val="auto"/>
                <w:kern w:val="0"/>
                <w:sz w:val="24"/>
                <w:highlight w:val="none"/>
                <w:shd w:val="clear" w:color="auto" w:fill="FFFFFF"/>
                <w:lang w:bidi="ar"/>
              </w:rPr>
              <w:t>3、软水制备工艺</w:t>
            </w:r>
          </w:p>
          <w:p w14:paraId="30C86B78">
            <w:pPr>
              <w:spacing w:line="360" w:lineRule="auto"/>
              <w:ind w:firstLine="480" w:firstLineChars="200"/>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本项目软化水采用钠离子交换工艺，设备软化原理：钠离子交换器内装有一定高度的钠型阳离子交换树脂作为交换剂，当硬水自下而上通过树脂层时，水中的钙、镁离子被钠型树脂吸收，而钠型树脂中的钠离子被置换到水中，从而去除原水中的钙、镁离子，使硬水得到了软化。其化学反应方程式为：</w:t>
            </w:r>
          </w:p>
          <w:p w14:paraId="5863B2A1">
            <w:pPr>
              <w:spacing w:line="360" w:lineRule="auto"/>
              <w:ind w:firstLine="480" w:firstLineChars="200"/>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Ca</w:t>
            </w:r>
            <w:r>
              <w:rPr>
                <w:rFonts w:hint="default" w:ascii="Times New Roman" w:hAnsi="Times New Roman" w:eastAsia="宋体" w:cs="Times New Roman"/>
                <w:color w:val="auto"/>
                <w:kern w:val="0"/>
                <w:sz w:val="24"/>
                <w:highlight w:val="none"/>
                <w:vertAlign w:val="superscript"/>
                <w:lang w:bidi="ar"/>
              </w:rPr>
              <w:t>2+</w:t>
            </w:r>
            <w:r>
              <w:rPr>
                <w:rFonts w:hint="default" w:ascii="Times New Roman" w:hAnsi="Times New Roman" w:eastAsia="宋体" w:cs="Times New Roman"/>
                <w:color w:val="auto"/>
                <w:kern w:val="0"/>
                <w:sz w:val="24"/>
                <w:highlight w:val="none"/>
                <w:lang w:bidi="ar"/>
              </w:rPr>
              <w:t>+2NaR→CaR</w:t>
            </w:r>
            <w:r>
              <w:rPr>
                <w:rFonts w:hint="default" w:ascii="Times New Roman" w:hAnsi="Times New Roman" w:eastAsia="宋体" w:cs="Times New Roman"/>
                <w:color w:val="auto"/>
                <w:kern w:val="0"/>
                <w:sz w:val="24"/>
                <w:highlight w:val="none"/>
                <w:vertAlign w:val="subscript"/>
                <w:lang w:bidi="ar"/>
              </w:rPr>
              <w:t>2</w:t>
            </w:r>
            <w:r>
              <w:rPr>
                <w:rFonts w:hint="default" w:ascii="Times New Roman" w:hAnsi="Times New Roman" w:eastAsia="宋体" w:cs="Times New Roman"/>
                <w:color w:val="auto"/>
                <w:kern w:val="0"/>
                <w:sz w:val="24"/>
                <w:highlight w:val="none"/>
                <w:lang w:bidi="ar"/>
              </w:rPr>
              <w:t>+2Na</w:t>
            </w:r>
            <w:r>
              <w:rPr>
                <w:rFonts w:hint="default" w:ascii="Times New Roman" w:hAnsi="Times New Roman" w:eastAsia="宋体" w:cs="Times New Roman"/>
                <w:color w:val="auto"/>
                <w:kern w:val="0"/>
                <w:sz w:val="24"/>
                <w:highlight w:val="none"/>
                <w:vertAlign w:val="superscript"/>
                <w:lang w:bidi="ar"/>
              </w:rPr>
              <w:t>+</w:t>
            </w:r>
          </w:p>
          <w:p w14:paraId="5A231F19">
            <w:pPr>
              <w:spacing w:line="360" w:lineRule="auto"/>
              <w:ind w:firstLine="480" w:firstLineChars="200"/>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Mg</w:t>
            </w:r>
            <w:r>
              <w:rPr>
                <w:rFonts w:hint="default" w:ascii="Times New Roman" w:hAnsi="Times New Roman" w:eastAsia="宋体" w:cs="Times New Roman"/>
                <w:color w:val="auto"/>
                <w:kern w:val="0"/>
                <w:sz w:val="24"/>
                <w:highlight w:val="none"/>
                <w:vertAlign w:val="superscript"/>
                <w:lang w:bidi="ar"/>
              </w:rPr>
              <w:t>2+</w:t>
            </w:r>
            <w:r>
              <w:rPr>
                <w:rFonts w:hint="default" w:ascii="Times New Roman" w:hAnsi="Times New Roman" w:eastAsia="宋体" w:cs="Times New Roman"/>
                <w:color w:val="auto"/>
                <w:kern w:val="0"/>
                <w:sz w:val="24"/>
                <w:highlight w:val="none"/>
                <w:lang w:bidi="ar"/>
              </w:rPr>
              <w:t>+2NaR→MgR</w:t>
            </w:r>
            <w:r>
              <w:rPr>
                <w:rFonts w:hint="default" w:ascii="Times New Roman" w:hAnsi="Times New Roman" w:eastAsia="宋体" w:cs="Times New Roman"/>
                <w:color w:val="auto"/>
                <w:kern w:val="0"/>
                <w:sz w:val="24"/>
                <w:highlight w:val="none"/>
                <w:vertAlign w:val="subscript"/>
                <w:lang w:bidi="ar"/>
              </w:rPr>
              <w:t>2</w:t>
            </w:r>
            <w:r>
              <w:rPr>
                <w:rFonts w:hint="default" w:ascii="Times New Roman" w:hAnsi="Times New Roman" w:eastAsia="宋体" w:cs="Times New Roman"/>
                <w:color w:val="auto"/>
                <w:kern w:val="0"/>
                <w:sz w:val="24"/>
                <w:highlight w:val="none"/>
                <w:lang w:bidi="ar"/>
              </w:rPr>
              <w:t>+2Na</w:t>
            </w:r>
            <w:r>
              <w:rPr>
                <w:rFonts w:hint="default" w:ascii="Times New Roman" w:hAnsi="Times New Roman" w:eastAsia="宋体" w:cs="Times New Roman"/>
                <w:color w:val="auto"/>
                <w:kern w:val="0"/>
                <w:sz w:val="24"/>
                <w:highlight w:val="none"/>
                <w:vertAlign w:val="superscript"/>
                <w:lang w:bidi="ar"/>
              </w:rPr>
              <w:t>+</w:t>
            </w:r>
          </w:p>
          <w:p w14:paraId="455D92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color w:val="auto"/>
                <w:sz w:val="24"/>
                <w:szCs w:val="32"/>
                <w:highlight w:val="none"/>
              </w:rPr>
              <w:t>当交换柱内钠型阳离子交换树脂的钠离子逐渐被钙、镁离子所代替，泄露出钙、镁离子时，出水的硬度就超出使用所要求的规定数值；此时数值已失效，要进行再生。再生时将5</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10%的盐水由上向下通过交换层，盐液中的钠离子又置换出交换剂树脂吸附的钙、镁离子，使交换剂树脂得到再生，恢复得到再生，恢复其交换能力</w:t>
            </w:r>
            <w:r>
              <w:rPr>
                <w:rFonts w:hint="default" w:ascii="Times New Roman" w:hAnsi="Times New Roman" w:eastAsia="宋体" w:cs="Times New Roman"/>
                <w:color w:val="auto"/>
                <w:sz w:val="24"/>
                <w:szCs w:val="32"/>
                <w:highlight w:val="none"/>
                <w:lang w:eastAsia="zh-CN"/>
              </w:rPr>
              <w:t>。</w:t>
            </w:r>
          </w:p>
          <w:p w14:paraId="141241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szCs w:val="32"/>
                <w:highlight w:val="none"/>
                <w:lang w:val="en-US" w:eastAsia="zh-CN"/>
              </w:rPr>
              <w:t>1台10t/h软水制备装置容积为800L，交换树脂的一次充装量为0.6t。一般的水质，交换树脂可使用1～3年左右，本次评价按2年更换1次计。</w:t>
            </w:r>
          </w:p>
          <w:p w14:paraId="0944F9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lang w:val="en-US" w:eastAsia="zh-CN"/>
              </w:rPr>
            </w:pPr>
          </w:p>
          <w:p w14:paraId="254494C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p>
        </w:tc>
      </w:tr>
      <w:tr w14:paraId="420AA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24" w:type="dxa"/>
            <w:vAlign w:val="center"/>
          </w:tcPr>
          <w:p w14:paraId="74BD34E4">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与项目有关的原有环境污染问题</w:t>
            </w:r>
          </w:p>
        </w:tc>
        <w:tc>
          <w:tcPr>
            <w:tcW w:w="8490" w:type="dxa"/>
            <w:vAlign w:val="center"/>
          </w:tcPr>
          <w:p w14:paraId="08826F83">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1、厂区现有工程环保手续情况</w:t>
            </w:r>
          </w:p>
          <w:p w14:paraId="56C607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磴口县鸿运建材有限责任公司位于内蒙古磴口工业园区，利用园区</w:t>
            </w:r>
            <w:r>
              <w:rPr>
                <w:rFonts w:hint="default" w:ascii="Times New Roman" w:hAnsi="Times New Roman" w:eastAsia="宋体" w:cs="Times New Roman"/>
                <w:color w:val="auto"/>
                <w:sz w:val="24"/>
                <w:szCs w:val="24"/>
                <w:highlight w:val="none"/>
                <w:lang w:val="en-US" w:eastAsia="zh-CN"/>
              </w:rPr>
              <w:t>金牛电厂产生的固废粉煤灰等生产</w:t>
            </w:r>
            <w:r>
              <w:rPr>
                <w:rFonts w:hint="default" w:ascii="Times New Roman" w:hAnsi="Times New Roman" w:eastAsia="宋体" w:cs="Times New Roman"/>
                <w:color w:val="auto"/>
                <w:sz w:val="24"/>
                <w:szCs w:val="24"/>
                <w:highlight w:val="none"/>
                <w:lang w:eastAsia="zh-CN"/>
              </w:rPr>
              <w:t>加气混凝土砌块。2011年10月8日原磴口县环境保护局出具了《磴口县鸿运建材有限责任公司年产20万m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加气混凝土砌块生产线项目审批意见》（巴环审表〔2011〕128号），</w:t>
            </w:r>
            <w:r>
              <w:rPr>
                <w:rFonts w:hint="default" w:ascii="Times New Roman" w:hAnsi="Times New Roman" w:eastAsia="宋体" w:cs="Times New Roman"/>
                <w:color w:val="auto"/>
                <w:sz w:val="24"/>
                <w:szCs w:val="24"/>
                <w:highlight w:val="none"/>
                <w:lang w:val="en-US" w:eastAsia="zh-CN"/>
              </w:rPr>
              <w:t>2013年4月建成并投入生产；2013年10月委托磴口县环境保护监测站对项目进行竣工环境保护验收，</w:t>
            </w:r>
            <w:r>
              <w:rPr>
                <w:rFonts w:hint="default" w:ascii="Times New Roman" w:hAnsi="Times New Roman" w:eastAsia="宋体" w:cs="Times New Roman"/>
                <w:color w:val="auto"/>
                <w:sz w:val="24"/>
                <w:szCs w:val="24"/>
                <w:highlight w:val="none"/>
                <w:lang w:eastAsia="zh-CN"/>
              </w:rPr>
              <w:t>202</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年5月</w:t>
            </w:r>
            <w:r>
              <w:rPr>
                <w:rFonts w:hint="default" w:ascii="Times New Roman" w:hAnsi="Times New Roman" w:eastAsia="宋体" w:cs="Times New Roman"/>
                <w:color w:val="auto"/>
                <w:sz w:val="24"/>
                <w:szCs w:val="24"/>
                <w:highlight w:val="none"/>
                <w:lang w:val="en-US" w:eastAsia="zh-CN"/>
              </w:rPr>
              <w:t>延续了</w:t>
            </w:r>
            <w:r>
              <w:rPr>
                <w:rFonts w:hint="default" w:ascii="Times New Roman" w:hAnsi="Times New Roman" w:eastAsia="宋体" w:cs="Times New Roman"/>
                <w:color w:val="auto"/>
                <w:sz w:val="24"/>
                <w:szCs w:val="24"/>
                <w:highlight w:val="none"/>
                <w:lang w:eastAsia="zh-CN"/>
              </w:rPr>
              <w:t>排污许可证登记，登记编号911508225817617985001W。</w:t>
            </w:r>
          </w:p>
          <w:p w14:paraId="7ECB9C4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bookmarkStart w:id="0" w:name="_Toc389202105"/>
            <w:bookmarkStart w:id="1" w:name="_Toc17856"/>
            <w:r>
              <w:rPr>
                <w:rFonts w:hint="default" w:ascii="Times New Roman" w:hAnsi="Times New Roman" w:eastAsia="宋体" w:cs="Times New Roman"/>
                <w:b/>
                <w:bCs/>
                <w:color w:val="auto"/>
                <w:sz w:val="24"/>
                <w:szCs w:val="24"/>
                <w:highlight w:val="none"/>
                <w:lang w:val="en-US" w:eastAsia="zh-CN"/>
              </w:rPr>
              <w:t>2、厂区现有工程污染物排放情况</w:t>
            </w:r>
          </w:p>
          <w:p w14:paraId="4753E5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（1）废气</w:t>
            </w:r>
          </w:p>
          <w:p w14:paraId="3A7189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现有项目运营过程废气产生源主要为以下三处：</w:t>
            </w:r>
          </w:p>
          <w:p w14:paraId="5299C1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①粉料储运：原料水泥、粉煤灰采用料仓储存，由车上自备气力输送系统将其送入料仓中，有少量颗粒物产生。</w:t>
            </w:r>
          </w:p>
          <w:p w14:paraId="1B9EA5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②配料搅拌：各种原料加入搅拌机内加水搅拌之前，由于落差产生一定的粉尘，有少量颗粒物产生。</w:t>
            </w:r>
          </w:p>
          <w:p w14:paraId="5124FA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③废砌块球磨：不合格产品（废砌块）在球磨过程有少量颗粒物产生。</w:t>
            </w:r>
          </w:p>
          <w:p w14:paraId="7B4D35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粉尘排放量为0.37t/a，以无组织形式排放。</w:t>
            </w:r>
          </w:p>
          <w:p w14:paraId="3BC861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（2）废水</w:t>
            </w:r>
          </w:p>
          <w:p w14:paraId="66A04F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现有项目运营过程中废水主要为设备冲洗废水和生活污水。</w:t>
            </w:r>
          </w:p>
          <w:p w14:paraId="7FDB06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①设备冲洗废水</w:t>
            </w:r>
          </w:p>
          <w:p w14:paraId="04ECB2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定期对生产设备进行冲洗，冲洗废水产生量为150t/a，经沉淀后回用于生产，不外排；</w:t>
            </w:r>
          </w:p>
          <w:p w14:paraId="64E3E1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②生活污水</w:t>
            </w:r>
          </w:p>
          <w:p w14:paraId="2FE850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工作人员生活污水产生量为969t/a，经化粪池处理后，最终进入磴口县中涵水务有限公司污水处理厂处理。</w:t>
            </w:r>
          </w:p>
          <w:p w14:paraId="3624CD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（3）噪声</w:t>
            </w:r>
          </w:p>
          <w:p w14:paraId="136C3A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现有项目运营过程中主要噪声源为破碎机、球磨机等生产设备，采取基础减振、厂房隔声等措施，并且加强设备维护，厂界噪声可满足《工业企业厂界环境噪声排放标准》（GB12348-2008）3类标准要求。</w:t>
            </w:r>
          </w:p>
          <w:p w14:paraId="0D9F2E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（4）固废</w:t>
            </w:r>
          </w:p>
          <w:p w14:paraId="57AE8B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现有项目运营过程中固体废物主要为不合格产品和生活垃圾。</w:t>
            </w:r>
          </w:p>
          <w:p w14:paraId="4F24BC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①不合格产品</w:t>
            </w:r>
          </w:p>
          <w:p w14:paraId="27E064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生产过程中产生的不合格产品（废砌块），产生量为1900t/a，经处理后作为原料回用于生产，不外排。</w:t>
            </w:r>
          </w:p>
          <w:p w14:paraId="7778ED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②生活垃圾</w:t>
            </w:r>
          </w:p>
          <w:p w14:paraId="125C59D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工作人员产生的生活垃圾，产生量为5t/a，经垃圾桶收集后由环卫部门及时清运。</w:t>
            </w:r>
          </w:p>
          <w:p w14:paraId="0769B3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现有项目运营过程污染物排放情况如下。</w:t>
            </w:r>
          </w:p>
          <w:p w14:paraId="4B8DD46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表</w:t>
            </w:r>
            <w:r>
              <w:rPr>
                <w:rFonts w:hint="default" w:ascii="Times New Roman" w:hAnsi="Times New Roman" w:eastAsia="宋体" w:cs="Times New Roman"/>
                <w:b/>
                <w:bCs/>
                <w:color w:val="auto"/>
                <w:sz w:val="24"/>
                <w:szCs w:val="24"/>
                <w:highlight w:val="none"/>
                <w:lang w:val="en-US" w:eastAsia="zh-CN"/>
              </w:rPr>
              <w:t>4-8  现有项目污染物排放情况</w:t>
            </w:r>
          </w:p>
          <w:tbl>
            <w:tblPr>
              <w:tblStyle w:val="25"/>
              <w:tblW w:w="5006" w:type="pct"/>
              <w:jc w:val="center"/>
              <w:tblLayout w:type="fixed"/>
              <w:tblCellMar>
                <w:top w:w="0" w:type="dxa"/>
                <w:left w:w="108" w:type="dxa"/>
                <w:bottom w:w="0" w:type="dxa"/>
                <w:right w:w="108" w:type="dxa"/>
              </w:tblCellMar>
            </w:tblPr>
            <w:tblGrid>
              <w:gridCol w:w="1691"/>
              <w:gridCol w:w="1693"/>
              <w:gridCol w:w="1693"/>
              <w:gridCol w:w="3207"/>
            </w:tblGrid>
            <w:tr w14:paraId="3AFDA666">
              <w:tblPrEx>
                <w:tblCellMar>
                  <w:top w:w="0" w:type="dxa"/>
                  <w:left w:w="108" w:type="dxa"/>
                  <w:bottom w:w="0" w:type="dxa"/>
                  <w:right w:w="108" w:type="dxa"/>
                </w:tblCellMar>
              </w:tblPrEx>
              <w:trPr>
                <w:trHeight w:val="340" w:hRule="atLeast"/>
                <w:jc w:val="center"/>
              </w:trPr>
              <w:tc>
                <w:tcPr>
                  <w:tcW w:w="2066" w:type="dxa"/>
                  <w:tcBorders>
                    <w:top w:val="single" w:color="auto" w:sz="4" w:space="0"/>
                    <w:left w:val="single" w:color="auto" w:sz="4" w:space="0"/>
                    <w:bottom w:val="single" w:color="auto" w:sz="4" w:space="0"/>
                    <w:right w:val="single" w:color="auto" w:sz="4" w:space="0"/>
                  </w:tcBorders>
                  <w:noWrap w:val="0"/>
                  <w:vAlign w:val="center"/>
                </w:tcPr>
                <w:p w14:paraId="0FB6972A">
                  <w:pPr>
                    <w:keepNext w:val="0"/>
                    <w:keepLines w:val="0"/>
                    <w:pageBreakBefore w:val="0"/>
                    <w:widowControl/>
                    <w:kinsoku/>
                    <w:wordWrap/>
                    <w:overflowPunct/>
                    <w:topLinePunct w:val="0"/>
                    <w:autoSpaceDE/>
                    <w:autoSpaceDN/>
                    <w:bidi w:val="0"/>
                    <w:adjustRightInd/>
                    <w:snapToGrid/>
                    <w:spacing w:before="0" w:line="240" w:lineRule="auto"/>
                    <w:ind w:firstLine="0" w:firstLineChars="0"/>
                    <w:jc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eastAsia="宋体" w:cs="Times New Roman"/>
                      <w:b/>
                      <w:bCs/>
                      <w:i w:val="0"/>
                      <w:iCs w:val="0"/>
                      <w:color w:val="auto"/>
                      <w:sz w:val="21"/>
                      <w:szCs w:val="21"/>
                      <w:highlight w:val="none"/>
                      <w:u w:val="none"/>
                      <w:lang w:val="en-US" w:eastAsia="zh-CN"/>
                    </w:rPr>
                    <w:t>废气</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1AC45CCF">
                  <w:pPr>
                    <w:keepNext w:val="0"/>
                    <w:keepLines w:val="0"/>
                    <w:pageBreakBefore w:val="0"/>
                    <w:widowControl/>
                    <w:kinsoku/>
                    <w:wordWrap/>
                    <w:overflowPunct/>
                    <w:topLinePunct w:val="0"/>
                    <w:autoSpaceDE/>
                    <w:autoSpaceDN/>
                    <w:bidi w:val="0"/>
                    <w:adjustRightInd/>
                    <w:snapToGrid/>
                    <w:spacing w:before="0" w:line="240" w:lineRule="auto"/>
                    <w:ind w:firstLine="0" w:firstLineChars="0"/>
                    <w:jc w:val="center"/>
                    <w:rPr>
                      <w:rFonts w:hint="default" w:ascii="Times New Roman" w:hAnsi="Times New Roman" w:eastAsia="宋体" w:cs="Times New Roman"/>
                      <w:b/>
                      <w:bCs/>
                      <w:i w:val="0"/>
                      <w:iCs w:val="0"/>
                      <w:color w:val="auto"/>
                      <w:sz w:val="21"/>
                      <w:szCs w:val="21"/>
                      <w:highlight w:val="none"/>
                      <w:u w:val="none"/>
                      <w:lang w:val="en-US" w:eastAsia="zh-CN"/>
                    </w:rPr>
                  </w:pPr>
                  <w:r>
                    <w:rPr>
                      <w:rFonts w:hint="default" w:ascii="Times New Roman" w:hAnsi="Times New Roman" w:eastAsia="宋体" w:cs="Times New Roman"/>
                      <w:b/>
                      <w:bCs/>
                      <w:i w:val="0"/>
                      <w:iCs w:val="0"/>
                      <w:color w:val="auto"/>
                      <w:sz w:val="21"/>
                      <w:szCs w:val="21"/>
                      <w:highlight w:val="none"/>
                      <w:u w:val="none"/>
                      <w:lang w:val="en-US" w:eastAsia="zh-CN"/>
                    </w:rPr>
                    <w:t>颗粒物</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55469EF1">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vertAlign w:val="baseline"/>
                      <w:lang w:val="en-US" w:eastAsia="zh-CN" w:bidi="ar"/>
                    </w:rPr>
                  </w:pPr>
                  <w:r>
                    <w:rPr>
                      <w:rFonts w:hint="default" w:ascii="Times New Roman" w:hAnsi="Times New Roman" w:eastAsia="宋体" w:cs="Times New Roman"/>
                      <w:b/>
                      <w:bCs/>
                      <w:i w:val="0"/>
                      <w:iCs w:val="0"/>
                      <w:color w:val="auto"/>
                      <w:kern w:val="0"/>
                      <w:sz w:val="21"/>
                      <w:szCs w:val="21"/>
                      <w:highlight w:val="none"/>
                      <w:u w:val="none"/>
                      <w:vertAlign w:val="baseline"/>
                      <w:lang w:val="en-US" w:eastAsia="zh-CN" w:bidi="ar"/>
                    </w:rPr>
                    <w:t>排放量</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0CBDCFF2">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处置方式</w:t>
                  </w:r>
                </w:p>
              </w:tc>
            </w:tr>
            <w:tr w14:paraId="291310AF">
              <w:tblPrEx>
                <w:tblCellMar>
                  <w:top w:w="0" w:type="dxa"/>
                  <w:left w:w="108" w:type="dxa"/>
                  <w:bottom w:w="0" w:type="dxa"/>
                  <w:right w:w="108" w:type="dxa"/>
                </w:tblCellMar>
              </w:tblPrEx>
              <w:trPr>
                <w:trHeight w:val="340" w:hRule="atLeast"/>
                <w:jc w:val="center"/>
              </w:trPr>
              <w:tc>
                <w:tcPr>
                  <w:tcW w:w="2066" w:type="dxa"/>
                  <w:tcBorders>
                    <w:top w:val="single" w:color="auto" w:sz="4" w:space="0"/>
                    <w:left w:val="single" w:color="auto" w:sz="4" w:space="0"/>
                    <w:bottom w:val="single" w:color="auto" w:sz="4" w:space="0"/>
                    <w:right w:val="single" w:color="auto" w:sz="4" w:space="0"/>
                  </w:tcBorders>
                  <w:noWrap w:val="0"/>
                  <w:vAlign w:val="center"/>
                </w:tcPr>
                <w:p w14:paraId="7CC97CD8">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75333A92">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11D651C5">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0.37t/a</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5E226BC3">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以无组织形式排放</w:t>
                  </w:r>
                </w:p>
              </w:tc>
            </w:tr>
            <w:tr w14:paraId="75E3B342">
              <w:tblPrEx>
                <w:tblCellMar>
                  <w:top w:w="0" w:type="dxa"/>
                  <w:left w:w="108" w:type="dxa"/>
                  <w:bottom w:w="0" w:type="dxa"/>
                  <w:right w:w="108" w:type="dxa"/>
                </w:tblCellMar>
              </w:tblPrEx>
              <w:trPr>
                <w:trHeight w:val="340" w:hRule="atLeast"/>
                <w:jc w:val="center"/>
              </w:trPr>
              <w:tc>
                <w:tcPr>
                  <w:tcW w:w="2066" w:type="dxa"/>
                  <w:vMerge w:val="restart"/>
                  <w:tcBorders>
                    <w:top w:val="single" w:color="auto" w:sz="4" w:space="0"/>
                    <w:left w:val="single" w:color="auto" w:sz="4" w:space="0"/>
                    <w:right w:val="single" w:color="auto" w:sz="4" w:space="0"/>
                  </w:tcBorders>
                  <w:noWrap w:val="0"/>
                  <w:vAlign w:val="center"/>
                </w:tcPr>
                <w:p w14:paraId="0E14401D">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废水</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79D83B93">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生产废水</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0FD91626">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150t/a</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153CF103">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经沉淀后回用于生产，不外排</w:t>
                  </w:r>
                </w:p>
              </w:tc>
            </w:tr>
            <w:tr w14:paraId="3025AF08">
              <w:tblPrEx>
                <w:tblCellMar>
                  <w:top w:w="0" w:type="dxa"/>
                  <w:left w:w="108" w:type="dxa"/>
                  <w:bottom w:w="0" w:type="dxa"/>
                  <w:right w:w="108" w:type="dxa"/>
                </w:tblCellMar>
              </w:tblPrEx>
              <w:trPr>
                <w:trHeight w:val="340" w:hRule="atLeast"/>
                <w:jc w:val="center"/>
              </w:trPr>
              <w:tc>
                <w:tcPr>
                  <w:tcW w:w="2066" w:type="dxa"/>
                  <w:vMerge w:val="continue"/>
                  <w:tcBorders>
                    <w:left w:val="single" w:color="auto" w:sz="4" w:space="0"/>
                    <w:bottom w:val="single" w:color="auto" w:sz="4" w:space="0"/>
                    <w:right w:val="single" w:color="auto" w:sz="4" w:space="0"/>
                  </w:tcBorders>
                  <w:noWrap w:val="0"/>
                  <w:vAlign w:val="center"/>
                </w:tcPr>
                <w:p w14:paraId="556501F6">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069" w:type="dxa"/>
                  <w:tcBorders>
                    <w:top w:val="single" w:color="auto" w:sz="4" w:space="0"/>
                    <w:left w:val="single" w:color="auto" w:sz="4" w:space="0"/>
                    <w:bottom w:val="single" w:color="auto" w:sz="4" w:space="0"/>
                    <w:right w:val="single" w:color="auto" w:sz="4" w:space="0"/>
                  </w:tcBorders>
                  <w:noWrap w:val="0"/>
                  <w:vAlign w:val="center"/>
                </w:tcPr>
                <w:p w14:paraId="04F1B67A">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生活污水</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35347607">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969t/a</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7E3E69AC">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经化粪池处理后，最终进入磴口县中涵水务有限公司污水处理厂处理</w:t>
                  </w:r>
                </w:p>
              </w:tc>
            </w:tr>
            <w:tr w14:paraId="2F598734">
              <w:tblPrEx>
                <w:tblCellMar>
                  <w:top w:w="0" w:type="dxa"/>
                  <w:left w:w="108" w:type="dxa"/>
                  <w:bottom w:w="0" w:type="dxa"/>
                  <w:right w:w="108" w:type="dxa"/>
                </w:tblCellMar>
              </w:tblPrEx>
              <w:trPr>
                <w:trHeight w:val="340" w:hRule="atLeast"/>
                <w:jc w:val="center"/>
              </w:trPr>
              <w:tc>
                <w:tcPr>
                  <w:tcW w:w="2066" w:type="dxa"/>
                  <w:vMerge w:val="restart"/>
                  <w:tcBorders>
                    <w:top w:val="single" w:color="auto" w:sz="4" w:space="0"/>
                    <w:left w:val="single" w:color="auto" w:sz="4" w:space="0"/>
                    <w:bottom w:val="single" w:color="auto" w:sz="4" w:space="0"/>
                    <w:right w:val="single" w:color="auto" w:sz="4" w:space="0"/>
                  </w:tcBorders>
                  <w:noWrap w:val="0"/>
                  <w:vAlign w:val="center"/>
                </w:tcPr>
                <w:p w14:paraId="4058C1B6">
                  <w:pPr>
                    <w:keepNext w:val="0"/>
                    <w:keepLines w:val="0"/>
                    <w:pageBreakBefore w:val="0"/>
                    <w:widowControl/>
                    <w:kinsoku/>
                    <w:wordWrap/>
                    <w:overflowPunct/>
                    <w:topLinePunct w:val="0"/>
                    <w:autoSpaceDE/>
                    <w:autoSpaceDN/>
                    <w:bidi w:val="0"/>
                    <w:adjustRightInd/>
                    <w:snapToGrid/>
                    <w:spacing w:before="0" w:line="240" w:lineRule="auto"/>
                    <w:ind w:firstLine="0" w:firstLineChars="0"/>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固体废物</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676FC6D3">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不合格产品</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013A6D60">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1900t/a</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3E205874">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经处理后作为原料回用于生产，不外排</w:t>
                  </w:r>
                </w:p>
              </w:tc>
            </w:tr>
            <w:tr w14:paraId="540B777F">
              <w:tblPrEx>
                <w:tblCellMar>
                  <w:top w:w="0" w:type="dxa"/>
                  <w:left w:w="108" w:type="dxa"/>
                  <w:bottom w:w="0" w:type="dxa"/>
                  <w:right w:w="108" w:type="dxa"/>
                </w:tblCellMar>
              </w:tblPrEx>
              <w:trPr>
                <w:trHeight w:val="340" w:hRule="atLeast"/>
                <w:jc w:val="center"/>
              </w:trPr>
              <w:tc>
                <w:tcPr>
                  <w:tcW w:w="2066" w:type="dxa"/>
                  <w:vMerge w:val="continue"/>
                  <w:tcBorders>
                    <w:top w:val="single" w:color="auto" w:sz="4" w:space="0"/>
                    <w:left w:val="single" w:color="auto" w:sz="4" w:space="0"/>
                    <w:bottom w:val="single" w:color="auto" w:sz="4" w:space="0"/>
                    <w:right w:val="single" w:color="auto" w:sz="4" w:space="0"/>
                  </w:tcBorders>
                  <w:noWrap w:val="0"/>
                  <w:vAlign w:val="center"/>
                </w:tcPr>
                <w:p w14:paraId="75911DC3">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069" w:type="dxa"/>
                  <w:tcBorders>
                    <w:top w:val="single" w:color="auto" w:sz="4" w:space="0"/>
                    <w:left w:val="single" w:color="auto" w:sz="4" w:space="0"/>
                    <w:bottom w:val="single" w:color="auto" w:sz="4" w:space="0"/>
                    <w:right w:val="single" w:color="auto" w:sz="4" w:space="0"/>
                  </w:tcBorders>
                  <w:noWrap w:val="0"/>
                  <w:vAlign w:val="center"/>
                </w:tcPr>
                <w:p w14:paraId="2C62BE0D">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生活垃圾</w:t>
                  </w:r>
                </w:p>
              </w:tc>
              <w:tc>
                <w:tcPr>
                  <w:tcW w:w="2069" w:type="dxa"/>
                  <w:tcBorders>
                    <w:top w:val="single" w:color="auto" w:sz="4" w:space="0"/>
                    <w:left w:val="single" w:color="auto" w:sz="4" w:space="0"/>
                    <w:bottom w:val="single" w:color="auto" w:sz="4" w:space="0"/>
                    <w:right w:val="single" w:color="auto" w:sz="4" w:space="0"/>
                  </w:tcBorders>
                  <w:noWrap w:val="0"/>
                  <w:vAlign w:val="center"/>
                </w:tcPr>
                <w:p w14:paraId="05E05A66">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5t/a</w:t>
                  </w:r>
                </w:p>
              </w:tc>
              <w:tc>
                <w:tcPr>
                  <w:tcW w:w="3968" w:type="dxa"/>
                  <w:tcBorders>
                    <w:top w:val="single" w:color="auto" w:sz="4" w:space="0"/>
                    <w:left w:val="single" w:color="auto" w:sz="4" w:space="0"/>
                    <w:bottom w:val="single" w:color="auto" w:sz="4" w:space="0"/>
                    <w:right w:val="single" w:color="auto" w:sz="4" w:space="0"/>
                  </w:tcBorders>
                  <w:noWrap w:val="0"/>
                  <w:vAlign w:val="center"/>
                </w:tcPr>
                <w:p w14:paraId="153A9E35">
                  <w:pPr>
                    <w:keepNext w:val="0"/>
                    <w:keepLines w:val="0"/>
                    <w:pageBreakBefore w:val="0"/>
                    <w:widowControl/>
                    <w:suppressLineNumbers w:val="0"/>
                    <w:kinsoku/>
                    <w:wordWrap/>
                    <w:overflowPunct/>
                    <w:topLinePunct w:val="0"/>
                    <w:autoSpaceDE/>
                    <w:autoSpaceDN/>
                    <w:bidi w:val="0"/>
                    <w:adjustRightInd/>
                    <w:snapToGrid/>
                    <w:spacing w:before="0"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经垃圾桶收集后由环卫部门及时清运</w:t>
                  </w:r>
                </w:p>
              </w:tc>
            </w:tr>
          </w:tbl>
          <w:p w14:paraId="79D8318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3、厂区现有项目污染</w:t>
            </w:r>
            <w:bookmarkEnd w:id="0"/>
            <w:bookmarkEnd w:id="1"/>
            <w:r>
              <w:rPr>
                <w:rFonts w:hint="default" w:ascii="Times New Roman" w:hAnsi="Times New Roman" w:eastAsia="宋体" w:cs="Times New Roman"/>
                <w:b/>
                <w:bCs/>
                <w:color w:val="auto"/>
                <w:sz w:val="24"/>
                <w:szCs w:val="24"/>
                <w:highlight w:val="none"/>
                <w:lang w:val="en-US" w:eastAsia="zh-CN"/>
              </w:rPr>
              <w:t>物排放达标情况</w:t>
            </w:r>
          </w:p>
          <w:p w14:paraId="649C95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（1）废气</w:t>
            </w:r>
          </w:p>
          <w:p w14:paraId="259958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根据内蒙古乾源环保科技有限公司于2024年5月11日出具的检测报告可知：</w:t>
            </w:r>
            <w:r>
              <w:rPr>
                <w:rFonts w:hint="default" w:ascii="Times New Roman" w:hAnsi="Times New Roman" w:eastAsia="宋体" w:cs="Times New Roman"/>
                <w:color w:val="auto"/>
                <w:kern w:val="0"/>
                <w:sz w:val="24"/>
                <w:szCs w:val="24"/>
                <w:highlight w:val="none"/>
                <w:lang w:val="en-US" w:eastAsia="zh-CN"/>
              </w:rPr>
              <w:t>监测期间</w:t>
            </w:r>
            <w:r>
              <w:rPr>
                <w:rFonts w:hint="default" w:ascii="Times New Roman" w:hAnsi="Times New Roman" w:eastAsia="宋体" w:cs="Times New Roman"/>
                <w:color w:val="auto"/>
                <w:kern w:val="0"/>
                <w:sz w:val="24"/>
                <w:szCs w:val="24"/>
                <w:highlight w:val="none"/>
                <w:vertAlign w:val="baseline"/>
                <w:lang w:val="en-US" w:eastAsia="zh-CN"/>
              </w:rPr>
              <w:t>厂界无组织颗粒物排放浓度为0.234mg/m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vertAlign w:val="baseline"/>
                <w:lang w:val="en-US" w:eastAsia="zh-CN"/>
              </w:rPr>
              <w:t>~0.580mg/m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vertAlign w:val="baseline"/>
                <w:lang w:val="en-US" w:eastAsia="zh-CN"/>
              </w:rPr>
              <w:t>，均</w:t>
            </w:r>
            <w:r>
              <w:rPr>
                <w:rFonts w:hint="default" w:ascii="Times New Roman" w:hAnsi="Times New Roman" w:eastAsia="宋体" w:cs="Times New Roman"/>
                <w:b w:val="0"/>
                <w:bCs/>
                <w:color w:val="auto"/>
                <w:sz w:val="24"/>
                <w:szCs w:val="24"/>
                <w:highlight w:val="none"/>
                <w:lang w:val="en-US" w:eastAsia="zh-CN"/>
              </w:rPr>
              <w:t>满足《大气污染物综合排放标准》（GB16297-1996）表2新污染源大气污染物排放限值中“无组织排放监控浓度限值”。</w:t>
            </w:r>
          </w:p>
          <w:p w14:paraId="25D456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（2）噪声</w:t>
            </w:r>
          </w:p>
          <w:p w14:paraId="5AB83C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根据内蒙古乾源环保科技有限公司于2024年5月11日出具的检测报告可知：</w:t>
            </w:r>
            <w:r>
              <w:rPr>
                <w:rFonts w:hint="default" w:ascii="Times New Roman" w:hAnsi="Times New Roman" w:eastAsia="宋体" w:cs="Times New Roman"/>
                <w:color w:val="auto"/>
                <w:kern w:val="0"/>
                <w:sz w:val="24"/>
                <w:szCs w:val="24"/>
                <w:highlight w:val="none"/>
                <w:lang w:val="en-US" w:eastAsia="zh-CN"/>
              </w:rPr>
              <w:t>监测期间</w:t>
            </w:r>
            <w:r>
              <w:rPr>
                <w:rFonts w:hint="default" w:ascii="Times New Roman" w:hAnsi="Times New Roman" w:eastAsia="宋体" w:cs="Times New Roman"/>
                <w:color w:val="auto"/>
                <w:kern w:val="0"/>
                <w:sz w:val="24"/>
                <w:szCs w:val="24"/>
                <w:highlight w:val="none"/>
                <w:vertAlign w:val="baseline"/>
                <w:lang w:val="en-US" w:eastAsia="zh-CN"/>
              </w:rPr>
              <w:t>厂界噪声昼间监测值为54dB（A）~56dB（A）、夜间监测值为45dB（A）~47dB（A），均满足</w:t>
            </w:r>
            <w:r>
              <w:rPr>
                <w:rFonts w:hint="default" w:ascii="Times New Roman" w:hAnsi="Times New Roman" w:eastAsia="宋体" w:cs="Times New Roman"/>
                <w:b w:val="0"/>
                <w:bCs/>
                <w:color w:val="auto"/>
                <w:sz w:val="24"/>
                <w:szCs w:val="24"/>
                <w:highlight w:val="none"/>
                <w:lang w:val="en-US" w:eastAsia="zh-CN"/>
              </w:rPr>
              <w:t>《工业企业厂界环境噪声排放标准（GB12348-2008）</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3类标准。</w:t>
            </w:r>
          </w:p>
          <w:p w14:paraId="0030362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4、现有工程存在问题及采取措施</w:t>
            </w:r>
          </w:p>
          <w:p w14:paraId="7519AA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厂区现有项目于2013年10月委托磴口县环境保护监测站对项目进行竣工环境保护验收，并通过环保验收；根据2024年自行监测报告可知，厂区四周无组织废气排放浓度满足《大气污染物综合排放标准》（GB16297-1996）表2新污染源大气污染物排放限值中“无组织排放监控浓度限值”；厂界四周噪声监测值满足《工业企业厂界环境噪声排放标准（GB12348-2008）》3类标准。均达标排放。根据现场踏勘，发现厂区现有项目存在以下问题：</w:t>
            </w:r>
          </w:p>
          <w:p w14:paraId="5DE67F9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4.1存在问题</w:t>
            </w:r>
          </w:p>
          <w:p w14:paraId="6AA681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（1）原料库钢结构板有破损，粉尘存在外逸情况；</w:t>
            </w:r>
          </w:p>
          <w:p w14:paraId="2FF3C5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（2）球磨设备未全封闭，集气效率不高；</w:t>
            </w:r>
          </w:p>
          <w:p w14:paraId="118A8D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eastAsia" w:ascii="Times New Roman" w:hAnsi="Times New Roman" w:eastAsia="宋体" w:cs="Times New Roman"/>
                <w:color w:val="auto"/>
                <w:sz w:val="24"/>
                <w:szCs w:val="32"/>
                <w:lang w:val="en-US" w:eastAsia="zh-CN"/>
              </w:rPr>
              <w:t>（3）</w:t>
            </w:r>
            <w:r>
              <w:rPr>
                <w:rFonts w:hint="default" w:ascii="Times New Roman" w:hAnsi="Times New Roman" w:eastAsia="宋体" w:cs="Times New Roman"/>
                <w:color w:val="auto"/>
                <w:sz w:val="24"/>
                <w:szCs w:val="32"/>
                <w:lang w:val="en-US" w:eastAsia="zh-CN"/>
              </w:rPr>
              <w:t>厂区内部道路有物料洒落。</w:t>
            </w:r>
          </w:p>
          <w:p w14:paraId="39BF4E7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4.2建议</w:t>
            </w:r>
          </w:p>
          <w:p w14:paraId="511BF5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补齐原料库破损处，防止粉尘外逸情况；</w:t>
            </w:r>
          </w:p>
          <w:p w14:paraId="635034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（2）封闭球磨机，提高集气效率；</w:t>
            </w:r>
          </w:p>
          <w:p w14:paraId="0D86A2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color w:val="auto"/>
                <w:sz w:val="24"/>
                <w:szCs w:val="24"/>
                <w:lang w:val="en-US" w:eastAsia="zh-CN"/>
              </w:rPr>
              <w:t>加强管理，</w:t>
            </w:r>
            <w:r>
              <w:rPr>
                <w:rFonts w:hint="default" w:ascii="Times New Roman" w:hAnsi="Times New Roman" w:eastAsia="宋体" w:cs="Times New Roman"/>
                <w:color w:val="auto"/>
                <w:sz w:val="24"/>
                <w:szCs w:val="24"/>
                <w:highlight w:val="none"/>
                <w:lang w:val="en-US" w:eastAsia="zh-CN"/>
              </w:rPr>
              <w:t>厂区道路采取</w:t>
            </w:r>
            <w:r>
              <w:rPr>
                <w:rFonts w:hint="eastAsia" w:ascii="Times New Roman" w:hAnsi="Times New Roman" w:eastAsia="宋体" w:cs="Times New Roman"/>
                <w:color w:val="auto"/>
                <w:sz w:val="24"/>
                <w:szCs w:val="24"/>
                <w:highlight w:val="none"/>
                <w:lang w:val="en-US" w:eastAsia="zh-CN"/>
              </w:rPr>
              <w:t>定期</w:t>
            </w:r>
            <w:r>
              <w:rPr>
                <w:rFonts w:hint="default" w:ascii="Times New Roman" w:hAnsi="Times New Roman" w:eastAsia="宋体" w:cs="Times New Roman"/>
                <w:color w:val="auto"/>
                <w:sz w:val="24"/>
                <w:szCs w:val="24"/>
                <w:highlight w:val="none"/>
                <w:lang w:val="en-US" w:eastAsia="zh-CN"/>
              </w:rPr>
              <w:t>清扫、洒水等措施，保持清洁。</w:t>
            </w:r>
          </w:p>
          <w:p w14:paraId="47E572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p>
        </w:tc>
      </w:tr>
    </w:tbl>
    <w:p w14:paraId="51EC851A">
      <w:pPr>
        <w:rPr>
          <w:rFonts w:hint="default" w:ascii="Times New Roman" w:hAnsi="Times New Roman" w:eastAsia="宋体" w:cs="Times New Roman"/>
          <w:color w:val="auto"/>
          <w:sz w:val="28"/>
          <w:szCs w:val="28"/>
          <w:highlight w:val="none"/>
        </w:rPr>
      </w:pPr>
    </w:p>
    <w:p w14:paraId="214B31C1">
      <w:pPr>
        <w:rPr>
          <w:rFonts w:hint="default" w:ascii="Times New Roman" w:hAnsi="Times New Roman" w:eastAsia="宋体" w:cs="Times New Roman"/>
          <w:color w:val="auto"/>
          <w:sz w:val="28"/>
          <w:szCs w:val="28"/>
          <w:highlight w:val="none"/>
        </w:rPr>
        <w:sectPr>
          <w:pgSz w:w="11906" w:h="16838"/>
          <w:pgMar w:top="1440" w:right="1800" w:bottom="1440" w:left="1800" w:header="851" w:footer="992" w:gutter="0"/>
          <w:cols w:space="425" w:num="1"/>
          <w:docGrid w:type="lines" w:linePitch="312" w:charSpace="0"/>
        </w:sectPr>
      </w:pPr>
    </w:p>
    <w:p w14:paraId="4C9DB223">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三、区域环境质量现状、环境保护目标及评价标准</w:t>
      </w:r>
    </w:p>
    <w:tbl>
      <w:tblPr>
        <w:tblStyle w:val="2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374"/>
      </w:tblGrid>
      <w:tr w14:paraId="60666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14:paraId="494411C5">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区域环境质量现状</w:t>
            </w:r>
          </w:p>
        </w:tc>
        <w:tc>
          <w:tcPr>
            <w:tcW w:w="8492" w:type="dxa"/>
            <w:shd w:val="clear" w:color="auto" w:fill="auto"/>
            <w:vAlign w:val="center"/>
          </w:tcPr>
          <w:p w14:paraId="0E8607A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1、环境空气质量现状</w:t>
            </w:r>
          </w:p>
          <w:p w14:paraId="37EF9063">
            <w:pPr>
              <w:spacing w:line="360" w:lineRule="auto"/>
              <w:ind w:firstLine="482" w:firstLineChars="200"/>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lang w:val="en-US" w:eastAsia="zh-CN"/>
              </w:rPr>
              <w:t>1.1</w:t>
            </w:r>
            <w:r>
              <w:rPr>
                <w:rFonts w:hint="default" w:ascii="Times New Roman" w:hAnsi="Times New Roman" w:eastAsia="宋体" w:cs="Times New Roman"/>
                <w:b/>
                <w:bCs/>
                <w:color w:val="auto"/>
                <w:kern w:val="0"/>
                <w:sz w:val="24"/>
                <w:szCs w:val="24"/>
                <w:highlight w:val="none"/>
              </w:rPr>
              <w:t>区域空气环境达标区判定</w:t>
            </w:r>
          </w:p>
          <w:p w14:paraId="3356F4C5">
            <w:pPr>
              <w:spacing w:line="360" w:lineRule="auto"/>
              <w:ind w:firstLine="480" w:firstLineChars="20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根据《环境影响评价技术导则</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大气环境》（HJ2.2-2018）中6.4.1.1中的内容“城市环境空气质量达标评价指标为SO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，六项污染物全部达标即为城市环境空气质量达标”。</w:t>
            </w:r>
          </w:p>
          <w:p w14:paraId="05F22803">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rPr>
              <w:t>本项目环境质量现状数据来源于《巴彦淖尔市环境质量状况公报（202</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年）》中的内容，巴彦高勒镇202</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lang w:val="en-US" w:eastAsia="zh-CN"/>
              </w:rPr>
              <w:t>年六项污染物环境质量数据见下表。</w:t>
            </w:r>
          </w:p>
          <w:p w14:paraId="709278B3">
            <w:pPr>
              <w:keepNext w:val="0"/>
              <w:keepLines w:val="0"/>
              <w:pageBreakBefore w:val="0"/>
              <w:widowControl w:val="0"/>
              <w:kinsoku/>
              <w:wordWrap/>
              <w:overflowPunct/>
              <w:topLinePunct w:val="0"/>
              <w:autoSpaceDE/>
              <w:autoSpaceDN/>
              <w:bidi w:val="0"/>
              <w:adjustRightInd w:val="0"/>
              <w:snapToGrid/>
              <w:spacing w:line="360" w:lineRule="auto"/>
              <w:ind w:firstLine="0" w:firstLineChars="0"/>
              <w:jc w:val="center"/>
              <w:textAlignment w:val="bottom"/>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表3-1</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大气环境质量现状与评价结果一览表</w:t>
            </w:r>
          </w:p>
          <w:tbl>
            <w:tblPr>
              <w:tblStyle w:val="25"/>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906"/>
              <w:gridCol w:w="1644"/>
              <w:gridCol w:w="1079"/>
              <w:gridCol w:w="1237"/>
              <w:gridCol w:w="1098"/>
              <w:gridCol w:w="1313"/>
            </w:tblGrid>
            <w:tr w14:paraId="5DE2FD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819" w:type="dxa"/>
                  <w:tcBorders>
                    <w:top w:val="single" w:color="auto" w:sz="4" w:space="0"/>
                    <w:left w:val="single" w:color="auto" w:sz="0" w:space="0"/>
                    <w:bottom w:val="single" w:color="auto" w:sz="4" w:space="0"/>
                    <w:right w:val="single" w:color="auto" w:sz="4" w:space="0"/>
                  </w:tcBorders>
                  <w:shd w:val="clear" w:color="auto" w:fill="auto"/>
                  <w:vAlign w:val="center"/>
                </w:tcPr>
                <w:p w14:paraId="2AF9DC04">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污染物</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56C87C01">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年评价指标</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5ABAC22A">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现状浓度（</w:t>
                  </w:r>
                  <w:r>
                    <w:rPr>
                      <w:rFonts w:hint="default" w:ascii="Times New Roman" w:hAnsi="Times New Roman" w:eastAsia="宋体" w:cs="Times New Roman"/>
                      <w:color w:val="auto"/>
                      <w:spacing w:val="-16"/>
                      <w:highlight w:val="none"/>
                      <w:lang w:val="en-US" w:eastAsia="zh-CN"/>
                    </w:rPr>
                    <w:t>μ</w:t>
                  </w:r>
                  <w:r>
                    <w:rPr>
                      <w:rFonts w:hint="default" w:ascii="Times New Roman" w:hAnsi="Times New Roman" w:eastAsia="宋体" w:cs="Times New Roman"/>
                      <w:color w:val="auto"/>
                      <w:spacing w:val="-16"/>
                      <w:highlight w:val="none"/>
                    </w:rPr>
                    <w:t>g/m</w:t>
                  </w:r>
                  <w:r>
                    <w:rPr>
                      <w:rFonts w:hint="default" w:ascii="Times New Roman" w:hAnsi="Times New Roman" w:eastAsia="宋体" w:cs="Times New Roman"/>
                      <w:color w:val="auto"/>
                      <w:spacing w:val="-16"/>
                      <w:highlight w:val="none"/>
                      <w:vertAlign w:val="superscript"/>
                    </w:rPr>
                    <w:t>3</w:t>
                  </w:r>
                  <w:r>
                    <w:rPr>
                      <w:rFonts w:hint="default" w:ascii="Times New Roman" w:hAnsi="Times New Roman" w:eastAsia="宋体" w:cs="Times New Roman"/>
                      <w:color w:val="auto"/>
                      <w:spacing w:val="-16"/>
                      <w:highlight w:val="none"/>
                    </w:rPr>
                    <w:t>）</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4D5AF63B">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标准值（</w:t>
                  </w:r>
                  <w:r>
                    <w:rPr>
                      <w:rFonts w:hint="default" w:ascii="Times New Roman" w:hAnsi="Times New Roman" w:eastAsia="宋体" w:cs="Times New Roman"/>
                      <w:color w:val="auto"/>
                      <w:spacing w:val="-16"/>
                      <w:highlight w:val="none"/>
                      <w:lang w:val="en-US" w:eastAsia="zh-CN"/>
                    </w:rPr>
                    <w:t>μ</w:t>
                  </w:r>
                  <w:r>
                    <w:rPr>
                      <w:rFonts w:hint="default" w:ascii="Times New Roman" w:hAnsi="Times New Roman" w:eastAsia="宋体" w:cs="Times New Roman"/>
                      <w:color w:val="auto"/>
                      <w:spacing w:val="-16"/>
                      <w:highlight w:val="none"/>
                    </w:rPr>
                    <w:t>g/m</w:t>
                  </w:r>
                  <w:r>
                    <w:rPr>
                      <w:rFonts w:hint="default" w:ascii="Times New Roman" w:hAnsi="Times New Roman" w:eastAsia="宋体" w:cs="Times New Roman"/>
                      <w:color w:val="auto"/>
                      <w:spacing w:val="-16"/>
                      <w:highlight w:val="none"/>
                      <w:vertAlign w:val="superscript"/>
                    </w:rPr>
                    <w:t>3</w:t>
                  </w:r>
                  <w:r>
                    <w:rPr>
                      <w:rFonts w:hint="default" w:ascii="Times New Roman" w:hAnsi="Times New Roman" w:eastAsia="宋体" w:cs="Times New Roman"/>
                      <w:color w:val="auto"/>
                      <w:spacing w:val="-16"/>
                      <w:highlight w:val="none"/>
                    </w:rPr>
                    <w:t>）</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75C03531">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占标率%</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656FD7B5">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达标情况</w:t>
                  </w:r>
                </w:p>
              </w:tc>
            </w:tr>
            <w:tr w14:paraId="202014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4DF993E">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细颗粒物（PM</w:t>
                  </w:r>
                  <w:r>
                    <w:rPr>
                      <w:rFonts w:hint="default" w:ascii="Times New Roman" w:hAnsi="Times New Roman" w:eastAsia="宋体" w:cs="Times New Roman"/>
                      <w:color w:val="auto"/>
                      <w:spacing w:val="-16"/>
                      <w:highlight w:val="none"/>
                      <w:vertAlign w:val="subscript"/>
                    </w:rPr>
                    <w:t>2.5</w:t>
                  </w:r>
                  <w:r>
                    <w:rPr>
                      <w:rFonts w:hint="default" w:ascii="Times New Roman" w:hAnsi="Times New Roman" w:eastAsia="宋体" w:cs="Times New Roman"/>
                      <w:color w:val="auto"/>
                      <w:spacing w:val="-16"/>
                      <w:highlight w:val="none"/>
                    </w:rPr>
                    <w:t>）</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550701D0">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年平均质量</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6D002965">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16</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334EDFE2">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35</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2B9F2F14">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45.71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41B3FF61">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r w14:paraId="78D949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061B991D">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可吸入颗粒物（PM</w:t>
                  </w:r>
                  <w:r>
                    <w:rPr>
                      <w:rFonts w:hint="default" w:ascii="Times New Roman" w:hAnsi="Times New Roman" w:eastAsia="宋体" w:cs="Times New Roman"/>
                      <w:color w:val="auto"/>
                      <w:spacing w:val="-16"/>
                      <w:highlight w:val="none"/>
                      <w:vertAlign w:val="subscript"/>
                    </w:rPr>
                    <w:t>10</w:t>
                  </w:r>
                  <w:r>
                    <w:rPr>
                      <w:rFonts w:hint="default" w:ascii="Times New Roman" w:hAnsi="Times New Roman" w:eastAsia="宋体" w:cs="Times New Roman"/>
                      <w:color w:val="auto"/>
                      <w:spacing w:val="-16"/>
                      <w:highlight w:val="none"/>
                    </w:rPr>
                    <w:t>）</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3130FD76">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年平均质量</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7A5ED446">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57</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461878B3">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70</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490B8187">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81.43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0D2D3ED5">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r w14:paraId="3FECB0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1F46F88C">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二氧化硫</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0330778">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年平均质量</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6D721A05">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10</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6B15A23B">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60</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534D9985">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16.67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6A88A528">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r w14:paraId="5D5B58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0FD1AAB5">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二氧化氮</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4E8FF9EC">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年平均质量</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71DB6B3C">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18</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0CDB6024">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40</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3EDFD3A7">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45.00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697A6B38">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r w14:paraId="36589A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46795D1">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一氧化碳</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30B41068">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日平均浓度</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3D09814F">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1100</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589A11E3">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4000</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6EE481D5">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27.50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6AD1664B">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r w14:paraId="54ED21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819" w:type="dxa"/>
                  <w:tcBorders>
                    <w:top w:val="single" w:color="auto" w:sz="4" w:space="0"/>
                    <w:left w:val="single" w:color="auto" w:sz="4" w:space="0"/>
                    <w:bottom w:val="single" w:color="auto" w:sz="4" w:space="0"/>
                    <w:right w:val="single" w:color="auto" w:sz="4" w:space="0"/>
                  </w:tcBorders>
                  <w:shd w:val="clear" w:color="auto" w:fill="auto"/>
                  <w:vAlign w:val="center"/>
                </w:tcPr>
                <w:p w14:paraId="453433A5">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臭氧</w:t>
                  </w:r>
                </w:p>
              </w:tc>
              <w:tc>
                <w:tcPr>
                  <w:tcW w:w="1568" w:type="dxa"/>
                  <w:tcBorders>
                    <w:top w:val="single" w:color="auto" w:sz="4" w:space="0"/>
                    <w:left w:val="single" w:color="auto" w:sz="4" w:space="0"/>
                    <w:bottom w:val="single" w:color="auto" w:sz="4" w:space="0"/>
                    <w:right w:val="single" w:color="auto" w:sz="4" w:space="0"/>
                  </w:tcBorders>
                  <w:shd w:val="clear" w:color="auto" w:fill="auto"/>
                  <w:vAlign w:val="center"/>
                </w:tcPr>
                <w:p w14:paraId="59F7DE99">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8小时平均浓度</w:t>
                  </w:r>
                </w:p>
              </w:tc>
              <w:tc>
                <w:tcPr>
                  <w:tcW w:w="1029" w:type="dxa"/>
                  <w:tcBorders>
                    <w:top w:val="single" w:color="auto" w:sz="4" w:space="0"/>
                    <w:left w:val="single" w:color="auto" w:sz="4" w:space="0"/>
                    <w:bottom w:val="single" w:color="auto" w:sz="4" w:space="0"/>
                    <w:right w:val="single" w:color="auto" w:sz="4" w:space="0"/>
                  </w:tcBorders>
                  <w:shd w:val="clear" w:color="auto" w:fill="auto"/>
                  <w:vAlign w:val="center"/>
                </w:tcPr>
                <w:p w14:paraId="2F48CB40">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132</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78A3C20C">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160</w:t>
                  </w:r>
                </w:p>
              </w:tc>
              <w:tc>
                <w:tcPr>
                  <w:tcW w:w="1047" w:type="dxa"/>
                  <w:tcBorders>
                    <w:top w:val="single" w:color="auto" w:sz="4" w:space="0"/>
                    <w:left w:val="single" w:color="auto" w:sz="4" w:space="0"/>
                    <w:bottom w:val="single" w:color="auto" w:sz="4" w:space="0"/>
                    <w:right w:val="single" w:color="auto" w:sz="4" w:space="0"/>
                  </w:tcBorders>
                  <w:shd w:val="clear" w:color="auto" w:fill="auto"/>
                  <w:vAlign w:val="center"/>
                </w:tcPr>
                <w:p w14:paraId="5676EBE7">
                  <w:pPr>
                    <w:jc w:val="center"/>
                    <w:rPr>
                      <w:rFonts w:hint="default" w:ascii="Times New Roman" w:hAnsi="Times New Roman" w:eastAsia="宋体" w:cs="Times New Roman"/>
                      <w:color w:val="auto"/>
                      <w:spacing w:val="-16"/>
                      <w:highlight w:val="none"/>
                      <w:lang w:val="en-US" w:eastAsia="zh-CN"/>
                    </w:rPr>
                  </w:pPr>
                  <w:r>
                    <w:rPr>
                      <w:rFonts w:hint="eastAsia" w:ascii="Times New Roman" w:hAnsi="Times New Roman" w:eastAsia="宋体" w:cs="Times New Roman"/>
                      <w:color w:val="auto"/>
                      <w:spacing w:val="-16"/>
                      <w:highlight w:val="none"/>
                      <w:lang w:val="en-US" w:eastAsia="zh-CN"/>
                    </w:rPr>
                    <w:t xml:space="preserve"> 82.50 </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14:paraId="056A1418">
                  <w:pPr>
                    <w:jc w:val="center"/>
                    <w:rPr>
                      <w:rFonts w:hint="default" w:ascii="Times New Roman" w:hAnsi="Times New Roman" w:eastAsia="宋体" w:cs="Times New Roman"/>
                      <w:color w:val="auto"/>
                      <w:spacing w:val="-16"/>
                      <w:highlight w:val="none"/>
                    </w:rPr>
                  </w:pPr>
                  <w:r>
                    <w:rPr>
                      <w:rFonts w:hint="default" w:ascii="Times New Roman" w:hAnsi="Times New Roman" w:eastAsia="宋体" w:cs="Times New Roman"/>
                      <w:color w:val="auto"/>
                      <w:spacing w:val="-16"/>
                      <w:highlight w:val="none"/>
                    </w:rPr>
                    <w:t>达标</w:t>
                  </w:r>
                </w:p>
              </w:tc>
            </w:tr>
          </w:tbl>
          <w:p w14:paraId="49143632">
            <w:pPr>
              <w:adjustRightInd w:val="0"/>
              <w:snapToGrid w:val="0"/>
              <w:spacing w:line="360" w:lineRule="auto"/>
              <w:ind w:firstLine="480" w:firstLineChars="200"/>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4"/>
                <w:highlight w:val="none"/>
              </w:rPr>
              <w:t>从上表可以看出，</w:t>
            </w:r>
            <w:r>
              <w:rPr>
                <w:rFonts w:hint="default" w:ascii="Times New Roman" w:hAnsi="Times New Roman" w:eastAsia="宋体" w:cs="Times New Roman"/>
                <w:color w:val="auto"/>
                <w:kern w:val="0"/>
                <w:sz w:val="24"/>
                <w:szCs w:val="24"/>
                <w:highlight w:val="none"/>
                <w:lang w:val="en-US" w:eastAsia="zh-CN"/>
              </w:rPr>
              <w:t>巴彦高勒镇</w:t>
            </w:r>
            <w:r>
              <w:rPr>
                <w:rFonts w:hint="default" w:ascii="Times New Roman" w:hAnsi="Times New Roman" w:eastAsia="宋体" w:cs="Times New Roman"/>
                <w:color w:val="auto"/>
                <w:kern w:val="0"/>
                <w:sz w:val="24"/>
                <w:szCs w:val="24"/>
                <w:highlight w:val="none"/>
              </w:rPr>
              <w:t>202</w:t>
            </w:r>
            <w:r>
              <w:rPr>
                <w:rFonts w:hint="eastAsia" w:ascii="Times New Roman" w:hAnsi="Times New Roman" w:eastAsia="宋体" w:cs="Times New Roman"/>
                <w:color w:val="auto"/>
                <w:kern w:val="0"/>
                <w:sz w:val="24"/>
                <w:szCs w:val="24"/>
                <w:highlight w:val="none"/>
                <w:lang w:val="en-US" w:eastAsia="zh-CN"/>
              </w:rPr>
              <w:t>4</w:t>
            </w:r>
            <w:r>
              <w:rPr>
                <w:rFonts w:hint="default" w:ascii="Times New Roman" w:hAnsi="Times New Roman" w:eastAsia="宋体" w:cs="Times New Roman"/>
                <w:color w:val="auto"/>
                <w:kern w:val="0"/>
                <w:sz w:val="24"/>
                <w:szCs w:val="24"/>
                <w:highlight w:val="none"/>
              </w:rPr>
              <w:t>年大气环境中6项污染物中SO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质量浓度均满足《环境空气质量标准》（GB3095-2012）二级标准限值，由此可判断</w:t>
            </w:r>
            <w:r>
              <w:rPr>
                <w:rFonts w:hint="default" w:ascii="Times New Roman" w:hAnsi="Times New Roman" w:eastAsia="宋体" w:cs="Times New Roman"/>
                <w:color w:val="auto"/>
                <w:kern w:val="0"/>
                <w:sz w:val="24"/>
                <w:szCs w:val="24"/>
                <w:highlight w:val="none"/>
                <w:lang w:val="en-US" w:eastAsia="zh-CN"/>
              </w:rPr>
              <w:t>项目区</w:t>
            </w:r>
            <w:r>
              <w:rPr>
                <w:rFonts w:hint="default" w:ascii="Times New Roman" w:hAnsi="Times New Roman" w:eastAsia="宋体" w:cs="Times New Roman"/>
                <w:color w:val="auto"/>
                <w:kern w:val="0"/>
                <w:sz w:val="24"/>
                <w:szCs w:val="24"/>
                <w:highlight w:val="none"/>
              </w:rPr>
              <w:t>为达标区</w:t>
            </w:r>
            <w:r>
              <w:rPr>
                <w:rFonts w:hint="default" w:ascii="Times New Roman" w:hAnsi="Times New Roman" w:eastAsia="宋体" w:cs="Times New Roman"/>
                <w:color w:val="auto"/>
                <w:kern w:val="0"/>
                <w:sz w:val="24"/>
                <w:szCs w:val="24"/>
                <w:highlight w:val="none"/>
                <w:lang w:eastAsia="zh-CN"/>
              </w:rPr>
              <w:t>。</w:t>
            </w:r>
          </w:p>
          <w:p w14:paraId="082B2285">
            <w:pPr>
              <w:adjustRightInd w:val="0"/>
              <w:snapToGrid w:val="0"/>
              <w:spacing w:line="360" w:lineRule="auto"/>
              <w:ind w:firstLine="482" w:firstLineChars="200"/>
              <w:rPr>
                <w:rFonts w:hint="default" w:ascii="Times New Roman" w:hAnsi="Times New Roman" w:eastAsia="宋体" w:cs="Times New Roman"/>
                <w:b/>
                <w:bCs w:val="0"/>
                <w:color w:val="auto"/>
                <w:kern w:val="0"/>
                <w:sz w:val="24"/>
                <w:szCs w:val="24"/>
                <w:highlight w:val="none"/>
              </w:rPr>
            </w:pPr>
            <w:r>
              <w:rPr>
                <w:rFonts w:hint="default" w:ascii="Times New Roman" w:hAnsi="Times New Roman" w:eastAsia="宋体" w:cs="Times New Roman"/>
                <w:b/>
                <w:bCs w:val="0"/>
                <w:color w:val="auto"/>
                <w:kern w:val="0"/>
                <w:sz w:val="24"/>
                <w:szCs w:val="24"/>
                <w:highlight w:val="none"/>
                <w:lang w:val="en-US" w:eastAsia="zh-CN"/>
              </w:rPr>
              <w:t>1.2</w:t>
            </w:r>
            <w:r>
              <w:rPr>
                <w:rFonts w:hint="default" w:ascii="Times New Roman" w:hAnsi="Times New Roman" w:eastAsia="宋体" w:cs="Times New Roman"/>
                <w:b/>
                <w:bCs w:val="0"/>
                <w:color w:val="auto"/>
                <w:kern w:val="0"/>
                <w:sz w:val="24"/>
                <w:szCs w:val="24"/>
                <w:highlight w:val="none"/>
              </w:rPr>
              <w:t>其他污染物补充监测</w:t>
            </w:r>
          </w:p>
          <w:p w14:paraId="77FA2589">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z w:val="24"/>
                <w:szCs w:val="24"/>
                <w:highlight w:val="none"/>
                <w:lang w:eastAsia="zh-CN"/>
              </w:rPr>
              <w:t>环境影响评价技术导则 大气</w:t>
            </w:r>
            <w:r>
              <w:rPr>
                <w:rFonts w:hint="default" w:ascii="Times New Roman" w:hAnsi="Times New Roman" w:eastAsia="宋体" w:cs="Times New Roman"/>
                <w:color w:val="auto"/>
                <w:sz w:val="24"/>
                <w:szCs w:val="24"/>
                <w:highlight w:val="none"/>
              </w:rPr>
              <w:t>环境》（HJ2.2-2018）6.3条要求，本次评价对其他污染物TSP进行补充监测。</w:t>
            </w:r>
            <w:r>
              <w:rPr>
                <w:rFonts w:hint="eastAsia" w:ascii="Times New Roman" w:hAnsi="Times New Roman" w:eastAsia="宋体" w:cs="Times New Roman"/>
                <w:color w:val="auto"/>
                <w:sz w:val="24"/>
                <w:szCs w:val="24"/>
                <w:highlight w:val="none"/>
                <w:lang w:val="en-US" w:eastAsia="zh-CN"/>
              </w:rPr>
              <w:t>补测期间，厂区现有项目加气混凝土砌块生产线正常生产中。</w:t>
            </w:r>
          </w:p>
          <w:p w14:paraId="67680162">
            <w:pPr>
              <w:pageBreakBefore w:val="0"/>
              <w:kinsoku/>
              <w:wordWrap/>
              <w:bidi w:val="0"/>
              <w:snapToGrid w:val="0"/>
              <w:spacing w:line="360" w:lineRule="auto"/>
              <w:ind w:left="0" w:leftChars="0" w:right="0" w:rightChars="0" w:firstLine="48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1.2.1</w:t>
            </w:r>
            <w:r>
              <w:rPr>
                <w:rFonts w:hint="default" w:ascii="Times New Roman" w:hAnsi="Times New Roman" w:eastAsia="宋体" w:cs="Times New Roman"/>
                <w:b/>
                <w:bCs/>
                <w:color w:val="auto"/>
                <w:sz w:val="24"/>
                <w:szCs w:val="24"/>
                <w:highlight w:val="none"/>
              </w:rPr>
              <w:t>监测点位</w:t>
            </w:r>
          </w:p>
          <w:p w14:paraId="40DDFDE3">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根据建设项目所在</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具体位置、当地气象、地形和环境功能等因素，</w:t>
            </w: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bCs/>
                <w:color w:val="auto"/>
                <w:kern w:val="0"/>
                <w:sz w:val="24"/>
                <w:highlight w:val="none"/>
                <w:lang w:val="en-US" w:eastAsia="zh-CN"/>
              </w:rPr>
              <w:t>《建设项目环境影响报告表编制技术指南》（污染影响类）（试行）中的要求</w:t>
            </w:r>
            <w:r>
              <w:rPr>
                <w:rFonts w:hint="default" w:ascii="Times New Roman" w:hAnsi="Times New Roman" w:eastAsia="宋体" w:cs="Times New Roman"/>
                <w:color w:val="auto"/>
                <w:sz w:val="24"/>
                <w:szCs w:val="24"/>
                <w:highlight w:val="none"/>
              </w:rPr>
              <w:t>，主要考虑建设项目厂址对周围敏感区域大气环境质量的影响，</w:t>
            </w:r>
            <w:r>
              <w:rPr>
                <w:rFonts w:hint="default" w:ascii="Times New Roman" w:hAnsi="Times New Roman" w:eastAsia="宋体" w:cs="Times New Roman"/>
                <w:color w:val="auto"/>
                <w:sz w:val="24"/>
                <w:szCs w:val="24"/>
                <w:highlight w:val="none"/>
                <w:lang w:eastAsia="zh-CN"/>
              </w:rPr>
              <w:t>在</w:t>
            </w:r>
            <w:r>
              <w:rPr>
                <w:rFonts w:hint="default" w:ascii="Times New Roman" w:hAnsi="Times New Roman" w:eastAsia="宋体" w:cs="Times New Roman"/>
                <w:color w:val="auto"/>
                <w:sz w:val="24"/>
                <w:szCs w:val="24"/>
                <w:highlight w:val="none"/>
                <w:lang w:val="en-US" w:eastAsia="zh-CN"/>
              </w:rPr>
              <w:t>厂</w:t>
            </w:r>
            <w:r>
              <w:rPr>
                <w:rFonts w:hint="default" w:ascii="Times New Roman" w:hAnsi="Times New Roman" w:eastAsia="宋体" w:cs="Times New Roman"/>
                <w:color w:val="auto"/>
                <w:sz w:val="24"/>
                <w:szCs w:val="24"/>
                <w:highlight w:val="none"/>
                <w:lang w:eastAsia="zh-CN"/>
              </w:rPr>
              <w:t>区</w:t>
            </w:r>
            <w:r>
              <w:rPr>
                <w:rFonts w:hint="default" w:ascii="Times New Roman" w:hAnsi="Times New Roman" w:eastAsia="宋体" w:cs="Times New Roman"/>
                <w:color w:val="auto"/>
                <w:sz w:val="24"/>
                <w:szCs w:val="24"/>
                <w:highlight w:val="none"/>
                <w:lang w:val="en-US" w:eastAsia="zh-CN"/>
              </w:rPr>
              <w:t>西南侧</w:t>
            </w:r>
            <w:r>
              <w:rPr>
                <w:rFonts w:hint="eastAsia" w:ascii="Times New Roman" w:hAnsi="Times New Roman" w:eastAsia="宋体" w:cs="Times New Roman"/>
                <w:color w:val="auto"/>
                <w:sz w:val="24"/>
                <w:szCs w:val="24"/>
                <w:highlight w:val="none"/>
                <w:lang w:val="en-US" w:eastAsia="zh-CN"/>
              </w:rPr>
              <w:t>居民点处</w:t>
            </w:r>
            <w:r>
              <w:rPr>
                <w:rFonts w:hint="default" w:ascii="Times New Roman" w:hAnsi="Times New Roman" w:eastAsia="宋体" w:cs="Times New Roman"/>
                <w:color w:val="auto"/>
                <w:sz w:val="24"/>
                <w:szCs w:val="24"/>
                <w:highlight w:val="none"/>
              </w:rPr>
              <w:t>设置1个监测点，详见表</w:t>
            </w:r>
            <w:r>
              <w:rPr>
                <w:rFonts w:hint="default" w:ascii="Times New Roman" w:hAnsi="Times New Roman" w:eastAsia="宋体"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rPr>
              <w:t>。</w:t>
            </w:r>
          </w:p>
          <w:p w14:paraId="2CE0F516">
            <w:pPr>
              <w:pStyle w:val="5"/>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t>表</w:t>
            </w:r>
            <w:r>
              <w:rPr>
                <w:rFonts w:hint="default" w:ascii="Times New Roman" w:hAnsi="Times New Roman" w:eastAsia="宋体" w:cs="Times New Roman"/>
                <w:snapToGrid w:val="0"/>
                <w:color w:val="auto"/>
                <w:sz w:val="24"/>
                <w:szCs w:val="24"/>
                <w:highlight w:val="none"/>
                <w:lang w:val="en-US" w:eastAsia="zh-CN"/>
              </w:rPr>
              <w:t>3</w:t>
            </w:r>
            <w:r>
              <w:rPr>
                <w:rFonts w:hint="default" w:ascii="Times New Roman" w:hAnsi="Times New Roman" w:eastAsia="宋体" w:cs="Times New Roman"/>
                <w:snapToGrid w:val="0"/>
                <w:color w:val="auto"/>
                <w:sz w:val="24"/>
                <w:szCs w:val="24"/>
                <w:highlight w:val="none"/>
              </w:rPr>
              <w:t>-2</w:t>
            </w:r>
            <w:r>
              <w:rPr>
                <w:rFonts w:hint="default" w:ascii="Times New Roman" w:hAnsi="Times New Roman" w:eastAsia="宋体" w:cs="Times New Roman"/>
                <w:snapToGrid w:val="0"/>
                <w:color w:val="auto"/>
                <w:sz w:val="24"/>
                <w:szCs w:val="24"/>
                <w:highlight w:val="none"/>
                <w:lang w:val="en-US" w:eastAsia="zh-CN"/>
              </w:rPr>
              <w:t xml:space="preserve">  </w:t>
            </w:r>
            <w:r>
              <w:rPr>
                <w:rFonts w:hint="default" w:ascii="Times New Roman" w:hAnsi="Times New Roman" w:eastAsia="宋体" w:cs="Times New Roman"/>
                <w:snapToGrid w:val="0"/>
                <w:color w:val="auto"/>
                <w:sz w:val="24"/>
                <w:szCs w:val="24"/>
                <w:highlight w:val="none"/>
              </w:rPr>
              <w:t>环境空气质量现状补充监测布点表</w:t>
            </w:r>
          </w:p>
          <w:tbl>
            <w:tblPr>
              <w:tblStyle w:val="25"/>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96"/>
              <w:gridCol w:w="1994"/>
              <w:gridCol w:w="2534"/>
              <w:gridCol w:w="1276"/>
              <w:gridCol w:w="1277"/>
            </w:tblGrid>
            <w:tr w14:paraId="57B144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0" w:type="dxa"/>
                  <w:vMerge w:val="restart"/>
                  <w:tcBorders>
                    <w:top w:val="single" w:color="auto" w:sz="4" w:space="0"/>
                    <w:left w:val="single" w:color="auto" w:sz="4" w:space="0"/>
                    <w:bottom w:val="single" w:color="auto" w:sz="4" w:space="0"/>
                    <w:right w:val="single" w:color="auto" w:sz="4" w:space="0"/>
                  </w:tcBorders>
                  <w:vAlign w:val="center"/>
                </w:tcPr>
                <w:p w14:paraId="74DCAD52">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监测点位名称</w:t>
                  </w:r>
                </w:p>
              </w:tc>
              <w:tc>
                <w:tcPr>
                  <w:tcW w:w="1417" w:type="dxa"/>
                  <w:vMerge w:val="restart"/>
                  <w:tcBorders>
                    <w:top w:val="single" w:color="auto" w:sz="4" w:space="0"/>
                    <w:left w:val="single" w:color="auto" w:sz="4" w:space="0"/>
                    <w:bottom w:val="single" w:color="auto" w:sz="4" w:space="0"/>
                    <w:right w:val="single" w:color="auto" w:sz="4" w:space="0"/>
                  </w:tcBorders>
                  <w:vAlign w:val="center"/>
                </w:tcPr>
                <w:p w14:paraId="46713FF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1801" w:type="dxa"/>
                  <w:vMerge w:val="restart"/>
                  <w:tcBorders>
                    <w:top w:val="single" w:color="auto" w:sz="4" w:space="0"/>
                    <w:left w:val="single" w:color="auto" w:sz="4" w:space="0"/>
                    <w:bottom w:val="single" w:color="auto" w:sz="4" w:space="0"/>
                    <w:right w:val="single" w:color="auto" w:sz="4" w:space="0"/>
                  </w:tcBorders>
                  <w:vAlign w:val="center"/>
                </w:tcPr>
                <w:p w14:paraId="6B9AE507">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位置坐标</w:t>
                  </w:r>
                </w:p>
              </w:tc>
              <w:tc>
                <w:tcPr>
                  <w:tcW w:w="907" w:type="dxa"/>
                  <w:gridSpan w:val="2"/>
                  <w:tcBorders>
                    <w:top w:val="single" w:color="auto" w:sz="4" w:space="0"/>
                    <w:left w:val="single" w:color="auto" w:sz="4" w:space="0"/>
                    <w:bottom w:val="single" w:color="auto" w:sz="4" w:space="0"/>
                    <w:right w:val="single" w:color="auto" w:sz="4" w:space="0"/>
                  </w:tcBorders>
                  <w:vAlign w:val="center"/>
                </w:tcPr>
                <w:p w14:paraId="4B26B98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相对于厂址</w:t>
                  </w:r>
                </w:p>
              </w:tc>
            </w:tr>
            <w:tr w14:paraId="7D3AAD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0" w:type="dxa"/>
                  <w:vMerge w:val="continue"/>
                  <w:tcBorders>
                    <w:top w:val="single" w:color="auto" w:sz="4" w:space="0"/>
                    <w:left w:val="single" w:color="auto" w:sz="4" w:space="0"/>
                    <w:bottom w:val="single" w:color="auto" w:sz="4" w:space="0"/>
                    <w:right w:val="single" w:color="auto" w:sz="4" w:space="0"/>
                  </w:tcBorders>
                  <w:vAlign w:val="center"/>
                </w:tcPr>
                <w:p w14:paraId="714930C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417" w:type="dxa"/>
                  <w:vMerge w:val="continue"/>
                  <w:tcBorders>
                    <w:top w:val="single" w:color="auto" w:sz="4" w:space="0"/>
                    <w:left w:val="single" w:color="auto" w:sz="4" w:space="0"/>
                    <w:bottom w:val="single" w:color="auto" w:sz="4" w:space="0"/>
                    <w:right w:val="single" w:color="auto" w:sz="4" w:space="0"/>
                  </w:tcBorders>
                  <w:vAlign w:val="center"/>
                </w:tcPr>
                <w:p w14:paraId="0E15E20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801" w:type="dxa"/>
                  <w:vMerge w:val="continue"/>
                  <w:tcBorders>
                    <w:top w:val="single" w:color="auto" w:sz="4" w:space="0"/>
                    <w:left w:val="single" w:color="auto" w:sz="4" w:space="0"/>
                    <w:bottom w:val="single" w:color="auto" w:sz="4" w:space="0"/>
                    <w:right w:val="single" w:color="auto" w:sz="4" w:space="0"/>
                  </w:tcBorders>
                  <w:vAlign w:val="center"/>
                </w:tcPr>
                <w:p w14:paraId="7CBDE32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07" w:type="dxa"/>
                  <w:tcBorders>
                    <w:top w:val="single" w:color="auto" w:sz="4" w:space="0"/>
                    <w:left w:val="single" w:color="auto" w:sz="4" w:space="0"/>
                    <w:bottom w:val="single" w:color="auto" w:sz="4" w:space="0"/>
                    <w:right w:val="single" w:color="auto" w:sz="4" w:space="0"/>
                  </w:tcBorders>
                  <w:vAlign w:val="center"/>
                </w:tcPr>
                <w:p w14:paraId="2EA31F0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方位</w:t>
                  </w:r>
                </w:p>
              </w:tc>
              <w:tc>
                <w:tcPr>
                  <w:tcW w:w="907" w:type="dxa"/>
                  <w:tcBorders>
                    <w:top w:val="single" w:color="auto" w:sz="4" w:space="0"/>
                    <w:left w:val="single" w:color="auto" w:sz="4" w:space="0"/>
                    <w:bottom w:val="single" w:color="auto" w:sz="4" w:space="0"/>
                    <w:right w:val="single" w:color="auto" w:sz="4" w:space="0"/>
                  </w:tcBorders>
                  <w:vAlign w:val="center"/>
                </w:tcPr>
                <w:p w14:paraId="546E648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距离（m）</w:t>
                  </w:r>
                </w:p>
              </w:tc>
            </w:tr>
            <w:tr w14:paraId="41584F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28443C3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417" w:type="dxa"/>
                  <w:tcBorders>
                    <w:top w:val="single" w:color="auto" w:sz="4" w:space="0"/>
                    <w:left w:val="single" w:color="auto" w:sz="4" w:space="0"/>
                    <w:bottom w:val="single" w:color="auto" w:sz="4" w:space="0"/>
                    <w:right w:val="single" w:color="auto" w:sz="4" w:space="0"/>
                  </w:tcBorders>
                  <w:vAlign w:val="center"/>
                </w:tcPr>
                <w:p w14:paraId="4426FE4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801" w:type="dxa"/>
                  <w:tcBorders>
                    <w:top w:val="single" w:color="auto" w:sz="4" w:space="0"/>
                    <w:left w:val="single" w:color="auto" w:sz="4" w:space="0"/>
                    <w:bottom w:val="single" w:color="auto" w:sz="4" w:space="0"/>
                    <w:right w:val="single" w:color="auto" w:sz="4" w:space="0"/>
                  </w:tcBorders>
                  <w:vAlign w:val="center"/>
                </w:tcPr>
                <w:p w14:paraId="0B8D855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E</w:t>
                  </w:r>
                  <w:r>
                    <w:rPr>
                      <w:rFonts w:hint="default" w:ascii="Times New Roman" w:hAnsi="Times New Roman" w:eastAsia="宋体" w:cs="Times New Roman"/>
                      <w:color w:val="auto"/>
                      <w:sz w:val="21"/>
                      <w:szCs w:val="21"/>
                      <w:highlight w:val="none"/>
                    </w:rPr>
                    <w:t>106°59′59.3″</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N</w:t>
                  </w:r>
                  <w:r>
                    <w:rPr>
                      <w:rFonts w:hint="default" w:ascii="Times New Roman" w:hAnsi="Times New Roman" w:eastAsia="宋体" w:cs="Times New Roman"/>
                      <w:color w:val="auto"/>
                      <w:sz w:val="21"/>
                      <w:szCs w:val="21"/>
                      <w:highlight w:val="none"/>
                    </w:rPr>
                    <w:t>40°22′34.8″</w:t>
                  </w:r>
                </w:p>
              </w:tc>
              <w:tc>
                <w:tcPr>
                  <w:tcW w:w="907" w:type="dxa"/>
                  <w:tcBorders>
                    <w:top w:val="single" w:color="auto" w:sz="4" w:space="0"/>
                    <w:left w:val="single" w:color="auto" w:sz="4" w:space="0"/>
                    <w:bottom w:val="single" w:color="auto" w:sz="4" w:space="0"/>
                    <w:right w:val="single" w:color="auto" w:sz="4" w:space="0"/>
                  </w:tcBorders>
                  <w:vAlign w:val="center"/>
                </w:tcPr>
                <w:p w14:paraId="653CAE9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西南侧</w:t>
                  </w:r>
                </w:p>
              </w:tc>
              <w:tc>
                <w:tcPr>
                  <w:tcW w:w="907" w:type="dxa"/>
                  <w:tcBorders>
                    <w:top w:val="single" w:color="auto" w:sz="4" w:space="0"/>
                    <w:left w:val="single" w:color="auto" w:sz="4" w:space="0"/>
                    <w:bottom w:val="single" w:color="auto" w:sz="4" w:space="0"/>
                    <w:right w:val="single" w:color="auto" w:sz="4" w:space="0"/>
                  </w:tcBorders>
                  <w:vAlign w:val="center"/>
                </w:tcPr>
                <w:p w14:paraId="672FD61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5</w:t>
                  </w:r>
                </w:p>
              </w:tc>
            </w:tr>
          </w:tbl>
          <w:p w14:paraId="4B02EE3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2、监测项目</w:t>
            </w:r>
          </w:p>
          <w:p w14:paraId="1232D4CE">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其他污染物：TSP</w:t>
            </w:r>
          </w:p>
          <w:p w14:paraId="2E13F12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同步观测风速、风向、气温、气压等常规气象参数。</w:t>
            </w:r>
          </w:p>
          <w:p w14:paraId="392E883F">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3、监测时间和监测频率</w:t>
            </w:r>
          </w:p>
          <w:p w14:paraId="24CC178A">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TSP测</w:t>
            </w:r>
            <w:r>
              <w:rPr>
                <w:rFonts w:hint="default" w:ascii="Times New Roman" w:hAnsi="Times New Roman" w:eastAsia="宋体" w:cs="Times New Roman"/>
                <w:color w:val="auto"/>
                <w:sz w:val="24"/>
                <w:szCs w:val="24"/>
                <w:highlight w:val="none"/>
                <w:lang w:val="en-US" w:eastAsia="zh-CN"/>
              </w:rPr>
              <w:t>24</w:t>
            </w:r>
            <w:r>
              <w:rPr>
                <w:rFonts w:hint="default" w:ascii="Times New Roman" w:hAnsi="Times New Roman" w:eastAsia="宋体" w:cs="Times New Roman"/>
                <w:color w:val="auto"/>
                <w:sz w:val="24"/>
                <w:szCs w:val="24"/>
                <w:highlight w:val="none"/>
              </w:rPr>
              <w:t>小时均值，每天监测</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次，每</w:t>
            </w:r>
            <w:r>
              <w:rPr>
                <w:rFonts w:hint="default" w:ascii="Times New Roman" w:hAnsi="Times New Roman" w:eastAsia="宋体" w:cs="Times New Roman"/>
                <w:color w:val="auto"/>
                <w:sz w:val="24"/>
                <w:szCs w:val="24"/>
                <w:highlight w:val="none"/>
                <w:lang w:eastAsia="zh-CN"/>
              </w:rPr>
              <w:t>天</w:t>
            </w:r>
            <w:r>
              <w:rPr>
                <w:rFonts w:hint="default" w:ascii="Times New Roman" w:hAnsi="Times New Roman" w:eastAsia="宋体" w:cs="Times New Roman"/>
                <w:color w:val="auto"/>
                <w:sz w:val="24"/>
                <w:szCs w:val="24"/>
                <w:highlight w:val="none"/>
              </w:rPr>
              <w:t>至少有</w:t>
            </w:r>
            <w:r>
              <w:rPr>
                <w:rFonts w:hint="default" w:ascii="Times New Roman" w:hAnsi="Times New Roman" w:eastAsia="宋体" w:cs="Times New Roman"/>
                <w:color w:val="auto"/>
                <w:sz w:val="24"/>
                <w:szCs w:val="24"/>
                <w:highlight w:val="none"/>
                <w:lang w:val="en-US" w:eastAsia="zh-CN"/>
              </w:rPr>
              <w:t>20h</w:t>
            </w:r>
            <w:r>
              <w:rPr>
                <w:rFonts w:hint="default" w:ascii="Times New Roman" w:hAnsi="Times New Roman" w:eastAsia="宋体" w:cs="Times New Roman"/>
                <w:color w:val="auto"/>
                <w:sz w:val="24"/>
                <w:szCs w:val="24"/>
                <w:highlight w:val="none"/>
              </w:rPr>
              <w:t>的采样时间</w:t>
            </w:r>
            <w:r>
              <w:rPr>
                <w:rFonts w:hint="default" w:ascii="Times New Roman" w:hAnsi="Times New Roman" w:eastAsia="宋体" w:cs="Times New Roman"/>
                <w:color w:val="auto"/>
                <w:sz w:val="24"/>
                <w:szCs w:val="24"/>
                <w:highlight w:val="none"/>
                <w:lang w:eastAsia="zh-CN"/>
              </w:rPr>
              <w:t>。</w:t>
            </w:r>
          </w:p>
          <w:p w14:paraId="6A6CF914">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202</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rPr>
              <w:t>日至</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月</w:t>
            </w:r>
            <w:r>
              <w:rPr>
                <w:rFonts w:hint="eastAsia"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日连续监测</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天，监测单位为</w:t>
            </w:r>
            <w:r>
              <w:rPr>
                <w:rFonts w:hint="eastAsia" w:ascii="Times New Roman" w:hAnsi="Times New Roman" w:eastAsia="宋体" w:cs="Times New Roman"/>
                <w:color w:val="auto"/>
                <w:sz w:val="24"/>
                <w:szCs w:val="24"/>
                <w:highlight w:val="none"/>
                <w:lang w:eastAsia="zh-CN"/>
              </w:rPr>
              <w:t>内蒙古蒙辉环保科技有限公司</w:t>
            </w:r>
            <w:r>
              <w:rPr>
                <w:rFonts w:hint="default" w:ascii="Times New Roman" w:hAnsi="Times New Roman" w:eastAsia="宋体" w:cs="Times New Roman"/>
                <w:color w:val="auto"/>
                <w:sz w:val="24"/>
                <w:szCs w:val="24"/>
                <w:highlight w:val="none"/>
              </w:rPr>
              <w:t>。</w:t>
            </w:r>
          </w:p>
          <w:p w14:paraId="6DA9C078">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4、分析方法</w:t>
            </w:r>
          </w:p>
          <w:p w14:paraId="375F5807">
            <w:pPr>
              <w:pageBreakBefore w:val="0"/>
              <w:widowControl w:val="0"/>
              <w:kinsoku/>
              <w:wordWrap/>
              <w:overflowPunct/>
              <w:topLinePunct/>
              <w:autoSpaceDE w:val="0"/>
              <w:autoSpaceDN/>
              <w:bidi w:val="0"/>
              <w:adjustRightInd/>
              <w:snapToGrid w:val="0"/>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bookmarkStart w:id="2" w:name="_Toc346715579"/>
            <w:r>
              <w:rPr>
                <w:rFonts w:hint="default" w:ascii="Times New Roman" w:hAnsi="Times New Roman" w:eastAsia="宋体" w:cs="Times New Roman"/>
                <w:color w:val="auto"/>
                <w:sz w:val="24"/>
                <w:szCs w:val="24"/>
                <w:highlight w:val="none"/>
              </w:rPr>
              <w:t>分析方法按照国家环境保护总局颁布的《环境空气质量标准》（GB3095-2012）及《空气和废气监测分析方法》进行，具体分析方法及最低检出限见下表。</w:t>
            </w:r>
          </w:p>
          <w:p w14:paraId="2EFD52EF">
            <w:pPr>
              <w:pStyle w:val="5"/>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环境空气质量监测分析方法</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125"/>
              <w:gridCol w:w="2214"/>
              <w:gridCol w:w="898"/>
              <w:gridCol w:w="1862"/>
              <w:gridCol w:w="1380"/>
            </w:tblGrid>
            <w:tr w14:paraId="09D4D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8" w:type="dxa"/>
                  <w:vAlign w:val="center"/>
                </w:tcPr>
                <w:p w14:paraId="278C606E">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序号</w:t>
                  </w:r>
                </w:p>
              </w:tc>
              <w:tc>
                <w:tcPr>
                  <w:tcW w:w="1125" w:type="dxa"/>
                  <w:vAlign w:val="center"/>
                </w:tcPr>
                <w:p w14:paraId="2D803C7A">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检测项目</w:t>
                  </w:r>
                </w:p>
              </w:tc>
              <w:tc>
                <w:tcPr>
                  <w:tcW w:w="2214" w:type="dxa"/>
                  <w:vAlign w:val="center"/>
                </w:tcPr>
                <w:p w14:paraId="6C4B8E93">
                  <w:pPr>
                    <w:keepNext w:val="0"/>
                    <w:keepLines w:val="0"/>
                    <w:pageBreakBefore w:val="0"/>
                    <w:widowControl/>
                    <w:kinsoku/>
                    <w:wordWrap/>
                    <w:overflowPunct/>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检测</w:t>
                  </w:r>
                  <w:r>
                    <w:rPr>
                      <w:rFonts w:hint="default" w:ascii="Times New Roman" w:hAnsi="Times New Roman" w:eastAsia="宋体" w:cs="Times New Roman"/>
                      <w:color w:val="auto"/>
                      <w:kern w:val="0"/>
                      <w:sz w:val="21"/>
                      <w:szCs w:val="21"/>
                      <w:highlight w:val="none"/>
                    </w:rPr>
                    <w:t>标准（方法）</w:t>
                  </w:r>
                </w:p>
              </w:tc>
              <w:tc>
                <w:tcPr>
                  <w:tcW w:w="898" w:type="dxa"/>
                  <w:vAlign w:val="center"/>
                </w:tcPr>
                <w:p w14:paraId="0900ADE2">
                  <w:pPr>
                    <w:keepNext w:val="0"/>
                    <w:keepLines w:val="0"/>
                    <w:pageBreakBefore w:val="0"/>
                    <w:widowControl/>
                    <w:kinsoku/>
                    <w:wordWrap/>
                    <w:overflowPunct/>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检出限</w:t>
                  </w:r>
                </w:p>
              </w:tc>
              <w:tc>
                <w:tcPr>
                  <w:tcW w:w="1862" w:type="dxa"/>
                  <w:vAlign w:val="center"/>
                </w:tcPr>
                <w:p w14:paraId="69925476">
                  <w:pPr>
                    <w:keepNext w:val="0"/>
                    <w:keepLines w:val="0"/>
                    <w:pageBreakBefore w:val="0"/>
                    <w:widowControl/>
                    <w:kinsoku/>
                    <w:wordWrap/>
                    <w:overflowPunct/>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仪器名称型号</w:t>
                  </w:r>
                </w:p>
              </w:tc>
              <w:tc>
                <w:tcPr>
                  <w:tcW w:w="1380" w:type="dxa"/>
                  <w:vAlign w:val="center"/>
                </w:tcPr>
                <w:p w14:paraId="37EF003F">
                  <w:pPr>
                    <w:keepNext w:val="0"/>
                    <w:keepLines w:val="0"/>
                    <w:pageBreakBefore w:val="0"/>
                    <w:widowControl/>
                    <w:kinsoku/>
                    <w:wordWrap/>
                    <w:overflowPunct/>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编号</w:t>
                  </w:r>
                </w:p>
              </w:tc>
            </w:tr>
            <w:tr w14:paraId="5890D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dxa"/>
                  <w:vMerge w:val="restart"/>
                  <w:vAlign w:val="center"/>
                </w:tcPr>
                <w:p w14:paraId="62525A8F">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1</w:t>
                  </w:r>
                </w:p>
              </w:tc>
              <w:tc>
                <w:tcPr>
                  <w:tcW w:w="1125" w:type="dxa"/>
                  <w:vMerge w:val="restart"/>
                  <w:vAlign w:val="center"/>
                </w:tcPr>
                <w:p w14:paraId="1C5D330D">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sz w:val="21"/>
                      <w:szCs w:val="21"/>
                      <w:highlight w:val="none"/>
                    </w:rPr>
                    <w:t>总悬浮颗粒物</w:t>
                  </w:r>
                </w:p>
              </w:tc>
              <w:tc>
                <w:tcPr>
                  <w:tcW w:w="2214" w:type="dxa"/>
                  <w:vMerge w:val="restart"/>
                  <w:vAlign w:val="center"/>
                </w:tcPr>
                <w:p w14:paraId="5752956E">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rPr>
                  </w:pPr>
                  <w:r>
                    <w:rPr>
                      <w:rFonts w:hint="default" w:ascii="Times New Roman" w:hAnsi="Times New Roman" w:eastAsia="宋体" w:cs="Times New Roman"/>
                      <w:snapToGrid w:val="0"/>
                      <w:color w:val="auto"/>
                      <w:sz w:val="21"/>
                      <w:szCs w:val="21"/>
                      <w:highlight w:val="none"/>
                    </w:rPr>
                    <w:t>《环境空气 总悬浮颗粒物的测定重量法》HJ1263-2022</w:t>
                  </w:r>
                </w:p>
              </w:tc>
              <w:tc>
                <w:tcPr>
                  <w:tcW w:w="898" w:type="dxa"/>
                  <w:vMerge w:val="restart"/>
                  <w:vAlign w:val="center"/>
                </w:tcPr>
                <w:p w14:paraId="22F876C9">
                  <w:pPr>
                    <w:pStyle w:val="15"/>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0.007</w:t>
                  </w:r>
                </w:p>
                <w:p w14:paraId="61B87BE0">
                  <w:pPr>
                    <w:pStyle w:val="15"/>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SA"/>
                    </w:rPr>
                    <w:t>mg/m</w:t>
                  </w:r>
                  <w:r>
                    <w:rPr>
                      <w:rFonts w:hint="default" w:ascii="Times New Roman" w:hAnsi="Times New Roman" w:eastAsia="宋体" w:cs="Times New Roman"/>
                      <w:snapToGrid w:val="0"/>
                      <w:color w:val="auto"/>
                      <w:kern w:val="0"/>
                      <w:sz w:val="21"/>
                      <w:szCs w:val="21"/>
                      <w:highlight w:val="none"/>
                      <w:vertAlign w:val="superscript"/>
                      <w:lang w:val="en-US" w:eastAsia="zh-CN" w:bidi="ar-SA"/>
                    </w:rPr>
                    <w:t>3</w:t>
                  </w:r>
                </w:p>
              </w:tc>
              <w:tc>
                <w:tcPr>
                  <w:tcW w:w="1862" w:type="dxa"/>
                  <w:shd w:val="clear" w:color="auto" w:fill="auto"/>
                  <w:vAlign w:val="center"/>
                </w:tcPr>
                <w:p w14:paraId="209929EC">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恒温恒流大气/颗粒物采样器MH1205</w:t>
                  </w:r>
                </w:p>
              </w:tc>
              <w:tc>
                <w:tcPr>
                  <w:tcW w:w="1380" w:type="dxa"/>
                  <w:shd w:val="clear" w:color="auto" w:fill="auto"/>
                  <w:vAlign w:val="center"/>
                </w:tcPr>
                <w:p w14:paraId="46B17A8C">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MH</w:t>
                  </w:r>
                  <w:r>
                    <w:rPr>
                      <w:rFonts w:hint="eastAsia" w:ascii="Times New Roman" w:hAnsi="Times New Roman" w:eastAsia="宋体" w:cs="Times New Roman"/>
                      <w:snapToGrid w:val="0"/>
                      <w:color w:val="auto"/>
                      <w:sz w:val="21"/>
                      <w:szCs w:val="21"/>
                      <w:highlight w:val="none"/>
                      <w:lang w:val="en-US" w:eastAsia="zh-CN"/>
                    </w:rPr>
                    <w:t>190</w:t>
                  </w:r>
                </w:p>
              </w:tc>
            </w:tr>
            <w:tr w14:paraId="21799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dxa"/>
                  <w:vMerge w:val="continue"/>
                  <w:vAlign w:val="center"/>
                </w:tcPr>
                <w:p w14:paraId="2EB5F60F">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1125" w:type="dxa"/>
                  <w:vMerge w:val="continue"/>
                  <w:vAlign w:val="center"/>
                </w:tcPr>
                <w:p w14:paraId="4B331605">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p>
              </w:tc>
              <w:tc>
                <w:tcPr>
                  <w:tcW w:w="2214" w:type="dxa"/>
                  <w:vMerge w:val="continue"/>
                  <w:vAlign w:val="center"/>
                </w:tcPr>
                <w:p w14:paraId="2118A30D">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rPr>
                  </w:pPr>
                </w:p>
              </w:tc>
              <w:tc>
                <w:tcPr>
                  <w:tcW w:w="898" w:type="dxa"/>
                  <w:vMerge w:val="continue"/>
                  <w:vAlign w:val="center"/>
                </w:tcPr>
                <w:p w14:paraId="0E5B5DC8">
                  <w:pPr>
                    <w:pStyle w:val="15"/>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1862" w:type="dxa"/>
                  <w:shd w:val="clear" w:color="auto" w:fill="auto"/>
                  <w:vAlign w:val="center"/>
                </w:tcPr>
                <w:p w14:paraId="1B8E89F5">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恒温恒湿</w:t>
                  </w:r>
                </w:p>
                <w:p w14:paraId="1A0EE365">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称重系统</w:t>
                  </w:r>
                </w:p>
                <w:p w14:paraId="587792C7">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HJ-240N</w:t>
                  </w:r>
                </w:p>
              </w:tc>
              <w:tc>
                <w:tcPr>
                  <w:tcW w:w="1380" w:type="dxa"/>
                  <w:shd w:val="clear" w:color="auto" w:fill="auto"/>
                  <w:vAlign w:val="center"/>
                </w:tcPr>
                <w:p w14:paraId="3E7889AE">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MH057</w:t>
                  </w:r>
                </w:p>
              </w:tc>
            </w:tr>
            <w:tr w14:paraId="47882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8" w:type="dxa"/>
                  <w:vMerge w:val="continue"/>
                  <w:vAlign w:val="center"/>
                </w:tcPr>
                <w:p w14:paraId="13F83E41">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125" w:type="dxa"/>
                  <w:vMerge w:val="continue"/>
                  <w:vAlign w:val="center"/>
                </w:tcPr>
                <w:p w14:paraId="36FEB8CC">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2214" w:type="dxa"/>
                  <w:vMerge w:val="continue"/>
                  <w:vAlign w:val="center"/>
                </w:tcPr>
                <w:p w14:paraId="14A333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98" w:type="dxa"/>
                  <w:vMerge w:val="continue"/>
                  <w:vAlign w:val="center"/>
                </w:tcPr>
                <w:p w14:paraId="20D1FC60">
                  <w:pPr>
                    <w:pStyle w:val="15"/>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862" w:type="dxa"/>
                  <w:shd w:val="clear" w:color="auto" w:fill="auto"/>
                  <w:vAlign w:val="center"/>
                </w:tcPr>
                <w:p w14:paraId="1CCEC22D">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电子天平ME55/02</w:t>
                  </w:r>
                </w:p>
              </w:tc>
              <w:tc>
                <w:tcPr>
                  <w:tcW w:w="1380" w:type="dxa"/>
                  <w:shd w:val="clear" w:color="auto" w:fill="auto"/>
                  <w:vAlign w:val="center"/>
                </w:tcPr>
                <w:p w14:paraId="0AFF810E">
                  <w:pPr>
                    <w:keepNext w:val="0"/>
                    <w:keepLines w:val="0"/>
                    <w:pageBreakBefore w:val="0"/>
                    <w:kinsoku/>
                    <w:wordWrap/>
                    <w:overflowPunct/>
                    <w:autoSpaceDN/>
                    <w:bidi w:val="0"/>
                    <w:adjustRightInd/>
                    <w:snapToGrid/>
                    <w:spacing w:line="240" w:lineRule="auto"/>
                    <w:ind w:firstLine="0" w:firstLineChars="0"/>
                    <w:jc w:val="center"/>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snapToGrid w:val="0"/>
                      <w:color w:val="auto"/>
                      <w:sz w:val="21"/>
                      <w:szCs w:val="21"/>
                      <w:highlight w:val="none"/>
                      <w:lang w:val="en-US" w:eastAsia="zh-CN"/>
                    </w:rPr>
                    <w:t>MH056</w:t>
                  </w:r>
                </w:p>
              </w:tc>
            </w:tr>
            <w:bookmarkEnd w:id="2"/>
          </w:tbl>
          <w:p w14:paraId="4215A96A">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、气象条件</w:t>
            </w:r>
          </w:p>
          <w:p w14:paraId="79F9ACBB">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监测期间气象条件见下表。</w:t>
            </w:r>
          </w:p>
          <w:p w14:paraId="4A09F4C8">
            <w:pPr>
              <w:pStyle w:val="5"/>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napToGrid w:val="0"/>
                <w:color w:val="auto"/>
                <w:sz w:val="24"/>
                <w:szCs w:val="24"/>
                <w:highlight w:val="none"/>
              </w:rPr>
              <w:t>表</w:t>
            </w:r>
            <w:r>
              <w:rPr>
                <w:rFonts w:hint="default" w:ascii="Times New Roman" w:hAnsi="Times New Roman" w:eastAsia="宋体" w:cs="Times New Roman"/>
                <w:snapToGrid w:val="0"/>
                <w:color w:val="auto"/>
                <w:sz w:val="24"/>
                <w:szCs w:val="24"/>
                <w:highlight w:val="none"/>
                <w:lang w:val="en-US" w:eastAsia="zh-CN"/>
              </w:rPr>
              <w:t>3</w:t>
            </w:r>
            <w:r>
              <w:rPr>
                <w:rFonts w:hint="default" w:ascii="Times New Roman" w:hAnsi="Times New Roman" w:eastAsia="宋体" w:cs="Times New Roman"/>
                <w:snapToGrid w:val="0"/>
                <w:color w:val="auto"/>
                <w:sz w:val="24"/>
                <w:szCs w:val="24"/>
                <w:highlight w:val="none"/>
              </w:rPr>
              <w:t>-4</w:t>
            </w:r>
            <w:r>
              <w:rPr>
                <w:rFonts w:hint="default" w:ascii="Times New Roman" w:hAnsi="Times New Roman" w:eastAsia="宋体" w:cs="Times New Roman"/>
                <w:snapToGrid w:val="0"/>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监测期间气象参数一览表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2"/>
              <w:gridCol w:w="1244"/>
              <w:gridCol w:w="613"/>
              <w:gridCol w:w="978"/>
              <w:gridCol w:w="1301"/>
              <w:gridCol w:w="1132"/>
              <w:gridCol w:w="1028"/>
            </w:tblGrid>
            <w:tr w14:paraId="47AAA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136" w:type="pct"/>
                  <w:noWrap w:val="0"/>
                  <w:vAlign w:val="center"/>
                </w:tcPr>
                <w:p w14:paraId="2BEEF6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kern w:val="0"/>
                      <w:sz w:val="21"/>
                      <w:szCs w:val="21"/>
                    </w:rPr>
                    <w:t>检测</w:t>
                  </w:r>
                  <w:r>
                    <w:rPr>
                      <w:rFonts w:hint="default" w:ascii="Times New Roman" w:hAnsi="Times New Roman" w:eastAsia="宋体" w:cs="Times New Roman"/>
                      <w:b/>
                      <w:bCs/>
                      <w:color w:val="auto"/>
                      <w:kern w:val="0"/>
                      <w:sz w:val="21"/>
                      <w:szCs w:val="21"/>
                      <w:lang w:val="en-US" w:eastAsia="zh-CN"/>
                    </w:rPr>
                    <w:t>日期</w:t>
                  </w:r>
                </w:p>
              </w:tc>
              <w:tc>
                <w:tcPr>
                  <w:tcW w:w="763" w:type="pct"/>
                  <w:noWrap w:val="0"/>
                  <w:vAlign w:val="center"/>
                </w:tcPr>
                <w:p w14:paraId="02CAD8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检测</w:t>
                  </w:r>
                  <w:r>
                    <w:rPr>
                      <w:rFonts w:hint="eastAsia" w:ascii="Times New Roman" w:hAnsi="Times New Roman" w:cs="Times New Roman"/>
                      <w:b/>
                      <w:bCs/>
                      <w:color w:val="auto"/>
                      <w:sz w:val="21"/>
                      <w:szCs w:val="21"/>
                      <w:vertAlign w:val="baseline"/>
                      <w:lang w:val="en-US" w:eastAsia="zh-CN"/>
                    </w:rPr>
                    <w:t>时段</w:t>
                  </w:r>
                </w:p>
              </w:tc>
              <w:tc>
                <w:tcPr>
                  <w:tcW w:w="376" w:type="pct"/>
                  <w:noWrap w:val="0"/>
                  <w:vAlign w:val="center"/>
                </w:tcPr>
                <w:p w14:paraId="0C8C9C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天气</w:t>
                  </w:r>
                </w:p>
              </w:tc>
              <w:tc>
                <w:tcPr>
                  <w:tcW w:w="600" w:type="pct"/>
                  <w:noWrap w:val="0"/>
                  <w:vAlign w:val="center"/>
                </w:tcPr>
                <w:p w14:paraId="4C4DF6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气温（℃）</w:t>
                  </w:r>
                </w:p>
              </w:tc>
              <w:tc>
                <w:tcPr>
                  <w:tcW w:w="798" w:type="pct"/>
                  <w:noWrap w:val="0"/>
                  <w:vAlign w:val="center"/>
                </w:tcPr>
                <w:p w14:paraId="578482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气压（</w:t>
                  </w:r>
                  <w:r>
                    <w:rPr>
                      <w:rFonts w:hint="eastAsia" w:ascii="Times New Roman" w:hAnsi="Times New Roman" w:cs="Times New Roman"/>
                      <w:b/>
                      <w:bCs/>
                      <w:color w:val="auto"/>
                      <w:sz w:val="21"/>
                      <w:szCs w:val="21"/>
                      <w:vertAlign w:val="baseline"/>
                      <w:lang w:val="en-US" w:eastAsia="zh-CN"/>
                    </w:rPr>
                    <w:t>k</w:t>
                  </w:r>
                  <w:r>
                    <w:rPr>
                      <w:rFonts w:hint="default" w:ascii="Times New Roman" w:hAnsi="Times New Roman" w:eastAsia="宋体" w:cs="Times New Roman"/>
                      <w:b/>
                      <w:bCs/>
                      <w:color w:val="auto"/>
                      <w:sz w:val="21"/>
                      <w:szCs w:val="21"/>
                      <w:vertAlign w:val="baseline"/>
                      <w:lang w:val="en-US" w:eastAsia="zh-CN"/>
                    </w:rPr>
                    <w:t>Pa）</w:t>
                  </w:r>
                </w:p>
              </w:tc>
              <w:tc>
                <w:tcPr>
                  <w:tcW w:w="694" w:type="pct"/>
                  <w:noWrap w:val="0"/>
                  <w:vAlign w:val="center"/>
                </w:tcPr>
                <w:p w14:paraId="2CA217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风向</w:t>
                  </w:r>
                </w:p>
              </w:tc>
              <w:tc>
                <w:tcPr>
                  <w:tcW w:w="630" w:type="pct"/>
                  <w:noWrap w:val="0"/>
                  <w:vAlign w:val="center"/>
                </w:tcPr>
                <w:p w14:paraId="384353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风速（m/s）</w:t>
                  </w:r>
                </w:p>
              </w:tc>
            </w:tr>
            <w:tr w14:paraId="19092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6" w:type="pct"/>
                  <w:noWrap w:val="0"/>
                  <w:vAlign w:val="center"/>
                </w:tcPr>
                <w:p w14:paraId="450203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2025年06月12日-2025年06月13日</w:t>
                  </w:r>
                </w:p>
              </w:tc>
              <w:tc>
                <w:tcPr>
                  <w:tcW w:w="763" w:type="pct"/>
                  <w:noWrap w:val="0"/>
                  <w:vAlign w:val="center"/>
                </w:tcPr>
                <w:p w14:paraId="1DCBCB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08:00-</w:t>
                  </w:r>
                </w:p>
                <w:p w14:paraId="00658B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次日08:00</w:t>
                  </w:r>
                </w:p>
              </w:tc>
              <w:tc>
                <w:tcPr>
                  <w:tcW w:w="376" w:type="pct"/>
                  <w:noWrap w:val="0"/>
                  <w:vAlign w:val="center"/>
                </w:tcPr>
                <w:p w14:paraId="55CCCB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kern w:val="0"/>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晴</w:t>
                  </w:r>
                </w:p>
              </w:tc>
              <w:tc>
                <w:tcPr>
                  <w:tcW w:w="600" w:type="pct"/>
                  <w:noWrap w:val="0"/>
                  <w:vAlign w:val="center"/>
                </w:tcPr>
                <w:p w14:paraId="580ED7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eastAsia" w:ascii="Times New Roman" w:hAnsi="Times New Roman" w:eastAsia="宋体" w:cs="Times New Roman"/>
                      <w:b w:val="0"/>
                      <w:bCs/>
                      <w:color w:val="auto"/>
                      <w:kern w:val="0"/>
                      <w:sz w:val="21"/>
                      <w:szCs w:val="21"/>
                      <w:vertAlign w:val="baseline"/>
                      <w:lang w:val="en-US" w:eastAsia="zh-CN" w:bidi="ar-SA"/>
                    </w:rPr>
                    <w:t>24.6</w:t>
                  </w:r>
                </w:p>
              </w:tc>
              <w:tc>
                <w:tcPr>
                  <w:tcW w:w="798" w:type="pct"/>
                  <w:noWrap w:val="0"/>
                  <w:vAlign w:val="center"/>
                </w:tcPr>
                <w:p w14:paraId="19B54B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88.26</w:t>
                  </w:r>
                </w:p>
              </w:tc>
              <w:tc>
                <w:tcPr>
                  <w:tcW w:w="694" w:type="pct"/>
                  <w:noWrap w:val="0"/>
                  <w:vAlign w:val="center"/>
                </w:tcPr>
                <w:p w14:paraId="2691B6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西北风</w:t>
                  </w:r>
                </w:p>
              </w:tc>
              <w:tc>
                <w:tcPr>
                  <w:tcW w:w="630" w:type="pct"/>
                  <w:noWrap w:val="0"/>
                  <w:vAlign w:val="center"/>
                </w:tcPr>
                <w:p w14:paraId="65EEE5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kern w:val="2"/>
                      <w:sz w:val="21"/>
                      <w:szCs w:val="21"/>
                      <w:vertAlign w:val="baseline"/>
                      <w:lang w:val="en-US" w:eastAsia="zh-CN" w:bidi="ar-SA"/>
                    </w:rPr>
                    <w:t>2.4</w:t>
                  </w:r>
                </w:p>
              </w:tc>
            </w:tr>
            <w:tr w14:paraId="18AB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6" w:type="pct"/>
                  <w:noWrap w:val="0"/>
                  <w:vAlign w:val="center"/>
                </w:tcPr>
                <w:p w14:paraId="067662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2025年06月13日-2025年06月14日</w:t>
                  </w:r>
                </w:p>
              </w:tc>
              <w:tc>
                <w:tcPr>
                  <w:tcW w:w="763" w:type="pct"/>
                  <w:noWrap w:val="0"/>
                  <w:vAlign w:val="center"/>
                </w:tcPr>
                <w:p w14:paraId="45EFC4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08:10-</w:t>
                  </w:r>
                </w:p>
                <w:p w14:paraId="0E4F27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次日08:10</w:t>
                  </w:r>
                </w:p>
              </w:tc>
              <w:tc>
                <w:tcPr>
                  <w:tcW w:w="376" w:type="pct"/>
                  <w:noWrap w:val="0"/>
                  <w:vAlign w:val="center"/>
                </w:tcPr>
                <w:p w14:paraId="0338AE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晴</w:t>
                  </w:r>
                </w:p>
              </w:tc>
              <w:tc>
                <w:tcPr>
                  <w:tcW w:w="600" w:type="pct"/>
                  <w:noWrap w:val="0"/>
                  <w:vAlign w:val="center"/>
                </w:tcPr>
                <w:p w14:paraId="3A67ED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eastAsia" w:ascii="Times New Roman" w:hAnsi="Times New Roman" w:eastAsia="宋体" w:cs="Times New Roman"/>
                      <w:b w:val="0"/>
                      <w:bCs/>
                      <w:color w:val="auto"/>
                      <w:kern w:val="0"/>
                      <w:sz w:val="21"/>
                      <w:szCs w:val="21"/>
                      <w:vertAlign w:val="baseline"/>
                      <w:lang w:val="en-US" w:eastAsia="zh-CN" w:bidi="ar-SA"/>
                    </w:rPr>
                    <w:t>20.8</w:t>
                  </w:r>
                </w:p>
              </w:tc>
              <w:tc>
                <w:tcPr>
                  <w:tcW w:w="798" w:type="pct"/>
                  <w:noWrap w:val="0"/>
                  <w:vAlign w:val="center"/>
                </w:tcPr>
                <w:p w14:paraId="39C13E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88.33</w:t>
                  </w:r>
                </w:p>
              </w:tc>
              <w:tc>
                <w:tcPr>
                  <w:tcW w:w="694" w:type="pct"/>
                  <w:noWrap w:val="0"/>
                  <w:vAlign w:val="center"/>
                </w:tcPr>
                <w:p w14:paraId="3F7AC4F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西北风</w:t>
                  </w:r>
                </w:p>
              </w:tc>
              <w:tc>
                <w:tcPr>
                  <w:tcW w:w="630" w:type="pct"/>
                  <w:noWrap w:val="0"/>
                  <w:vAlign w:val="center"/>
                </w:tcPr>
                <w:p w14:paraId="4A3985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kern w:val="2"/>
                      <w:sz w:val="21"/>
                      <w:szCs w:val="21"/>
                      <w:vertAlign w:val="baseline"/>
                      <w:lang w:val="en-US" w:eastAsia="zh-CN" w:bidi="ar-SA"/>
                    </w:rPr>
                    <w:t>2.1</w:t>
                  </w:r>
                </w:p>
              </w:tc>
            </w:tr>
            <w:tr w14:paraId="71E44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6" w:type="pct"/>
                  <w:noWrap w:val="0"/>
                  <w:vAlign w:val="center"/>
                </w:tcPr>
                <w:p w14:paraId="5C55F6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2025年06月14日-2025年06月15日</w:t>
                  </w:r>
                </w:p>
              </w:tc>
              <w:tc>
                <w:tcPr>
                  <w:tcW w:w="763" w:type="pct"/>
                  <w:noWrap w:val="0"/>
                  <w:vAlign w:val="center"/>
                </w:tcPr>
                <w:p w14:paraId="5E8017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08:20-</w:t>
                  </w:r>
                </w:p>
                <w:p w14:paraId="73B792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次日08:20</w:t>
                  </w:r>
                </w:p>
              </w:tc>
              <w:tc>
                <w:tcPr>
                  <w:tcW w:w="376" w:type="pct"/>
                  <w:noWrap w:val="0"/>
                  <w:vAlign w:val="center"/>
                </w:tcPr>
                <w:p w14:paraId="100A7B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vertAlign w:val="baseline"/>
                      <w:lang w:val="en-US" w:eastAsia="zh-CN"/>
                    </w:rPr>
                  </w:pPr>
                  <w:r>
                    <w:rPr>
                      <w:rFonts w:hint="eastAsia" w:ascii="Times New Roman" w:hAnsi="Times New Roman" w:cs="Times New Roman"/>
                      <w:b w:val="0"/>
                      <w:bCs/>
                      <w:color w:val="auto"/>
                      <w:kern w:val="0"/>
                      <w:sz w:val="21"/>
                      <w:szCs w:val="21"/>
                      <w:vertAlign w:val="baseline"/>
                      <w:lang w:val="en-US" w:eastAsia="zh-CN"/>
                    </w:rPr>
                    <w:t>晴</w:t>
                  </w:r>
                </w:p>
              </w:tc>
              <w:tc>
                <w:tcPr>
                  <w:tcW w:w="600" w:type="pct"/>
                  <w:noWrap w:val="0"/>
                  <w:vAlign w:val="center"/>
                </w:tcPr>
                <w:p w14:paraId="1544A0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vertAlign w:val="baseline"/>
                      <w:lang w:val="en-US" w:eastAsia="zh-CN" w:bidi="ar-SA"/>
                    </w:rPr>
                  </w:pPr>
                  <w:r>
                    <w:rPr>
                      <w:rFonts w:hint="eastAsia" w:ascii="Times New Roman" w:hAnsi="Times New Roman" w:eastAsia="宋体" w:cs="Times New Roman"/>
                      <w:b w:val="0"/>
                      <w:bCs/>
                      <w:color w:val="auto"/>
                      <w:kern w:val="0"/>
                      <w:sz w:val="21"/>
                      <w:szCs w:val="21"/>
                      <w:vertAlign w:val="baseline"/>
                      <w:lang w:val="en-US" w:eastAsia="zh-CN" w:bidi="ar-SA"/>
                    </w:rPr>
                    <w:t>23.9</w:t>
                  </w:r>
                </w:p>
              </w:tc>
              <w:tc>
                <w:tcPr>
                  <w:tcW w:w="798" w:type="pct"/>
                  <w:noWrap w:val="0"/>
                  <w:vAlign w:val="center"/>
                </w:tcPr>
                <w:p w14:paraId="27AAA8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88.30</w:t>
                  </w:r>
                </w:p>
              </w:tc>
              <w:tc>
                <w:tcPr>
                  <w:tcW w:w="694" w:type="pct"/>
                  <w:noWrap w:val="0"/>
                  <w:vAlign w:val="center"/>
                </w:tcPr>
                <w:p w14:paraId="30CC67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西北风</w:t>
                  </w:r>
                </w:p>
              </w:tc>
              <w:tc>
                <w:tcPr>
                  <w:tcW w:w="630" w:type="pct"/>
                  <w:noWrap w:val="0"/>
                  <w:vAlign w:val="center"/>
                </w:tcPr>
                <w:p w14:paraId="264CFD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vertAlign w:val="baseline"/>
                      <w:lang w:val="en-US" w:eastAsia="zh-CN" w:bidi="ar-SA"/>
                    </w:rPr>
                  </w:pPr>
                  <w:r>
                    <w:rPr>
                      <w:rFonts w:hint="eastAsia" w:ascii="Times New Roman" w:hAnsi="Times New Roman" w:cs="Times New Roman"/>
                      <w:color w:val="auto"/>
                      <w:kern w:val="2"/>
                      <w:sz w:val="21"/>
                      <w:szCs w:val="21"/>
                      <w:vertAlign w:val="baseline"/>
                      <w:lang w:val="en-US" w:eastAsia="zh-CN" w:bidi="ar-SA"/>
                    </w:rPr>
                    <w:t>2.0</w:t>
                  </w:r>
                </w:p>
              </w:tc>
            </w:tr>
          </w:tbl>
          <w:p w14:paraId="6DD90E62">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环境空气质量现状</w:t>
            </w:r>
          </w:p>
          <w:p w14:paraId="37899A9F">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项目其他污染物环境质量现状，见下表。</w:t>
            </w:r>
          </w:p>
          <w:p w14:paraId="01519A76">
            <w:pPr>
              <w:pStyle w:val="5"/>
              <w:keepNext/>
              <w:keepLines/>
              <w:pageBreakBefore w:val="0"/>
              <w:widowControl w:val="0"/>
              <w:kinsoku/>
              <w:wordWrap/>
              <w:overflowPunct/>
              <w:topLinePunct/>
              <w:autoSpaceDE w:val="0"/>
              <w:autoSpaceDN/>
              <w:bidi w:val="0"/>
              <w:adjustRightInd/>
              <w:snapToGrid w:val="0"/>
              <w:spacing w:line="360" w:lineRule="auto"/>
              <w:ind w:left="0" w:leftChars="0" w:right="0" w:rightChars="0" w:firstLine="0" w:firstLineChars="0"/>
              <w:textAlignment w:val="auto"/>
              <w:rPr>
                <w:rFonts w:hint="default" w:ascii="Times New Roman" w:hAnsi="Times New Roman" w:eastAsia="宋体" w:cs="Times New Roman"/>
                <w:snapToGrid w:val="0"/>
                <w:color w:val="auto"/>
                <w:sz w:val="24"/>
                <w:szCs w:val="24"/>
                <w:highlight w:val="none"/>
              </w:rPr>
            </w:pPr>
            <w:r>
              <w:rPr>
                <w:rFonts w:hint="default" w:ascii="Times New Roman" w:hAnsi="Times New Roman" w:eastAsia="宋体" w:cs="Times New Roman"/>
                <w:snapToGrid w:val="0"/>
                <w:color w:val="auto"/>
                <w:sz w:val="24"/>
                <w:szCs w:val="24"/>
                <w:highlight w:val="none"/>
              </w:rPr>
              <w:t>表</w:t>
            </w:r>
            <w:r>
              <w:rPr>
                <w:rFonts w:hint="default" w:ascii="Times New Roman" w:hAnsi="Times New Roman" w:eastAsia="宋体" w:cs="Times New Roman"/>
                <w:snapToGrid w:val="0"/>
                <w:color w:val="auto"/>
                <w:sz w:val="24"/>
                <w:szCs w:val="24"/>
                <w:highlight w:val="none"/>
                <w:lang w:val="en-US" w:eastAsia="zh-CN"/>
              </w:rPr>
              <w:t>3</w:t>
            </w:r>
            <w:r>
              <w:rPr>
                <w:rFonts w:hint="default" w:ascii="Times New Roman" w:hAnsi="Times New Roman" w:eastAsia="宋体" w:cs="Times New Roman"/>
                <w:snapToGrid w:val="0"/>
                <w:color w:val="auto"/>
                <w:sz w:val="24"/>
                <w:szCs w:val="24"/>
                <w:highlight w:val="none"/>
              </w:rPr>
              <w:t>-5</w:t>
            </w:r>
            <w:r>
              <w:rPr>
                <w:rFonts w:hint="default" w:ascii="Times New Roman" w:hAnsi="Times New Roman" w:eastAsia="宋体" w:cs="Times New Roman"/>
                <w:snapToGrid w:val="0"/>
                <w:color w:val="auto"/>
                <w:sz w:val="24"/>
                <w:szCs w:val="24"/>
                <w:highlight w:val="none"/>
                <w:lang w:val="en-US" w:eastAsia="zh-CN"/>
              </w:rPr>
              <w:t xml:space="preserve">  </w:t>
            </w:r>
            <w:r>
              <w:rPr>
                <w:rFonts w:hint="default" w:ascii="Times New Roman" w:hAnsi="Times New Roman" w:eastAsia="宋体" w:cs="Times New Roman"/>
                <w:snapToGrid w:val="0"/>
                <w:color w:val="auto"/>
                <w:sz w:val="24"/>
                <w:szCs w:val="24"/>
                <w:highlight w:val="none"/>
              </w:rPr>
              <w:t>项目其他污染物环境质量现状表</w:t>
            </w:r>
          </w:p>
          <w:tbl>
            <w:tblPr>
              <w:tblStyle w:val="25"/>
              <w:tblW w:w="827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34"/>
              <w:gridCol w:w="702"/>
              <w:gridCol w:w="1515"/>
              <w:gridCol w:w="735"/>
              <w:gridCol w:w="1186"/>
              <w:gridCol w:w="1035"/>
              <w:gridCol w:w="1035"/>
              <w:gridCol w:w="1035"/>
            </w:tblGrid>
            <w:tr w14:paraId="4A5464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14:paraId="5A951E59">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702" w:type="dxa"/>
                  <w:tcBorders>
                    <w:top w:val="single" w:color="auto" w:sz="4" w:space="0"/>
                    <w:left w:val="single" w:color="auto" w:sz="4" w:space="0"/>
                    <w:bottom w:val="single" w:color="auto" w:sz="4" w:space="0"/>
                    <w:right w:val="single" w:color="auto" w:sz="4" w:space="0"/>
                  </w:tcBorders>
                  <w:vAlign w:val="center"/>
                </w:tcPr>
                <w:p w14:paraId="10C9E158">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有效天数</w:t>
                  </w:r>
                </w:p>
              </w:tc>
              <w:tc>
                <w:tcPr>
                  <w:tcW w:w="1515" w:type="dxa"/>
                  <w:tcBorders>
                    <w:top w:val="single" w:color="auto" w:sz="4" w:space="0"/>
                    <w:left w:val="single" w:color="auto" w:sz="4" w:space="0"/>
                    <w:bottom w:val="single" w:color="auto" w:sz="4" w:space="0"/>
                    <w:right w:val="single" w:color="auto" w:sz="4" w:space="0"/>
                  </w:tcBorders>
                  <w:vAlign w:val="center"/>
                </w:tcPr>
                <w:p w14:paraId="26A77A4B">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浓度范围</w:t>
                  </w:r>
                </w:p>
              </w:tc>
              <w:tc>
                <w:tcPr>
                  <w:tcW w:w="1921" w:type="dxa"/>
                  <w:gridSpan w:val="2"/>
                  <w:tcBorders>
                    <w:top w:val="single" w:color="auto" w:sz="4" w:space="0"/>
                    <w:left w:val="single" w:color="auto" w:sz="4" w:space="0"/>
                    <w:bottom w:val="single" w:color="auto" w:sz="4" w:space="0"/>
                    <w:right w:val="single" w:color="auto" w:sz="4" w:space="0"/>
                  </w:tcBorders>
                  <w:vAlign w:val="center"/>
                </w:tcPr>
                <w:p w14:paraId="0F6363F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w:t>
                  </w:r>
                </w:p>
              </w:tc>
              <w:tc>
                <w:tcPr>
                  <w:tcW w:w="1035" w:type="dxa"/>
                  <w:tcBorders>
                    <w:top w:val="single" w:color="auto" w:sz="4" w:space="0"/>
                    <w:left w:val="single" w:color="auto" w:sz="4" w:space="0"/>
                    <w:bottom w:val="single" w:color="auto" w:sz="4" w:space="0"/>
                    <w:right w:val="single" w:color="auto" w:sz="4" w:space="0"/>
                  </w:tcBorders>
                  <w:vAlign w:val="center"/>
                </w:tcPr>
                <w:p w14:paraId="3840185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1035" w:type="dxa"/>
                  <w:tcBorders>
                    <w:top w:val="single" w:color="auto" w:sz="4" w:space="0"/>
                    <w:left w:val="single" w:color="auto" w:sz="4" w:space="0"/>
                    <w:bottom w:val="single" w:color="auto" w:sz="4" w:space="0"/>
                    <w:right w:val="single" w:color="auto" w:sz="4" w:space="0"/>
                  </w:tcBorders>
                  <w:vAlign w:val="center"/>
                </w:tcPr>
                <w:p w14:paraId="040984B6">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超标率</w:t>
                  </w:r>
                </w:p>
              </w:tc>
              <w:tc>
                <w:tcPr>
                  <w:tcW w:w="1035" w:type="dxa"/>
                  <w:tcBorders>
                    <w:top w:val="single" w:color="auto" w:sz="4" w:space="0"/>
                    <w:left w:val="single" w:color="auto" w:sz="4" w:space="0"/>
                    <w:bottom w:val="single" w:color="auto" w:sz="4" w:space="0"/>
                    <w:right w:val="single" w:color="auto" w:sz="4" w:space="0"/>
                  </w:tcBorders>
                  <w:vAlign w:val="center"/>
                </w:tcPr>
                <w:p w14:paraId="323CA5BF">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最大超标倍数</w:t>
                  </w:r>
                </w:p>
              </w:tc>
            </w:tr>
            <w:tr w14:paraId="56FCEF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34" w:type="dxa"/>
                  <w:tcBorders>
                    <w:top w:val="single" w:color="auto" w:sz="4" w:space="0"/>
                    <w:left w:val="single" w:color="auto" w:sz="4" w:space="0"/>
                    <w:bottom w:val="single" w:color="auto" w:sz="4" w:space="0"/>
                    <w:right w:val="single" w:color="auto" w:sz="4" w:space="0"/>
                  </w:tcBorders>
                  <w:vAlign w:val="center"/>
                </w:tcPr>
                <w:p w14:paraId="3E5CCC8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702" w:type="dxa"/>
                  <w:tcBorders>
                    <w:top w:val="single" w:color="auto" w:sz="4" w:space="0"/>
                    <w:left w:val="single" w:color="auto" w:sz="4" w:space="0"/>
                    <w:bottom w:val="single" w:color="auto" w:sz="4" w:space="0"/>
                    <w:right w:val="single" w:color="auto" w:sz="4" w:space="0"/>
                  </w:tcBorders>
                  <w:vAlign w:val="center"/>
                </w:tcPr>
                <w:p w14:paraId="39C8E2D3">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w:t>
                  </w:r>
                </w:p>
              </w:tc>
              <w:tc>
                <w:tcPr>
                  <w:tcW w:w="1515" w:type="dxa"/>
                  <w:tcBorders>
                    <w:top w:val="single" w:color="auto" w:sz="4" w:space="0"/>
                    <w:left w:val="single" w:color="auto" w:sz="4" w:space="0"/>
                    <w:bottom w:val="single" w:color="auto" w:sz="4" w:space="0"/>
                    <w:right w:val="single" w:color="auto" w:sz="4" w:space="0"/>
                  </w:tcBorders>
                  <w:vAlign w:val="center"/>
                </w:tcPr>
                <w:p w14:paraId="3098473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0.180</w:t>
                  </w:r>
                  <w:r>
                    <w:rPr>
                      <w:rFonts w:hint="default" w:ascii="Times New Roman" w:hAnsi="Times New Roman" w:eastAsia="宋体" w:cs="Times New Roman"/>
                      <w:color w:val="auto"/>
                      <w:sz w:val="21"/>
                      <w:szCs w:val="21"/>
                      <w:highlight w:val="none"/>
                      <w:lang w:val="en-US" w:eastAsia="zh-CN"/>
                    </w:rPr>
                    <w:t>~0.1</w:t>
                  </w:r>
                  <w:r>
                    <w:rPr>
                      <w:rFonts w:hint="eastAsia" w:ascii="Times New Roman" w:hAnsi="Times New Roman" w:eastAsia="宋体" w:cs="Times New Roman"/>
                      <w:color w:val="auto"/>
                      <w:sz w:val="21"/>
                      <w:szCs w:val="21"/>
                      <w:highlight w:val="none"/>
                      <w:lang w:val="en-US" w:eastAsia="zh-CN"/>
                    </w:rPr>
                    <w:t>89</w:t>
                  </w:r>
                </w:p>
                <w:p w14:paraId="64FD1260">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735" w:type="dxa"/>
                  <w:tcBorders>
                    <w:top w:val="single" w:color="auto" w:sz="4" w:space="0"/>
                    <w:left w:val="single" w:color="auto" w:sz="4" w:space="0"/>
                    <w:bottom w:val="single" w:color="auto" w:sz="4" w:space="0"/>
                    <w:right w:val="single" w:color="auto" w:sz="4" w:space="0"/>
                  </w:tcBorders>
                  <w:vAlign w:val="center"/>
                </w:tcPr>
                <w:p w14:paraId="6FB8F0BC">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日均</w:t>
                  </w:r>
                </w:p>
              </w:tc>
              <w:tc>
                <w:tcPr>
                  <w:tcW w:w="1186" w:type="dxa"/>
                  <w:tcBorders>
                    <w:top w:val="single" w:color="auto" w:sz="4" w:space="0"/>
                    <w:left w:val="single" w:color="auto" w:sz="4" w:space="0"/>
                    <w:bottom w:val="single" w:color="auto" w:sz="4" w:space="0"/>
                    <w:right w:val="single" w:color="auto" w:sz="4" w:space="0"/>
                  </w:tcBorders>
                  <w:vAlign w:val="center"/>
                </w:tcPr>
                <w:p w14:paraId="34D6BF21">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0.3m</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p>
              </w:tc>
              <w:tc>
                <w:tcPr>
                  <w:tcW w:w="1035" w:type="dxa"/>
                  <w:tcBorders>
                    <w:top w:val="single" w:color="auto" w:sz="4" w:space="0"/>
                    <w:left w:val="single" w:color="auto" w:sz="4" w:space="0"/>
                    <w:bottom w:val="single" w:color="auto" w:sz="4" w:space="0"/>
                    <w:right w:val="single" w:color="auto" w:sz="4" w:space="0"/>
                  </w:tcBorders>
                  <w:vAlign w:val="center"/>
                </w:tcPr>
                <w:p w14:paraId="66F024AD">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0.63</w:t>
                  </w:r>
                </w:p>
              </w:tc>
              <w:tc>
                <w:tcPr>
                  <w:tcW w:w="1035" w:type="dxa"/>
                  <w:tcBorders>
                    <w:top w:val="single" w:color="auto" w:sz="4" w:space="0"/>
                    <w:left w:val="single" w:color="auto" w:sz="4" w:space="0"/>
                    <w:bottom w:val="single" w:color="auto" w:sz="4" w:space="0"/>
                    <w:right w:val="single" w:color="auto" w:sz="4" w:space="0"/>
                  </w:tcBorders>
                  <w:vAlign w:val="center"/>
                </w:tcPr>
                <w:p w14:paraId="3954441E">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1035" w:type="dxa"/>
                  <w:tcBorders>
                    <w:top w:val="single" w:color="auto" w:sz="4" w:space="0"/>
                    <w:left w:val="single" w:color="auto" w:sz="4" w:space="0"/>
                    <w:bottom w:val="single" w:color="auto" w:sz="4" w:space="0"/>
                    <w:right w:val="single" w:color="auto" w:sz="4" w:space="0"/>
                  </w:tcBorders>
                  <w:vAlign w:val="center"/>
                </w:tcPr>
                <w:p w14:paraId="1A2E8B44">
                  <w:pPr>
                    <w:keepNext w:val="0"/>
                    <w:keepLines w:val="0"/>
                    <w:pageBreakBefore w:val="0"/>
                    <w:widowControl w:val="0"/>
                    <w:kinsoku/>
                    <w:wordWrap/>
                    <w:overflowPunct/>
                    <w:topLinePunct/>
                    <w:autoSpaceDE w:val="0"/>
                    <w:autoSpaceDN/>
                    <w:bidi w:val="0"/>
                    <w:adjustRightInd/>
                    <w:snapToGrid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14:paraId="5A00C616">
            <w:pPr>
              <w:pageBreakBefore w:val="0"/>
              <w:kinsoku/>
              <w:wordWrap/>
              <w:overflowPunct w:val="0"/>
              <w:autoSpaceDE/>
              <w:bidi w:val="0"/>
              <w:snapToGrid w:val="0"/>
              <w:spacing w:line="360" w:lineRule="auto"/>
              <w:ind w:left="0" w:leftChars="0" w:right="0" w:rightChars="0"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由结果可知，当地TSP满足《环境空气质量标准》（GB3095-2012）中的二级标准</w:t>
            </w:r>
            <w:r>
              <w:rPr>
                <w:rFonts w:hint="default" w:ascii="Times New Roman" w:hAnsi="Times New Roman" w:eastAsia="宋体" w:cs="Times New Roman"/>
                <w:color w:val="auto"/>
                <w:sz w:val="24"/>
                <w:szCs w:val="24"/>
                <w:highlight w:val="none"/>
                <w:lang w:eastAsia="zh-CN"/>
              </w:rPr>
              <w:t>。</w:t>
            </w:r>
          </w:p>
          <w:p w14:paraId="4E81A728">
            <w:pPr>
              <w:adjustRightInd w:val="0"/>
              <w:snapToGrid w:val="0"/>
              <w:spacing w:line="360" w:lineRule="auto"/>
              <w:ind w:firstLine="482" w:firstLineChars="200"/>
              <w:rPr>
                <w:rFonts w:hint="default" w:ascii="Times New Roman" w:hAnsi="Times New Roman" w:eastAsia="宋体" w:cs="Times New Roman"/>
                <w:b/>
                <w:bCs w:val="0"/>
                <w:color w:val="auto"/>
                <w:kern w:val="0"/>
                <w:sz w:val="24"/>
                <w:szCs w:val="24"/>
                <w:highlight w:val="none"/>
              </w:rPr>
            </w:pPr>
            <w:r>
              <w:rPr>
                <w:rFonts w:hint="default" w:ascii="Times New Roman" w:hAnsi="Times New Roman" w:eastAsia="宋体" w:cs="Times New Roman"/>
                <w:b/>
                <w:bCs w:val="0"/>
                <w:color w:val="auto"/>
                <w:kern w:val="0"/>
                <w:sz w:val="24"/>
                <w:szCs w:val="24"/>
                <w:highlight w:val="none"/>
              </w:rPr>
              <w:t>2、声环境质量现状</w:t>
            </w:r>
          </w:p>
          <w:p w14:paraId="602962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为了解项目所处区域声环境质量，本评价委托内蒙古蒙辉环保科技有限公司对项目声环境质量现状进行了监测，在项目厂</w:t>
            </w:r>
            <w:r>
              <w:rPr>
                <w:rFonts w:hint="default" w:ascii="Times New Roman" w:hAnsi="Times New Roman" w:eastAsia="宋体" w:cs="Times New Roman"/>
                <w:color w:val="auto"/>
                <w:sz w:val="24"/>
                <w:szCs w:val="24"/>
                <w:highlight w:val="none"/>
                <w:lang w:eastAsia="zh-CN"/>
              </w:rPr>
              <w:t>区</w:t>
            </w:r>
            <w:r>
              <w:rPr>
                <w:rFonts w:hint="eastAsia" w:ascii="Times New Roman" w:hAnsi="Times New Roman" w:eastAsia="宋体" w:cs="Times New Roman"/>
                <w:color w:val="auto"/>
                <w:sz w:val="24"/>
                <w:szCs w:val="24"/>
                <w:highlight w:val="none"/>
                <w:lang w:val="en-US" w:eastAsia="zh-CN"/>
              </w:rPr>
              <w:t>四周和厂区南侧、</w:t>
            </w:r>
            <w:r>
              <w:rPr>
                <w:rFonts w:hint="default" w:ascii="Times New Roman" w:hAnsi="Times New Roman" w:eastAsia="宋体" w:cs="Times New Roman"/>
                <w:color w:val="auto"/>
                <w:sz w:val="24"/>
                <w:szCs w:val="24"/>
                <w:highlight w:val="none"/>
                <w:lang w:val="en-US" w:eastAsia="zh-CN"/>
              </w:rPr>
              <w:t>西</w:t>
            </w:r>
            <w:r>
              <w:rPr>
                <w:rFonts w:hint="eastAsia" w:ascii="Times New Roman" w:hAnsi="Times New Roman" w:eastAsia="宋体" w:cs="Times New Roman"/>
                <w:color w:val="auto"/>
                <w:sz w:val="24"/>
                <w:szCs w:val="24"/>
                <w:highlight w:val="none"/>
                <w:lang w:val="en-US" w:eastAsia="zh-CN"/>
              </w:rPr>
              <w:t>南</w:t>
            </w:r>
            <w:r>
              <w:rPr>
                <w:rFonts w:hint="default" w:ascii="Times New Roman" w:hAnsi="Times New Roman" w:eastAsia="宋体" w:cs="Times New Roman"/>
                <w:color w:val="auto"/>
                <w:sz w:val="24"/>
                <w:szCs w:val="24"/>
                <w:highlight w:val="none"/>
                <w:lang w:val="en-US" w:eastAsia="zh-CN"/>
              </w:rPr>
              <w:t>侧</w:t>
            </w:r>
            <w:r>
              <w:rPr>
                <w:rFonts w:hint="eastAsia" w:ascii="Times New Roman" w:hAnsi="Times New Roman" w:eastAsia="宋体" w:cs="Times New Roman"/>
                <w:color w:val="auto"/>
                <w:sz w:val="24"/>
                <w:szCs w:val="24"/>
                <w:highlight w:val="none"/>
                <w:lang w:val="en-US" w:eastAsia="zh-CN"/>
              </w:rPr>
              <w:t>共</w:t>
            </w:r>
            <w:r>
              <w:rPr>
                <w:rFonts w:hint="default" w:ascii="Times New Roman" w:hAnsi="Times New Roman" w:eastAsia="宋体" w:cs="Times New Roman"/>
                <w:color w:val="auto"/>
                <w:sz w:val="24"/>
                <w:szCs w:val="24"/>
                <w:highlight w:val="none"/>
                <w:lang w:val="en-US" w:eastAsia="zh-CN"/>
              </w:rPr>
              <w:t>设置</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个</w:t>
            </w:r>
            <w:r>
              <w:rPr>
                <w:rFonts w:hint="default" w:ascii="Times New Roman" w:hAnsi="Times New Roman" w:eastAsia="宋体" w:cs="Times New Roman"/>
                <w:color w:val="auto"/>
                <w:sz w:val="24"/>
                <w:szCs w:val="24"/>
                <w:highlight w:val="none"/>
                <w:lang w:eastAsia="zh-CN"/>
              </w:rPr>
              <w:t>噪声</w:t>
            </w:r>
            <w:r>
              <w:rPr>
                <w:rFonts w:hint="default" w:ascii="Times New Roman" w:hAnsi="Times New Roman" w:eastAsia="宋体" w:cs="Times New Roman"/>
                <w:color w:val="auto"/>
                <w:sz w:val="24"/>
                <w:szCs w:val="24"/>
                <w:highlight w:val="none"/>
              </w:rPr>
              <w:t>监测点位。</w:t>
            </w:r>
            <w:r>
              <w:rPr>
                <w:rFonts w:hint="eastAsia" w:ascii="Times New Roman" w:hAnsi="Times New Roman" w:eastAsia="宋体" w:cs="Times New Roman"/>
                <w:color w:val="auto"/>
                <w:sz w:val="24"/>
                <w:szCs w:val="24"/>
                <w:highlight w:val="none"/>
                <w:lang w:val="en-US" w:eastAsia="zh-CN"/>
              </w:rPr>
              <w:t>补测期间，厂区现有项目加气混凝土砌块生产线正常生产中。</w:t>
            </w:r>
          </w:p>
          <w:p w14:paraId="5C6362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（1）监测点位</w:t>
            </w:r>
          </w:p>
          <w:p w14:paraId="262C51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default" w:ascii="Times New Roman" w:hAnsi="Times New Roman" w:eastAsia="宋体" w:cs="Times New Roman"/>
                <w:b/>
                <w:bCs/>
                <w:color w:val="auto"/>
                <w:sz w:val="24"/>
                <w:szCs w:val="22"/>
                <w:highlight w:val="none"/>
                <w:lang w:val="en-US" w:eastAsia="zh-CN"/>
              </w:rPr>
              <w:t>3-</w:t>
            </w:r>
            <w:r>
              <w:rPr>
                <w:rFonts w:hint="eastAsia" w:ascii="Times New Roman" w:hAnsi="Times New Roman" w:eastAsia="宋体" w:cs="Times New Roman"/>
                <w:b/>
                <w:bCs/>
                <w:color w:val="auto"/>
                <w:sz w:val="24"/>
                <w:szCs w:val="22"/>
                <w:highlight w:val="none"/>
                <w:lang w:val="en-US" w:eastAsia="zh-CN"/>
              </w:rPr>
              <w:t xml:space="preserve">6  </w:t>
            </w:r>
            <w:r>
              <w:rPr>
                <w:rFonts w:hint="default" w:ascii="Times New Roman" w:hAnsi="Times New Roman" w:eastAsia="宋体" w:cs="Times New Roman"/>
                <w:b/>
                <w:bCs/>
                <w:color w:val="auto"/>
                <w:sz w:val="24"/>
                <w:szCs w:val="24"/>
                <w:highlight w:val="none"/>
                <w:lang w:val="en-US" w:eastAsia="zh-CN"/>
              </w:rPr>
              <w:t>噪声监测点位设置情况</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5"/>
              <w:gridCol w:w="1792"/>
              <w:gridCol w:w="1792"/>
              <w:gridCol w:w="2348"/>
            </w:tblGrid>
            <w:tr w14:paraId="383B1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55A1138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bookmarkStart w:id="3" w:name="_Toc84650184"/>
                  <w:bookmarkStart w:id="4" w:name="_Toc84846743"/>
                  <w:bookmarkStart w:id="5" w:name="_Toc84869881"/>
                  <w:bookmarkStart w:id="6" w:name="_Toc84872762"/>
                  <w:bookmarkStart w:id="7" w:name="_Toc84846987"/>
                  <w:bookmarkStart w:id="8" w:name="_Toc84846493"/>
                  <w:bookmarkStart w:id="9" w:name="_Toc84867756"/>
                  <w:bookmarkStart w:id="10" w:name="_Toc84910849"/>
                  <w:bookmarkStart w:id="11" w:name="_Toc84869487"/>
                  <w:bookmarkStart w:id="12" w:name="_Toc84867080"/>
                  <w:bookmarkStart w:id="13" w:name="_Toc84873471"/>
                  <w:bookmarkStart w:id="14" w:name="_Toc84873227"/>
                  <w:bookmarkStart w:id="15" w:name="_Toc84874010"/>
                  <w:bookmarkStart w:id="16" w:name="_Toc84868177"/>
                  <w:bookmarkStart w:id="17" w:name="_Toc84873767"/>
                  <w:bookmarkStart w:id="18" w:name="_Toc84942731"/>
                  <w:bookmarkStart w:id="19" w:name="_Toc84847230"/>
                  <w:bookmarkStart w:id="20" w:name="_Toc84911502"/>
                  <w:bookmarkStart w:id="21" w:name="_Toc84874253"/>
                  <w:r>
                    <w:rPr>
                      <w:rFonts w:hint="default" w:ascii="Times New Roman" w:hAnsi="Times New Roman" w:eastAsia="宋体" w:cs="Times New Roman"/>
                      <w:b/>
                      <w:bCs/>
                      <w:color w:val="auto"/>
                      <w:sz w:val="21"/>
                      <w:szCs w:val="21"/>
                      <w:highlight w:val="none"/>
                      <w:lang w:val="zh-CN"/>
                    </w:rPr>
                    <w:t>监测点位</w:t>
                  </w:r>
                </w:p>
              </w:tc>
              <w:tc>
                <w:tcPr>
                  <w:tcW w:w="1792" w:type="dxa"/>
                  <w:tcBorders>
                    <w:tl2br w:val="nil"/>
                    <w:tr2bl w:val="nil"/>
                  </w:tcBorders>
                  <w:noWrap w:val="0"/>
                  <w:vAlign w:val="center"/>
                </w:tcPr>
                <w:p w14:paraId="5E0D95C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监测项目</w:t>
                  </w:r>
                </w:p>
              </w:tc>
              <w:tc>
                <w:tcPr>
                  <w:tcW w:w="1792" w:type="dxa"/>
                  <w:tcBorders>
                    <w:tl2br w:val="nil"/>
                    <w:tr2bl w:val="nil"/>
                  </w:tcBorders>
                  <w:noWrap w:val="0"/>
                  <w:vAlign w:val="center"/>
                </w:tcPr>
                <w:p w14:paraId="4D11720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监测频率</w:t>
                  </w:r>
                </w:p>
              </w:tc>
              <w:tc>
                <w:tcPr>
                  <w:tcW w:w="2348" w:type="dxa"/>
                  <w:tcBorders>
                    <w:tl2br w:val="nil"/>
                    <w:tr2bl w:val="nil"/>
                  </w:tcBorders>
                  <w:noWrap w:val="0"/>
                  <w:vAlign w:val="center"/>
                </w:tcPr>
                <w:p w14:paraId="089E74B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执行标准</w:t>
                  </w:r>
                </w:p>
              </w:tc>
            </w:tr>
            <w:tr w14:paraId="6157B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70A2068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val="0"/>
                      <w:bCs/>
                      <w:color w:val="auto"/>
                      <w:kern w:val="0"/>
                      <w:sz w:val="21"/>
                      <w:szCs w:val="21"/>
                      <w:highlight w:val="none"/>
                      <w:lang w:val="en-US" w:eastAsia="zh-CN"/>
                    </w:rPr>
                    <w:t>厂界</w:t>
                  </w:r>
                  <w:r>
                    <w:rPr>
                      <w:rFonts w:hint="default" w:ascii="Times New Roman" w:hAnsi="Times New Roman" w:cs="Times New Roman"/>
                      <w:b w:val="0"/>
                      <w:bCs/>
                      <w:color w:val="auto"/>
                      <w:kern w:val="0"/>
                      <w:sz w:val="21"/>
                      <w:szCs w:val="21"/>
                      <w:highlight w:val="none"/>
                      <w:lang w:val="en-US" w:eastAsia="zh-CN"/>
                    </w:rPr>
                    <w:t>东侧</w:t>
                  </w:r>
                </w:p>
              </w:tc>
              <w:tc>
                <w:tcPr>
                  <w:tcW w:w="1792" w:type="dxa"/>
                  <w:vMerge w:val="restart"/>
                  <w:tcBorders>
                    <w:tl2br w:val="nil"/>
                    <w:tr2bl w:val="nil"/>
                  </w:tcBorders>
                  <w:noWrap w:val="0"/>
                  <w:vAlign w:val="center"/>
                </w:tcPr>
                <w:p w14:paraId="44FACE7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sz w:val="21"/>
                      <w:szCs w:val="21"/>
                      <w:highlight w:val="none"/>
                      <w:lang w:val="zh-CN"/>
                    </w:rPr>
                    <w:t>等效连续A声级L</w:t>
                  </w:r>
                  <w:r>
                    <w:rPr>
                      <w:rFonts w:hint="default" w:ascii="Times New Roman" w:hAnsi="Times New Roman" w:eastAsia="宋体" w:cs="Times New Roman"/>
                      <w:color w:val="auto"/>
                      <w:sz w:val="21"/>
                      <w:szCs w:val="21"/>
                      <w:highlight w:val="none"/>
                      <w:vertAlign w:val="subscript"/>
                      <w:lang w:val="zh-CN"/>
                    </w:rPr>
                    <w:t>Aeq</w:t>
                  </w:r>
                </w:p>
              </w:tc>
              <w:tc>
                <w:tcPr>
                  <w:tcW w:w="1792" w:type="dxa"/>
                  <w:vMerge w:val="restart"/>
                  <w:tcBorders>
                    <w:tl2br w:val="nil"/>
                    <w:tr2bl w:val="nil"/>
                  </w:tcBorders>
                  <w:noWrap w:val="0"/>
                  <w:vAlign w:val="center"/>
                </w:tcPr>
                <w:p w14:paraId="526A9F2D">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sz w:val="21"/>
                      <w:szCs w:val="21"/>
                      <w:highlight w:val="none"/>
                      <w:lang w:val="zh-CN"/>
                    </w:rPr>
                    <w:t>昼、夜间各监测</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zh-CN"/>
                    </w:rPr>
                    <w:t>次，共监测</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zh-CN"/>
                    </w:rPr>
                    <w:t>天</w:t>
                  </w:r>
                </w:p>
              </w:tc>
              <w:tc>
                <w:tcPr>
                  <w:tcW w:w="2348" w:type="dxa"/>
                  <w:vMerge w:val="restart"/>
                  <w:tcBorders>
                    <w:tl2br w:val="nil"/>
                    <w:tr2bl w:val="nil"/>
                  </w:tcBorders>
                  <w:noWrap w:val="0"/>
                  <w:vAlign w:val="center"/>
                </w:tcPr>
                <w:p w14:paraId="74A7FCE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color w:val="auto"/>
                      <w:sz w:val="21"/>
                      <w:szCs w:val="21"/>
                      <w:highlight w:val="none"/>
                      <w:lang w:val="zh-CN"/>
                    </w:rPr>
                    <w:t>《声环境质量标准》中</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zh-CN"/>
                    </w:rPr>
                    <w:t>类标准（昼间≤6</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zh-CN"/>
                    </w:rPr>
                    <w:t>dB(A)，夜间≤</w:t>
                  </w:r>
                  <w:r>
                    <w:rPr>
                      <w:rFonts w:hint="eastAsia" w:ascii="Times New Roman" w:hAnsi="Times New Roman" w:eastAsia="宋体" w:cs="Times New Roman"/>
                      <w:color w:val="auto"/>
                      <w:sz w:val="21"/>
                      <w:szCs w:val="21"/>
                      <w:highlight w:val="none"/>
                      <w:lang w:val="en-US" w:eastAsia="zh-CN"/>
                    </w:rPr>
                    <w:t>55</w:t>
                  </w:r>
                  <w:r>
                    <w:rPr>
                      <w:rFonts w:hint="default" w:ascii="Times New Roman" w:hAnsi="Times New Roman" w:eastAsia="宋体" w:cs="Times New Roman"/>
                      <w:color w:val="auto"/>
                      <w:sz w:val="21"/>
                      <w:szCs w:val="21"/>
                      <w:highlight w:val="none"/>
                      <w:lang w:val="zh-CN"/>
                    </w:rPr>
                    <w:t>dB(A)）</w:t>
                  </w:r>
                </w:p>
              </w:tc>
            </w:tr>
            <w:tr w14:paraId="79504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6EB4376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厂界</w:t>
                  </w:r>
                  <w:r>
                    <w:rPr>
                      <w:rFonts w:hint="eastAsia" w:ascii="Times New Roman" w:hAnsi="Times New Roman" w:eastAsia="宋体" w:cs="Times New Roman"/>
                      <w:b w:val="0"/>
                      <w:bCs/>
                      <w:color w:val="auto"/>
                      <w:kern w:val="0"/>
                      <w:sz w:val="21"/>
                      <w:szCs w:val="21"/>
                      <w:highlight w:val="none"/>
                      <w:lang w:val="en-US" w:eastAsia="zh-CN"/>
                    </w:rPr>
                    <w:t>南</w:t>
                  </w:r>
                  <w:r>
                    <w:rPr>
                      <w:rFonts w:hint="default" w:ascii="Times New Roman" w:hAnsi="Times New Roman" w:cs="Times New Roman"/>
                      <w:b w:val="0"/>
                      <w:bCs/>
                      <w:color w:val="auto"/>
                      <w:kern w:val="0"/>
                      <w:sz w:val="21"/>
                      <w:szCs w:val="21"/>
                      <w:highlight w:val="none"/>
                      <w:lang w:val="en-US" w:eastAsia="zh-CN"/>
                    </w:rPr>
                    <w:t>侧</w:t>
                  </w:r>
                </w:p>
              </w:tc>
              <w:tc>
                <w:tcPr>
                  <w:tcW w:w="1792" w:type="dxa"/>
                  <w:vMerge w:val="continue"/>
                  <w:tcBorders>
                    <w:tl2br w:val="nil"/>
                    <w:tr2bl w:val="nil"/>
                  </w:tcBorders>
                  <w:noWrap w:val="0"/>
                  <w:vAlign w:val="center"/>
                </w:tcPr>
                <w:p w14:paraId="7229E32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1792" w:type="dxa"/>
                  <w:vMerge w:val="continue"/>
                  <w:tcBorders>
                    <w:tl2br w:val="nil"/>
                    <w:tr2bl w:val="nil"/>
                  </w:tcBorders>
                  <w:noWrap w:val="0"/>
                  <w:vAlign w:val="center"/>
                </w:tcPr>
                <w:p w14:paraId="1ADEDA3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2348" w:type="dxa"/>
                  <w:vMerge w:val="continue"/>
                  <w:tcBorders>
                    <w:tl2br w:val="nil"/>
                    <w:tr2bl w:val="nil"/>
                  </w:tcBorders>
                  <w:noWrap w:val="0"/>
                  <w:vAlign w:val="center"/>
                </w:tcPr>
                <w:p w14:paraId="2C31E68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zh-CN"/>
                    </w:rPr>
                  </w:pPr>
                </w:p>
              </w:tc>
            </w:tr>
            <w:tr w14:paraId="5A6BF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0505511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厂界</w:t>
                  </w:r>
                  <w:r>
                    <w:rPr>
                      <w:rFonts w:hint="eastAsia" w:ascii="Times New Roman" w:hAnsi="Times New Roman" w:eastAsia="宋体" w:cs="Times New Roman"/>
                      <w:b w:val="0"/>
                      <w:bCs/>
                      <w:color w:val="auto"/>
                      <w:kern w:val="0"/>
                      <w:sz w:val="21"/>
                      <w:szCs w:val="21"/>
                      <w:highlight w:val="none"/>
                      <w:lang w:val="en-US" w:eastAsia="zh-CN"/>
                    </w:rPr>
                    <w:t>西</w:t>
                  </w:r>
                  <w:r>
                    <w:rPr>
                      <w:rFonts w:hint="default" w:ascii="Times New Roman" w:hAnsi="Times New Roman" w:cs="Times New Roman"/>
                      <w:b w:val="0"/>
                      <w:bCs/>
                      <w:color w:val="auto"/>
                      <w:kern w:val="0"/>
                      <w:sz w:val="21"/>
                      <w:szCs w:val="21"/>
                      <w:highlight w:val="none"/>
                      <w:lang w:val="en-US" w:eastAsia="zh-CN"/>
                    </w:rPr>
                    <w:t>侧</w:t>
                  </w:r>
                </w:p>
              </w:tc>
              <w:tc>
                <w:tcPr>
                  <w:tcW w:w="1792" w:type="dxa"/>
                  <w:vMerge w:val="continue"/>
                  <w:tcBorders>
                    <w:tl2br w:val="nil"/>
                    <w:tr2bl w:val="nil"/>
                  </w:tcBorders>
                  <w:noWrap w:val="0"/>
                  <w:vAlign w:val="center"/>
                </w:tcPr>
                <w:p w14:paraId="0250254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1792" w:type="dxa"/>
                  <w:vMerge w:val="continue"/>
                  <w:tcBorders>
                    <w:tl2br w:val="nil"/>
                    <w:tr2bl w:val="nil"/>
                  </w:tcBorders>
                  <w:noWrap w:val="0"/>
                  <w:vAlign w:val="center"/>
                </w:tcPr>
                <w:p w14:paraId="555DC6E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2348" w:type="dxa"/>
                  <w:vMerge w:val="continue"/>
                  <w:tcBorders>
                    <w:tl2br w:val="nil"/>
                    <w:tr2bl w:val="nil"/>
                  </w:tcBorders>
                  <w:noWrap w:val="0"/>
                  <w:vAlign w:val="center"/>
                </w:tcPr>
                <w:p w14:paraId="2C16C19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zh-CN"/>
                    </w:rPr>
                  </w:pPr>
                </w:p>
              </w:tc>
            </w:tr>
            <w:tr w14:paraId="3D313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1BAAA48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厂界</w:t>
                  </w:r>
                  <w:r>
                    <w:rPr>
                      <w:rFonts w:hint="eastAsia" w:ascii="Times New Roman" w:hAnsi="Times New Roman" w:eastAsia="宋体" w:cs="Times New Roman"/>
                      <w:b w:val="0"/>
                      <w:bCs/>
                      <w:color w:val="auto"/>
                      <w:kern w:val="0"/>
                      <w:sz w:val="21"/>
                      <w:szCs w:val="21"/>
                      <w:highlight w:val="none"/>
                      <w:lang w:val="en-US" w:eastAsia="zh-CN"/>
                    </w:rPr>
                    <w:t>北</w:t>
                  </w:r>
                  <w:r>
                    <w:rPr>
                      <w:rFonts w:hint="default" w:ascii="Times New Roman" w:hAnsi="Times New Roman" w:cs="Times New Roman"/>
                      <w:b w:val="0"/>
                      <w:bCs/>
                      <w:color w:val="auto"/>
                      <w:kern w:val="0"/>
                      <w:sz w:val="21"/>
                      <w:szCs w:val="21"/>
                      <w:highlight w:val="none"/>
                      <w:lang w:val="en-US" w:eastAsia="zh-CN"/>
                    </w:rPr>
                    <w:t>侧</w:t>
                  </w:r>
                </w:p>
              </w:tc>
              <w:tc>
                <w:tcPr>
                  <w:tcW w:w="1792" w:type="dxa"/>
                  <w:vMerge w:val="continue"/>
                  <w:tcBorders>
                    <w:tl2br w:val="nil"/>
                    <w:tr2bl w:val="nil"/>
                  </w:tcBorders>
                  <w:noWrap w:val="0"/>
                  <w:vAlign w:val="center"/>
                </w:tcPr>
                <w:p w14:paraId="0FCAA70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1792" w:type="dxa"/>
                  <w:vMerge w:val="continue"/>
                  <w:tcBorders>
                    <w:tl2br w:val="nil"/>
                    <w:tr2bl w:val="nil"/>
                  </w:tcBorders>
                  <w:noWrap w:val="0"/>
                  <w:vAlign w:val="center"/>
                </w:tcPr>
                <w:p w14:paraId="58873E7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2348" w:type="dxa"/>
                  <w:vMerge w:val="continue"/>
                  <w:tcBorders>
                    <w:tl2br w:val="nil"/>
                    <w:tr2bl w:val="nil"/>
                  </w:tcBorders>
                  <w:noWrap w:val="0"/>
                  <w:vAlign w:val="center"/>
                </w:tcPr>
                <w:p w14:paraId="78D20F9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zh-CN"/>
                    </w:rPr>
                  </w:pPr>
                </w:p>
              </w:tc>
            </w:tr>
            <w:tr w14:paraId="20CB0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2285CA3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南侧敏感点</w:t>
                  </w:r>
                </w:p>
              </w:tc>
              <w:tc>
                <w:tcPr>
                  <w:tcW w:w="1792" w:type="dxa"/>
                  <w:vMerge w:val="continue"/>
                  <w:tcBorders>
                    <w:tl2br w:val="nil"/>
                    <w:tr2bl w:val="nil"/>
                  </w:tcBorders>
                  <w:noWrap w:val="0"/>
                  <w:vAlign w:val="center"/>
                </w:tcPr>
                <w:p w14:paraId="50953DB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1792" w:type="dxa"/>
                  <w:vMerge w:val="continue"/>
                  <w:tcBorders>
                    <w:tl2br w:val="nil"/>
                    <w:tr2bl w:val="nil"/>
                  </w:tcBorders>
                  <w:noWrap w:val="0"/>
                  <w:vAlign w:val="center"/>
                </w:tcPr>
                <w:p w14:paraId="02D8CE4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2348" w:type="dxa"/>
                  <w:vMerge w:val="continue"/>
                  <w:tcBorders>
                    <w:tl2br w:val="nil"/>
                    <w:tr2bl w:val="nil"/>
                  </w:tcBorders>
                  <w:noWrap w:val="0"/>
                  <w:vAlign w:val="center"/>
                </w:tcPr>
                <w:p w14:paraId="1BC9687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zh-CN"/>
                    </w:rPr>
                  </w:pPr>
                </w:p>
              </w:tc>
            </w:tr>
            <w:tr w14:paraId="4838D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345" w:type="dxa"/>
                  <w:tcBorders>
                    <w:tl2br w:val="nil"/>
                    <w:tr2bl w:val="nil"/>
                  </w:tcBorders>
                  <w:noWrap w:val="0"/>
                  <w:vAlign w:val="center"/>
                </w:tcPr>
                <w:p w14:paraId="04411DD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西南侧敏感点</w:t>
                  </w:r>
                </w:p>
              </w:tc>
              <w:tc>
                <w:tcPr>
                  <w:tcW w:w="1792" w:type="dxa"/>
                  <w:vMerge w:val="continue"/>
                  <w:tcBorders>
                    <w:tl2br w:val="nil"/>
                    <w:tr2bl w:val="nil"/>
                  </w:tcBorders>
                  <w:noWrap w:val="0"/>
                  <w:vAlign w:val="center"/>
                </w:tcPr>
                <w:p w14:paraId="46794A54">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1792" w:type="dxa"/>
                  <w:vMerge w:val="continue"/>
                  <w:tcBorders>
                    <w:tl2br w:val="nil"/>
                    <w:tr2bl w:val="nil"/>
                  </w:tcBorders>
                  <w:noWrap w:val="0"/>
                  <w:vAlign w:val="center"/>
                </w:tcPr>
                <w:p w14:paraId="34C31CA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rPr>
                  </w:pPr>
                </w:p>
              </w:tc>
              <w:tc>
                <w:tcPr>
                  <w:tcW w:w="2348" w:type="dxa"/>
                  <w:vMerge w:val="continue"/>
                  <w:tcBorders>
                    <w:tl2br w:val="nil"/>
                    <w:tr2bl w:val="nil"/>
                  </w:tcBorders>
                  <w:noWrap w:val="0"/>
                  <w:vAlign w:val="center"/>
                </w:tcPr>
                <w:p w14:paraId="7D3CD59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zh-CN"/>
                    </w:rPr>
                  </w:pPr>
                </w:p>
              </w:tc>
            </w:t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tbl>
          <w:p w14:paraId="461BB2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（2）监测时间、频率</w:t>
            </w:r>
          </w:p>
          <w:p w14:paraId="4776FC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监测时间：202</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val="en-US" w:eastAsia="zh-CN"/>
              </w:rPr>
              <w:t>月12日</w:t>
            </w:r>
            <w:r>
              <w:rPr>
                <w:rFonts w:hint="eastAsia" w:ascii="Times New Roman" w:hAnsi="Times New Roman" w:eastAsia="宋体" w:cs="Times New Roman"/>
                <w:color w:val="auto"/>
                <w:sz w:val="24"/>
                <w:szCs w:val="24"/>
                <w:highlight w:val="none"/>
                <w:lang w:val="en-US" w:eastAsia="zh-CN"/>
              </w:rPr>
              <w:t>-13日</w:t>
            </w:r>
          </w:p>
          <w:p w14:paraId="1423E0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监测因子及频率：</w:t>
            </w:r>
            <w:r>
              <w:rPr>
                <w:rFonts w:hint="default" w:ascii="Times New Roman" w:hAnsi="Times New Roman" w:eastAsia="宋体" w:cs="Times New Roman"/>
                <w:color w:val="auto"/>
                <w:sz w:val="24"/>
                <w:szCs w:val="24"/>
                <w:highlight w:val="none"/>
              </w:rPr>
              <w:t>连续等效A声级（Leq）</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每天昼间6:00-22:00、夜间22:00-</w:t>
            </w:r>
            <w:r>
              <w:rPr>
                <w:rFonts w:hint="default" w:ascii="Times New Roman" w:hAnsi="Times New Roman" w:eastAsia="宋体" w:cs="Times New Roman"/>
                <w:color w:val="auto"/>
                <w:sz w:val="24"/>
                <w:szCs w:val="24"/>
                <w:highlight w:val="none"/>
                <w:lang w:eastAsia="zh-CN"/>
              </w:rPr>
              <w:t>次日</w:t>
            </w:r>
            <w:r>
              <w:rPr>
                <w:rFonts w:hint="default" w:ascii="Times New Roman" w:hAnsi="Times New Roman" w:eastAsia="宋体" w:cs="Times New Roman"/>
                <w:color w:val="auto"/>
                <w:sz w:val="24"/>
                <w:szCs w:val="24"/>
                <w:highlight w:val="none"/>
              </w:rPr>
              <w:t>6:00</w:t>
            </w:r>
          </w:p>
          <w:p w14:paraId="547A35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（3）执行与评价标</w:t>
            </w:r>
            <w:r>
              <w:rPr>
                <w:rFonts w:hint="default" w:ascii="Times New Roman" w:hAnsi="Times New Roman" w:eastAsia="宋体" w:cs="Times New Roman"/>
                <w:b w:val="0"/>
                <w:bCs w:val="0"/>
                <w:color w:val="auto"/>
                <w:sz w:val="24"/>
                <w:szCs w:val="24"/>
                <w:highlight w:val="none"/>
                <w:lang w:val="en-US" w:eastAsia="zh-CN"/>
              </w:rPr>
              <w:t>准：</w:t>
            </w:r>
            <w:r>
              <w:rPr>
                <w:rFonts w:hint="default" w:ascii="Times New Roman" w:hAnsi="Times New Roman" w:eastAsia="宋体" w:cs="Times New Roman"/>
                <w:b w:val="0"/>
                <w:bCs w:val="0"/>
                <w:color w:val="auto"/>
                <w:sz w:val="24"/>
                <w:szCs w:val="24"/>
                <w:highlight w:val="none"/>
              </w:rPr>
              <w:t>按《声环境质量标准》（GB3096-2008）执行。</w:t>
            </w:r>
          </w:p>
          <w:p w14:paraId="483BE4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（4）噪声监测结果：如表</w:t>
            </w:r>
            <w:r>
              <w:rPr>
                <w:rFonts w:hint="default" w:ascii="Times New Roman" w:hAnsi="Times New Roman" w:eastAsia="宋体" w:cs="Times New Roman"/>
                <w:b w:val="0"/>
                <w:bCs w:val="0"/>
                <w:color w:val="auto"/>
                <w:sz w:val="24"/>
                <w:szCs w:val="22"/>
                <w:highlight w:val="none"/>
                <w:lang w:val="en-US" w:eastAsia="zh-CN"/>
              </w:rPr>
              <w:t>3-</w:t>
            </w:r>
            <w:r>
              <w:rPr>
                <w:rFonts w:hint="eastAsia" w:ascii="Times New Roman" w:hAnsi="Times New Roman" w:eastAsia="宋体" w:cs="Times New Roman"/>
                <w:b w:val="0"/>
                <w:bCs w:val="0"/>
                <w:color w:val="auto"/>
                <w:sz w:val="24"/>
                <w:szCs w:val="22"/>
                <w:highlight w:val="none"/>
                <w:lang w:val="en-US" w:eastAsia="zh-CN"/>
              </w:rPr>
              <w:t>7</w:t>
            </w:r>
            <w:r>
              <w:rPr>
                <w:rFonts w:hint="default" w:ascii="Times New Roman" w:hAnsi="Times New Roman" w:eastAsia="宋体" w:cs="Times New Roman"/>
                <w:b w:val="0"/>
                <w:bCs w:val="0"/>
                <w:color w:val="auto"/>
                <w:sz w:val="24"/>
                <w:szCs w:val="24"/>
                <w:highlight w:val="none"/>
                <w:lang w:val="en-US" w:eastAsia="zh-CN"/>
              </w:rPr>
              <w:t>所示</w:t>
            </w:r>
            <w:r>
              <w:rPr>
                <w:rFonts w:hint="default" w:ascii="Times New Roman" w:hAnsi="Times New Roman" w:eastAsia="宋体" w:cs="Times New Roman"/>
                <w:color w:val="auto"/>
                <w:sz w:val="24"/>
                <w:szCs w:val="24"/>
                <w:highlight w:val="none"/>
                <w:lang w:val="en-US" w:eastAsia="zh-CN"/>
              </w:rPr>
              <w:t>。</w:t>
            </w:r>
          </w:p>
          <w:p w14:paraId="75B6FA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default" w:ascii="Times New Roman" w:hAnsi="Times New Roman" w:eastAsia="宋体" w:cs="Times New Roman"/>
                <w:b/>
                <w:bCs/>
                <w:color w:val="auto"/>
                <w:sz w:val="24"/>
                <w:szCs w:val="22"/>
                <w:highlight w:val="none"/>
                <w:lang w:val="en-US" w:eastAsia="zh-CN"/>
              </w:rPr>
              <w:t>3-</w:t>
            </w:r>
            <w:r>
              <w:rPr>
                <w:rFonts w:hint="eastAsia" w:ascii="Times New Roman" w:hAnsi="Times New Roman" w:eastAsia="宋体" w:cs="Times New Roman"/>
                <w:b/>
                <w:bCs/>
                <w:color w:val="auto"/>
                <w:sz w:val="24"/>
                <w:szCs w:val="22"/>
                <w:highlight w:val="none"/>
                <w:lang w:val="en-US" w:eastAsia="zh-CN"/>
              </w:rPr>
              <w:t xml:space="preserve">7  </w:t>
            </w:r>
            <w:r>
              <w:rPr>
                <w:rFonts w:hint="default" w:ascii="Times New Roman" w:hAnsi="Times New Roman" w:eastAsia="宋体" w:cs="Times New Roman"/>
                <w:b/>
                <w:bCs/>
                <w:color w:val="auto"/>
                <w:sz w:val="24"/>
                <w:szCs w:val="24"/>
                <w:highlight w:val="none"/>
              </w:rPr>
              <w:t>声环境噪声现状监测结果统计表单位：dB</w:t>
            </w:r>
            <w:r>
              <w:rPr>
                <w:rFonts w:hint="default" w:ascii="Times New Roman" w:hAnsi="Times New Roman" w:eastAsia="宋体" w:cs="Times New Roman"/>
                <w:b/>
                <w:bCs/>
                <w:color w:val="auto"/>
                <w:sz w:val="24"/>
                <w:szCs w:val="24"/>
                <w:highlight w:val="none"/>
                <w:lang w:eastAsia="zh-CN"/>
              </w:rPr>
              <w:t>(A)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124"/>
              <w:gridCol w:w="1124"/>
              <w:gridCol w:w="1124"/>
              <w:gridCol w:w="1404"/>
              <w:gridCol w:w="1124"/>
              <w:gridCol w:w="1124"/>
            </w:tblGrid>
            <w:tr w14:paraId="5CE1A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tl2br w:val="nil"/>
                    <w:tr2bl w:val="nil"/>
                  </w:tcBorders>
                  <w:noWrap w:val="0"/>
                  <w:vAlign w:val="center"/>
                </w:tcPr>
                <w:p w14:paraId="674B8DF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eastAsia="zh-CN"/>
                    </w:rPr>
                  </w:pPr>
                  <w:r>
                    <w:rPr>
                      <w:rFonts w:hint="default" w:ascii="Times New Roman" w:hAnsi="Times New Roman" w:eastAsia="宋体" w:cs="Times New Roman"/>
                      <w:b/>
                      <w:bCs w:val="0"/>
                      <w:color w:val="auto"/>
                      <w:kern w:val="0"/>
                      <w:sz w:val="21"/>
                      <w:szCs w:val="21"/>
                      <w:lang w:eastAsia="zh-CN"/>
                    </w:rPr>
                    <w:t>检测</w:t>
                  </w:r>
                </w:p>
                <w:p w14:paraId="55A4B65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val="en-US" w:eastAsia="zh-CN"/>
                    </w:rPr>
                  </w:pPr>
                  <w:r>
                    <w:rPr>
                      <w:rFonts w:hint="default" w:ascii="Times New Roman" w:hAnsi="Times New Roman" w:eastAsia="宋体" w:cs="Times New Roman"/>
                      <w:b/>
                      <w:bCs w:val="0"/>
                      <w:color w:val="auto"/>
                      <w:kern w:val="0"/>
                      <w:sz w:val="21"/>
                      <w:szCs w:val="21"/>
                      <w:lang w:eastAsia="zh-CN"/>
                    </w:rPr>
                    <w:t>项目</w:t>
                  </w:r>
                </w:p>
              </w:tc>
              <w:tc>
                <w:tcPr>
                  <w:tcW w:w="1134" w:type="dxa"/>
                  <w:tcBorders>
                    <w:tl2br w:val="nil"/>
                    <w:tr2bl w:val="nil"/>
                  </w:tcBorders>
                  <w:noWrap w:val="0"/>
                  <w:vAlign w:val="center"/>
                </w:tcPr>
                <w:p w14:paraId="4ABFA7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val="en-US" w:eastAsia="zh-CN"/>
                    </w:rPr>
                  </w:pPr>
                  <w:r>
                    <w:rPr>
                      <w:rFonts w:hint="default" w:ascii="Times New Roman" w:hAnsi="Times New Roman" w:cs="Times New Roman"/>
                      <w:b/>
                      <w:bCs w:val="0"/>
                      <w:color w:val="auto"/>
                      <w:kern w:val="0"/>
                      <w:sz w:val="21"/>
                      <w:szCs w:val="21"/>
                      <w:lang w:val="en-US" w:eastAsia="zh-CN"/>
                    </w:rPr>
                    <w:t>点位编号</w:t>
                  </w:r>
                </w:p>
              </w:tc>
              <w:tc>
                <w:tcPr>
                  <w:tcW w:w="1134" w:type="dxa"/>
                  <w:tcBorders>
                    <w:tl2br w:val="nil"/>
                    <w:tr2bl w:val="nil"/>
                  </w:tcBorders>
                  <w:noWrap w:val="0"/>
                  <w:vAlign w:val="center"/>
                </w:tcPr>
                <w:p w14:paraId="71BC014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val="en-US" w:eastAsia="zh-CN"/>
                    </w:rPr>
                  </w:pPr>
                  <w:r>
                    <w:rPr>
                      <w:rFonts w:hint="default" w:ascii="Times New Roman" w:hAnsi="Times New Roman" w:eastAsia="宋体" w:cs="Times New Roman"/>
                      <w:b/>
                      <w:bCs w:val="0"/>
                      <w:color w:val="auto"/>
                      <w:kern w:val="0"/>
                      <w:sz w:val="21"/>
                      <w:szCs w:val="21"/>
                      <w:lang w:val="en-US" w:eastAsia="zh-CN"/>
                    </w:rPr>
                    <w:t>点位名称</w:t>
                  </w:r>
                </w:p>
              </w:tc>
              <w:tc>
                <w:tcPr>
                  <w:tcW w:w="1417" w:type="dxa"/>
                  <w:gridSpan w:val="2"/>
                  <w:tcBorders>
                    <w:tl2br w:val="nil"/>
                    <w:tr2bl w:val="nil"/>
                  </w:tcBorders>
                  <w:noWrap w:val="0"/>
                  <w:vAlign w:val="center"/>
                </w:tcPr>
                <w:p w14:paraId="23A78E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eastAsia="zh-CN"/>
                    </w:rPr>
                  </w:pPr>
                  <w:r>
                    <w:rPr>
                      <w:rFonts w:hint="default" w:ascii="Times New Roman" w:hAnsi="Times New Roman" w:eastAsia="宋体" w:cs="Times New Roman"/>
                      <w:b/>
                      <w:bCs w:val="0"/>
                      <w:color w:val="auto"/>
                      <w:kern w:val="0"/>
                      <w:sz w:val="21"/>
                      <w:szCs w:val="21"/>
                    </w:rPr>
                    <w:t>检测时段</w:t>
                  </w:r>
                </w:p>
              </w:tc>
              <w:tc>
                <w:tcPr>
                  <w:tcW w:w="1134" w:type="dxa"/>
                  <w:tcBorders>
                    <w:tl2br w:val="nil"/>
                    <w:tr2bl w:val="nil"/>
                  </w:tcBorders>
                  <w:noWrap w:val="0"/>
                  <w:vAlign w:val="center"/>
                </w:tcPr>
                <w:p w14:paraId="65CF8A3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val="en-US" w:eastAsia="zh-CN"/>
                    </w:rPr>
                  </w:pPr>
                  <w:r>
                    <w:rPr>
                      <w:rFonts w:hint="default" w:ascii="Times New Roman" w:hAnsi="Times New Roman" w:eastAsia="宋体" w:cs="Times New Roman"/>
                      <w:b/>
                      <w:bCs w:val="0"/>
                      <w:color w:val="auto"/>
                      <w:kern w:val="0"/>
                      <w:sz w:val="21"/>
                      <w:szCs w:val="21"/>
                      <w:lang w:val="en-US" w:eastAsia="zh-CN"/>
                    </w:rPr>
                    <w:t>检测结果</w:t>
                  </w:r>
                </w:p>
                <w:p w14:paraId="7A428A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lang w:val="en-US" w:eastAsia="zh-CN"/>
                    </w:rPr>
                  </w:pPr>
                  <w:r>
                    <w:rPr>
                      <w:rFonts w:hint="default" w:ascii="Times New Roman" w:hAnsi="Times New Roman" w:eastAsia="宋体" w:cs="Times New Roman"/>
                      <w:b w:val="0"/>
                      <w:bCs/>
                      <w:color w:val="auto"/>
                      <w:sz w:val="21"/>
                      <w:szCs w:val="21"/>
                    </w:rPr>
                    <w:t>dB</w:t>
                  </w:r>
                  <w:r>
                    <w:rPr>
                      <w:rFonts w:hint="default" w:ascii="Times New Roman" w:hAnsi="Times New Roman" w:eastAsia="宋体" w:cs="Times New Roman"/>
                      <w:b w:val="0"/>
                      <w:bCs/>
                      <w:color w:val="auto"/>
                      <w:kern w:val="0"/>
                      <w:sz w:val="21"/>
                      <w:szCs w:val="21"/>
                    </w:rPr>
                    <w:t>（</w:t>
                  </w:r>
                  <w:r>
                    <w:rPr>
                      <w:rFonts w:hint="default" w:ascii="Times New Roman" w:hAnsi="Times New Roman" w:eastAsia="宋体" w:cs="Times New Roman"/>
                      <w:b w:val="0"/>
                      <w:bCs/>
                      <w:color w:val="auto"/>
                      <w:kern w:val="0"/>
                      <w:sz w:val="21"/>
                      <w:szCs w:val="21"/>
                      <w:lang w:val="en-US" w:eastAsia="zh-CN"/>
                    </w:rPr>
                    <w:t>A</w:t>
                  </w:r>
                  <w:r>
                    <w:rPr>
                      <w:rFonts w:hint="default" w:ascii="Times New Roman" w:hAnsi="Times New Roman" w:eastAsia="宋体" w:cs="Times New Roman"/>
                      <w:b w:val="0"/>
                      <w:bCs/>
                      <w:color w:val="auto"/>
                      <w:kern w:val="0"/>
                      <w:sz w:val="21"/>
                      <w:szCs w:val="21"/>
                    </w:rPr>
                    <w:t>）</w:t>
                  </w:r>
                </w:p>
              </w:tc>
              <w:tc>
                <w:tcPr>
                  <w:tcW w:w="1134" w:type="dxa"/>
                  <w:tcBorders>
                    <w:tl2br w:val="nil"/>
                    <w:tr2bl w:val="nil"/>
                  </w:tcBorders>
                  <w:noWrap w:val="0"/>
                  <w:vAlign w:val="center"/>
                </w:tcPr>
                <w:p w14:paraId="4961A19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rPr>
                  </w:pPr>
                  <w:r>
                    <w:rPr>
                      <w:rFonts w:hint="default" w:ascii="Times New Roman" w:hAnsi="Times New Roman" w:eastAsia="宋体" w:cs="Times New Roman"/>
                      <w:b/>
                      <w:bCs w:val="0"/>
                      <w:color w:val="auto"/>
                      <w:kern w:val="0"/>
                      <w:sz w:val="21"/>
                      <w:szCs w:val="21"/>
                    </w:rPr>
                    <w:t>标准</w:t>
                  </w:r>
                </w:p>
                <w:p w14:paraId="7EF383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rPr>
                  </w:pPr>
                  <w:r>
                    <w:rPr>
                      <w:rFonts w:hint="default" w:ascii="Times New Roman" w:hAnsi="Times New Roman" w:eastAsia="宋体" w:cs="Times New Roman"/>
                      <w:b/>
                      <w:bCs w:val="0"/>
                      <w:color w:val="auto"/>
                      <w:kern w:val="0"/>
                      <w:sz w:val="21"/>
                      <w:szCs w:val="21"/>
                    </w:rPr>
                    <w:t>限值</w:t>
                  </w:r>
                </w:p>
                <w:p w14:paraId="7284785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21"/>
                      <w:szCs w:val="21"/>
                    </w:rPr>
                  </w:pPr>
                  <w:r>
                    <w:rPr>
                      <w:rFonts w:hint="default" w:ascii="Times New Roman" w:hAnsi="Times New Roman" w:eastAsia="宋体" w:cs="Times New Roman"/>
                      <w:b w:val="0"/>
                      <w:bCs/>
                      <w:color w:val="auto"/>
                      <w:sz w:val="21"/>
                      <w:szCs w:val="21"/>
                    </w:rPr>
                    <w:t>dB</w:t>
                  </w:r>
                  <w:r>
                    <w:rPr>
                      <w:rFonts w:hint="default" w:ascii="Times New Roman" w:hAnsi="Times New Roman" w:eastAsia="宋体" w:cs="Times New Roman"/>
                      <w:b w:val="0"/>
                      <w:bCs/>
                      <w:color w:val="auto"/>
                      <w:kern w:val="0"/>
                      <w:sz w:val="21"/>
                      <w:szCs w:val="21"/>
                    </w:rPr>
                    <w:t>（</w:t>
                  </w:r>
                  <w:r>
                    <w:rPr>
                      <w:rFonts w:hint="default" w:ascii="Times New Roman" w:hAnsi="Times New Roman" w:eastAsia="宋体" w:cs="Times New Roman"/>
                      <w:b w:val="0"/>
                      <w:bCs/>
                      <w:color w:val="auto"/>
                      <w:kern w:val="0"/>
                      <w:sz w:val="21"/>
                      <w:szCs w:val="21"/>
                      <w:lang w:val="en-US" w:eastAsia="zh-CN"/>
                    </w:rPr>
                    <w:t>A</w:t>
                  </w:r>
                  <w:r>
                    <w:rPr>
                      <w:rFonts w:hint="default" w:ascii="Times New Roman" w:hAnsi="Times New Roman" w:eastAsia="宋体" w:cs="Times New Roman"/>
                      <w:b w:val="0"/>
                      <w:bCs/>
                      <w:color w:val="auto"/>
                      <w:kern w:val="0"/>
                      <w:sz w:val="21"/>
                      <w:szCs w:val="21"/>
                    </w:rPr>
                    <w:t>）</w:t>
                  </w:r>
                </w:p>
              </w:tc>
            </w:tr>
            <w:tr w14:paraId="6AF53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tcBorders>
                    <w:tl2br w:val="nil"/>
                    <w:tr2bl w:val="nil"/>
                  </w:tcBorders>
                  <w:noWrap w:val="0"/>
                  <w:vAlign w:val="center"/>
                </w:tcPr>
                <w:p w14:paraId="4E05BC4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default" w:ascii="Times New Roman" w:hAnsi="Times New Roman" w:cs="Times New Roman"/>
                      <w:color w:val="auto"/>
                      <w:kern w:val="2"/>
                      <w:sz w:val="21"/>
                      <w:szCs w:val="21"/>
                      <w:highlight w:val="none"/>
                      <w:lang w:val="en-US" w:eastAsia="zh-CN" w:bidi="ar-SA"/>
                    </w:rPr>
                    <w:t>环境噪声</w:t>
                  </w:r>
                </w:p>
              </w:tc>
              <w:tc>
                <w:tcPr>
                  <w:tcW w:w="1134" w:type="dxa"/>
                  <w:vMerge w:val="restart"/>
                  <w:tcBorders>
                    <w:tl2br w:val="nil"/>
                    <w:tr2bl w:val="nil"/>
                  </w:tcBorders>
                  <w:noWrap w:val="0"/>
                  <w:vAlign w:val="center"/>
                </w:tcPr>
                <w:p w14:paraId="143EC5C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01</w:t>
                  </w:r>
                </w:p>
              </w:tc>
              <w:tc>
                <w:tcPr>
                  <w:tcW w:w="1134" w:type="dxa"/>
                  <w:vMerge w:val="restart"/>
                  <w:tcBorders>
                    <w:tl2br w:val="nil"/>
                    <w:tr2bl w:val="nil"/>
                  </w:tcBorders>
                  <w:noWrap w:val="0"/>
                  <w:vAlign w:val="center"/>
                </w:tcPr>
                <w:p w14:paraId="5B1CE28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厂界</w:t>
                  </w:r>
                  <w:r>
                    <w:rPr>
                      <w:rFonts w:hint="default" w:ascii="Times New Roman" w:hAnsi="Times New Roman" w:cs="Times New Roman"/>
                      <w:b w:val="0"/>
                      <w:bCs/>
                      <w:color w:val="auto"/>
                      <w:kern w:val="0"/>
                      <w:sz w:val="21"/>
                      <w:szCs w:val="21"/>
                      <w:highlight w:val="none"/>
                      <w:lang w:val="en-US" w:eastAsia="zh-CN"/>
                    </w:rPr>
                    <w:t>东侧</w:t>
                  </w:r>
                </w:p>
              </w:tc>
              <w:tc>
                <w:tcPr>
                  <w:tcW w:w="1134" w:type="dxa"/>
                  <w:tcBorders>
                    <w:tl2br w:val="nil"/>
                    <w:tr2bl w:val="nil"/>
                  </w:tcBorders>
                  <w:noWrap w:val="0"/>
                  <w:vAlign w:val="center"/>
                </w:tcPr>
                <w:p w14:paraId="2B80826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3DE0F47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09</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20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09</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30</w:t>
                  </w:r>
                </w:p>
              </w:tc>
              <w:tc>
                <w:tcPr>
                  <w:tcW w:w="1134" w:type="dxa"/>
                  <w:tcBorders>
                    <w:tl2br w:val="nil"/>
                    <w:tr2bl w:val="nil"/>
                  </w:tcBorders>
                  <w:noWrap w:val="0"/>
                  <w:vAlign w:val="center"/>
                </w:tcPr>
                <w:p w14:paraId="549749C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val="en-US" w:eastAsia="zh-CN"/>
                    </w:rPr>
                    <w:t>58.5</w:t>
                  </w:r>
                </w:p>
              </w:tc>
              <w:tc>
                <w:tcPr>
                  <w:tcW w:w="1134" w:type="dxa"/>
                  <w:tcBorders>
                    <w:tl2br w:val="nil"/>
                    <w:tr2bl w:val="nil"/>
                  </w:tcBorders>
                  <w:noWrap w:val="0"/>
                  <w:vAlign w:val="center"/>
                </w:tcPr>
                <w:p w14:paraId="2EFAF07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rPr>
                  </w:pPr>
                  <w:r>
                    <w:rPr>
                      <w:rFonts w:hint="eastAsia" w:ascii="Times New Roman" w:hAnsi="Times New Roman" w:cs="Times New Roman"/>
                      <w:b w:val="0"/>
                      <w:bCs/>
                      <w:color w:val="auto"/>
                      <w:kern w:val="0"/>
                      <w:sz w:val="21"/>
                      <w:szCs w:val="21"/>
                      <w:highlight w:val="none"/>
                      <w:lang w:val="en-US" w:eastAsia="zh-CN"/>
                    </w:rPr>
                    <w:t>65</w:t>
                  </w:r>
                </w:p>
              </w:tc>
            </w:tr>
            <w:tr w14:paraId="6DBE7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55A4334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7D2F363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76B2DDF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0279BDC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637F0F5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22:</w:t>
                  </w:r>
                  <w:r>
                    <w:rPr>
                      <w:rFonts w:hint="eastAsia" w:ascii="Times New Roman" w:hAnsi="Times New Roman" w:cs="Times New Roman"/>
                      <w:b w:val="0"/>
                      <w:bCs/>
                      <w:color w:val="auto"/>
                      <w:sz w:val="21"/>
                      <w:szCs w:val="21"/>
                      <w:highlight w:val="none"/>
                      <w:lang w:val="en-US" w:eastAsia="zh-CN"/>
                    </w:rPr>
                    <w:t>01</w:t>
                  </w:r>
                  <w:r>
                    <w:rPr>
                      <w:rFonts w:hint="default" w:ascii="Times New Roman" w:hAnsi="Times New Roman" w:cs="Times New Roman"/>
                      <w:b w:val="0"/>
                      <w:bCs/>
                      <w:color w:val="auto"/>
                      <w:sz w:val="21"/>
                      <w:szCs w:val="21"/>
                      <w:highlight w:val="none"/>
                      <w:lang w:val="en-US" w:eastAsia="zh-CN"/>
                    </w:rPr>
                    <w:t>-</w:t>
                  </w:r>
                  <w:r>
                    <w:rPr>
                      <w:rFonts w:hint="eastAsia" w:ascii="Times New Roman" w:hAnsi="Times New Roman" w:cs="Times New Roman"/>
                      <w:b w:val="0"/>
                      <w:bCs/>
                      <w:color w:val="auto"/>
                      <w:sz w:val="21"/>
                      <w:szCs w:val="21"/>
                      <w:highlight w:val="none"/>
                      <w:lang w:val="en-US" w:eastAsia="zh-CN"/>
                    </w:rPr>
                    <w:t>22</w:t>
                  </w:r>
                  <w:r>
                    <w:rPr>
                      <w:rFonts w:hint="default" w:ascii="Times New Roman" w:hAnsi="Times New Roman" w:cs="Times New Roman"/>
                      <w:b w:val="0"/>
                      <w:bCs/>
                      <w:color w:val="auto"/>
                      <w:sz w:val="21"/>
                      <w:szCs w:val="21"/>
                      <w:highlight w:val="none"/>
                      <w:lang w:val="en-US" w:eastAsia="zh-CN"/>
                    </w:rPr>
                    <w:t>:</w:t>
                  </w:r>
                  <w:r>
                    <w:rPr>
                      <w:rFonts w:hint="eastAsia" w:ascii="Times New Roman" w:hAnsi="Times New Roman" w:cs="Times New Roman"/>
                      <w:b w:val="0"/>
                      <w:bCs/>
                      <w:color w:val="auto"/>
                      <w:sz w:val="21"/>
                      <w:szCs w:val="21"/>
                      <w:highlight w:val="none"/>
                      <w:lang w:val="en-US" w:eastAsia="zh-CN"/>
                    </w:rPr>
                    <w:t>11</w:t>
                  </w:r>
                </w:p>
              </w:tc>
              <w:tc>
                <w:tcPr>
                  <w:tcW w:w="1134" w:type="dxa"/>
                  <w:tcBorders>
                    <w:tl2br w:val="nil"/>
                    <w:tr2bl w:val="nil"/>
                  </w:tcBorders>
                  <w:noWrap w:val="0"/>
                  <w:vAlign w:val="center"/>
                </w:tcPr>
                <w:p w14:paraId="64A93B8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47.9</w:t>
                  </w:r>
                </w:p>
              </w:tc>
              <w:tc>
                <w:tcPr>
                  <w:tcW w:w="1134" w:type="dxa"/>
                  <w:tcBorders>
                    <w:tl2br w:val="nil"/>
                    <w:tr2bl w:val="nil"/>
                  </w:tcBorders>
                  <w:noWrap w:val="0"/>
                  <w:vAlign w:val="center"/>
                </w:tcPr>
                <w:p w14:paraId="5F7E2EE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cs="Times New Roman"/>
                      <w:b w:val="0"/>
                      <w:bCs/>
                      <w:color w:val="auto"/>
                      <w:kern w:val="0"/>
                      <w:sz w:val="21"/>
                      <w:szCs w:val="21"/>
                      <w:highlight w:val="none"/>
                      <w:lang w:val="en-US" w:eastAsia="zh-CN"/>
                    </w:rPr>
                    <w:t>55</w:t>
                  </w:r>
                </w:p>
              </w:tc>
            </w:tr>
            <w:tr w14:paraId="1FFC4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7FA3BCB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restart"/>
                  <w:tcBorders>
                    <w:tl2br w:val="nil"/>
                    <w:tr2bl w:val="nil"/>
                  </w:tcBorders>
                  <w:noWrap w:val="0"/>
                  <w:vAlign w:val="center"/>
                </w:tcPr>
                <w:p w14:paraId="08E3E85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02</w:t>
                  </w:r>
                </w:p>
              </w:tc>
              <w:tc>
                <w:tcPr>
                  <w:tcW w:w="1134" w:type="dxa"/>
                  <w:vMerge w:val="restart"/>
                  <w:tcBorders>
                    <w:tl2br w:val="nil"/>
                    <w:tr2bl w:val="nil"/>
                  </w:tcBorders>
                  <w:noWrap w:val="0"/>
                  <w:vAlign w:val="center"/>
                </w:tcPr>
                <w:p w14:paraId="5836DE7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default" w:ascii="Times New Roman" w:hAnsi="Times New Roman" w:eastAsia="宋体" w:cs="Times New Roman"/>
                      <w:b w:val="0"/>
                      <w:bCs/>
                      <w:color w:val="auto"/>
                      <w:kern w:val="0"/>
                      <w:sz w:val="21"/>
                      <w:szCs w:val="21"/>
                      <w:highlight w:val="none"/>
                      <w:lang w:val="en-US" w:eastAsia="zh-CN"/>
                    </w:rPr>
                    <w:t>厂界</w:t>
                  </w:r>
                  <w:r>
                    <w:rPr>
                      <w:rFonts w:hint="default" w:ascii="Times New Roman" w:hAnsi="Times New Roman" w:cs="Times New Roman"/>
                      <w:b w:val="0"/>
                      <w:bCs/>
                      <w:color w:val="auto"/>
                      <w:kern w:val="0"/>
                      <w:sz w:val="21"/>
                      <w:szCs w:val="21"/>
                      <w:highlight w:val="none"/>
                      <w:lang w:val="en-US" w:eastAsia="zh-CN"/>
                    </w:rPr>
                    <w:t>南侧</w:t>
                  </w:r>
                </w:p>
              </w:tc>
              <w:tc>
                <w:tcPr>
                  <w:tcW w:w="1134" w:type="dxa"/>
                  <w:tcBorders>
                    <w:tl2br w:val="nil"/>
                    <w:tr2bl w:val="nil"/>
                  </w:tcBorders>
                  <w:noWrap w:val="0"/>
                  <w:vAlign w:val="center"/>
                </w:tcPr>
                <w:p w14:paraId="3D60803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115BE7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09</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38</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09</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48</w:t>
                  </w:r>
                </w:p>
              </w:tc>
              <w:tc>
                <w:tcPr>
                  <w:tcW w:w="1134" w:type="dxa"/>
                  <w:tcBorders>
                    <w:tl2br w:val="nil"/>
                    <w:tr2bl w:val="nil"/>
                  </w:tcBorders>
                  <w:noWrap w:val="0"/>
                  <w:vAlign w:val="center"/>
                </w:tcPr>
                <w:p w14:paraId="08FDFE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59.2</w:t>
                  </w:r>
                </w:p>
              </w:tc>
              <w:tc>
                <w:tcPr>
                  <w:tcW w:w="1134" w:type="dxa"/>
                  <w:tcBorders>
                    <w:tl2br w:val="nil"/>
                    <w:tr2bl w:val="nil"/>
                  </w:tcBorders>
                  <w:noWrap w:val="0"/>
                  <w:vAlign w:val="center"/>
                </w:tcPr>
                <w:p w14:paraId="655F74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65</w:t>
                  </w:r>
                </w:p>
              </w:tc>
            </w:tr>
            <w:tr w14:paraId="2239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6F57B7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7443DF1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67C7EAF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1D2E08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4BE1AA5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2"/>
                      <w:sz w:val="21"/>
                      <w:szCs w:val="21"/>
                      <w:highlight w:val="none"/>
                      <w:lang w:val="en-US" w:eastAsia="zh-CN" w:bidi="ar-SA"/>
                    </w:rPr>
                    <w:t>22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19</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22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29</w:t>
                  </w:r>
                </w:p>
              </w:tc>
              <w:tc>
                <w:tcPr>
                  <w:tcW w:w="1134" w:type="dxa"/>
                  <w:tcBorders>
                    <w:tl2br w:val="nil"/>
                    <w:tr2bl w:val="nil"/>
                  </w:tcBorders>
                  <w:noWrap w:val="0"/>
                  <w:vAlign w:val="center"/>
                </w:tcPr>
                <w:p w14:paraId="7D495F4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48.3</w:t>
                  </w:r>
                </w:p>
              </w:tc>
              <w:tc>
                <w:tcPr>
                  <w:tcW w:w="1134" w:type="dxa"/>
                  <w:tcBorders>
                    <w:tl2br w:val="nil"/>
                    <w:tr2bl w:val="nil"/>
                  </w:tcBorders>
                  <w:noWrap w:val="0"/>
                  <w:vAlign w:val="center"/>
                </w:tcPr>
                <w:p w14:paraId="5371F4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55</w:t>
                  </w:r>
                </w:p>
              </w:tc>
            </w:tr>
            <w:tr w14:paraId="6089D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62759E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restart"/>
                  <w:tcBorders>
                    <w:tl2br w:val="nil"/>
                    <w:tr2bl w:val="nil"/>
                  </w:tcBorders>
                  <w:noWrap w:val="0"/>
                  <w:vAlign w:val="center"/>
                </w:tcPr>
                <w:p w14:paraId="79DC36D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03</w:t>
                  </w:r>
                </w:p>
              </w:tc>
              <w:tc>
                <w:tcPr>
                  <w:tcW w:w="1134" w:type="dxa"/>
                  <w:vMerge w:val="restart"/>
                  <w:tcBorders>
                    <w:tl2br w:val="nil"/>
                    <w:tr2bl w:val="nil"/>
                  </w:tcBorders>
                  <w:noWrap w:val="0"/>
                  <w:vAlign w:val="center"/>
                </w:tcPr>
                <w:p w14:paraId="5BB7BF7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厂界</w:t>
                  </w:r>
                  <w:r>
                    <w:rPr>
                      <w:rFonts w:hint="default" w:ascii="Times New Roman" w:hAnsi="Times New Roman" w:cs="Times New Roman"/>
                      <w:b w:val="0"/>
                      <w:bCs/>
                      <w:color w:val="auto"/>
                      <w:kern w:val="0"/>
                      <w:sz w:val="21"/>
                      <w:szCs w:val="21"/>
                      <w:highlight w:val="none"/>
                      <w:lang w:val="en-US" w:eastAsia="zh-CN"/>
                    </w:rPr>
                    <w:t>西侧</w:t>
                  </w:r>
                </w:p>
              </w:tc>
              <w:tc>
                <w:tcPr>
                  <w:tcW w:w="1134" w:type="dxa"/>
                  <w:tcBorders>
                    <w:tl2br w:val="nil"/>
                    <w:tr2bl w:val="nil"/>
                  </w:tcBorders>
                  <w:noWrap w:val="0"/>
                  <w:vAlign w:val="center"/>
                </w:tcPr>
                <w:p w14:paraId="47461C3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5A33CE1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09</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56</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06</w:t>
                  </w:r>
                </w:p>
              </w:tc>
              <w:tc>
                <w:tcPr>
                  <w:tcW w:w="1134" w:type="dxa"/>
                  <w:tcBorders>
                    <w:tl2br w:val="nil"/>
                    <w:tr2bl w:val="nil"/>
                  </w:tcBorders>
                  <w:noWrap w:val="0"/>
                  <w:vAlign w:val="center"/>
                </w:tcPr>
                <w:p w14:paraId="5118292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57.1</w:t>
                  </w:r>
                </w:p>
              </w:tc>
              <w:tc>
                <w:tcPr>
                  <w:tcW w:w="1134" w:type="dxa"/>
                  <w:tcBorders>
                    <w:tl2br w:val="nil"/>
                    <w:tr2bl w:val="nil"/>
                  </w:tcBorders>
                  <w:noWrap w:val="0"/>
                  <w:vAlign w:val="center"/>
                </w:tcPr>
                <w:p w14:paraId="67376B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65</w:t>
                  </w:r>
                </w:p>
              </w:tc>
            </w:tr>
            <w:tr w14:paraId="2C605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4FF6098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2365329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7FBD75F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0896FEF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1D34C84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kern w:val="2"/>
                      <w:sz w:val="21"/>
                      <w:szCs w:val="21"/>
                      <w:highlight w:val="none"/>
                      <w:lang w:val="en-US" w:eastAsia="zh-CN" w:bidi="ar-SA"/>
                    </w:rPr>
                    <w:t>22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37</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22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47</w:t>
                  </w:r>
                </w:p>
              </w:tc>
              <w:tc>
                <w:tcPr>
                  <w:tcW w:w="1134" w:type="dxa"/>
                  <w:tcBorders>
                    <w:tl2br w:val="nil"/>
                    <w:tr2bl w:val="nil"/>
                  </w:tcBorders>
                  <w:noWrap w:val="0"/>
                  <w:vAlign w:val="center"/>
                </w:tcPr>
                <w:p w14:paraId="09B192A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48.5</w:t>
                  </w:r>
                </w:p>
              </w:tc>
              <w:tc>
                <w:tcPr>
                  <w:tcW w:w="1134" w:type="dxa"/>
                  <w:tcBorders>
                    <w:tl2br w:val="nil"/>
                    <w:tr2bl w:val="nil"/>
                  </w:tcBorders>
                  <w:noWrap w:val="0"/>
                  <w:vAlign w:val="center"/>
                </w:tcPr>
                <w:p w14:paraId="67DFA9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55</w:t>
                  </w:r>
                </w:p>
              </w:tc>
            </w:tr>
            <w:tr w14:paraId="01F0F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3803757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restart"/>
                  <w:tcBorders>
                    <w:tl2br w:val="nil"/>
                    <w:tr2bl w:val="nil"/>
                  </w:tcBorders>
                  <w:noWrap w:val="0"/>
                  <w:vAlign w:val="center"/>
                </w:tcPr>
                <w:p w14:paraId="47CFCE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04</w:t>
                  </w:r>
                </w:p>
              </w:tc>
              <w:tc>
                <w:tcPr>
                  <w:tcW w:w="1134" w:type="dxa"/>
                  <w:vMerge w:val="restart"/>
                  <w:tcBorders>
                    <w:tl2br w:val="nil"/>
                    <w:tr2bl w:val="nil"/>
                  </w:tcBorders>
                  <w:noWrap w:val="0"/>
                  <w:vAlign w:val="center"/>
                </w:tcPr>
                <w:p w14:paraId="57FCCC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rPr>
                    <w:t>厂界</w:t>
                  </w:r>
                  <w:r>
                    <w:rPr>
                      <w:rFonts w:hint="default" w:ascii="Times New Roman" w:hAnsi="Times New Roman" w:cs="Times New Roman"/>
                      <w:b w:val="0"/>
                      <w:bCs/>
                      <w:color w:val="auto"/>
                      <w:kern w:val="0"/>
                      <w:sz w:val="21"/>
                      <w:szCs w:val="21"/>
                      <w:highlight w:val="none"/>
                      <w:lang w:val="en-US" w:eastAsia="zh-CN"/>
                    </w:rPr>
                    <w:t>北侧</w:t>
                  </w:r>
                </w:p>
              </w:tc>
              <w:tc>
                <w:tcPr>
                  <w:tcW w:w="1134" w:type="dxa"/>
                  <w:tcBorders>
                    <w:tl2br w:val="nil"/>
                    <w:tr2bl w:val="nil"/>
                  </w:tcBorders>
                  <w:noWrap w:val="0"/>
                  <w:vAlign w:val="center"/>
                </w:tcPr>
                <w:p w14:paraId="21B877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50F2B822">
                  <w:pPr>
                    <w:keepNext w:val="0"/>
                    <w:keepLines w:val="0"/>
                    <w:pageBreakBefore w:val="0"/>
                    <w:widowControl/>
                    <w:tabs>
                      <w:tab w:val="center" w:pos="782"/>
                      <w:tab w:val="right" w:pos="144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15</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25</w:t>
                  </w:r>
                </w:p>
              </w:tc>
              <w:tc>
                <w:tcPr>
                  <w:tcW w:w="1134" w:type="dxa"/>
                  <w:tcBorders>
                    <w:tl2br w:val="nil"/>
                    <w:tr2bl w:val="nil"/>
                  </w:tcBorders>
                  <w:noWrap w:val="0"/>
                  <w:vAlign w:val="center"/>
                </w:tcPr>
                <w:p w14:paraId="30634CA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56.6</w:t>
                  </w:r>
                </w:p>
              </w:tc>
              <w:tc>
                <w:tcPr>
                  <w:tcW w:w="1134" w:type="dxa"/>
                  <w:tcBorders>
                    <w:tl2br w:val="nil"/>
                    <w:tr2bl w:val="nil"/>
                  </w:tcBorders>
                  <w:noWrap w:val="0"/>
                  <w:vAlign w:val="center"/>
                </w:tcPr>
                <w:p w14:paraId="3CF64CA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65</w:t>
                  </w:r>
                </w:p>
              </w:tc>
            </w:tr>
            <w:tr w14:paraId="1DE91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217F2A0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471F9B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1E1BCA1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0D9156F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765EA48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kern w:val="2"/>
                      <w:sz w:val="21"/>
                      <w:szCs w:val="21"/>
                      <w:highlight w:val="none"/>
                      <w:lang w:val="en-US" w:eastAsia="zh-CN" w:bidi="ar-SA"/>
                    </w:rPr>
                    <w:t>22</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56</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23</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06</w:t>
                  </w:r>
                </w:p>
              </w:tc>
              <w:tc>
                <w:tcPr>
                  <w:tcW w:w="1134" w:type="dxa"/>
                  <w:tcBorders>
                    <w:tl2br w:val="nil"/>
                    <w:tr2bl w:val="nil"/>
                  </w:tcBorders>
                  <w:noWrap w:val="0"/>
                  <w:vAlign w:val="center"/>
                </w:tcPr>
                <w:p w14:paraId="11FC9E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47.8</w:t>
                  </w:r>
                </w:p>
              </w:tc>
              <w:tc>
                <w:tcPr>
                  <w:tcW w:w="1134" w:type="dxa"/>
                  <w:tcBorders>
                    <w:tl2br w:val="nil"/>
                    <w:tr2bl w:val="nil"/>
                  </w:tcBorders>
                  <w:noWrap w:val="0"/>
                  <w:vAlign w:val="center"/>
                </w:tcPr>
                <w:p w14:paraId="0D0341A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cs="Times New Roman"/>
                      <w:b w:val="0"/>
                      <w:bCs/>
                      <w:color w:val="auto"/>
                      <w:kern w:val="0"/>
                      <w:sz w:val="21"/>
                      <w:szCs w:val="21"/>
                      <w:highlight w:val="none"/>
                      <w:lang w:val="en-US" w:eastAsia="zh-CN"/>
                    </w:rPr>
                    <w:t>55</w:t>
                  </w:r>
                </w:p>
              </w:tc>
            </w:tr>
            <w:tr w14:paraId="32DFF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60638A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restart"/>
                  <w:tcBorders>
                    <w:tl2br w:val="nil"/>
                    <w:tr2bl w:val="nil"/>
                  </w:tcBorders>
                  <w:noWrap w:val="0"/>
                  <w:vAlign w:val="center"/>
                </w:tcPr>
                <w:p w14:paraId="4D0E50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05</w:t>
                  </w:r>
                </w:p>
              </w:tc>
              <w:tc>
                <w:tcPr>
                  <w:tcW w:w="1134" w:type="dxa"/>
                  <w:vMerge w:val="restart"/>
                  <w:tcBorders>
                    <w:tl2br w:val="nil"/>
                    <w:tr2bl w:val="nil"/>
                  </w:tcBorders>
                  <w:noWrap w:val="0"/>
                  <w:vAlign w:val="center"/>
                </w:tcPr>
                <w:p w14:paraId="5E82D5A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南侧敏感点</w:t>
                  </w:r>
                </w:p>
              </w:tc>
              <w:tc>
                <w:tcPr>
                  <w:tcW w:w="1134" w:type="dxa"/>
                  <w:tcBorders>
                    <w:tl2br w:val="nil"/>
                    <w:tr2bl w:val="nil"/>
                  </w:tcBorders>
                  <w:noWrap w:val="0"/>
                  <w:vAlign w:val="center"/>
                </w:tcPr>
                <w:p w14:paraId="459298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216F07DD">
                  <w:pPr>
                    <w:keepNext w:val="0"/>
                    <w:keepLines w:val="0"/>
                    <w:pageBreakBefore w:val="0"/>
                    <w:widowControl/>
                    <w:tabs>
                      <w:tab w:val="center" w:pos="782"/>
                      <w:tab w:val="right" w:pos="1446"/>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33</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43</w:t>
                  </w:r>
                </w:p>
              </w:tc>
              <w:tc>
                <w:tcPr>
                  <w:tcW w:w="1134" w:type="dxa"/>
                  <w:tcBorders>
                    <w:tl2br w:val="nil"/>
                    <w:tr2bl w:val="nil"/>
                  </w:tcBorders>
                  <w:noWrap w:val="0"/>
                  <w:vAlign w:val="center"/>
                </w:tcPr>
                <w:p w14:paraId="1B767E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58.7</w:t>
                  </w:r>
                </w:p>
              </w:tc>
              <w:tc>
                <w:tcPr>
                  <w:tcW w:w="1134" w:type="dxa"/>
                  <w:tcBorders>
                    <w:tl2br w:val="nil"/>
                    <w:tr2bl w:val="nil"/>
                  </w:tcBorders>
                  <w:noWrap w:val="0"/>
                  <w:vAlign w:val="center"/>
                </w:tcPr>
                <w:p w14:paraId="0DF1B04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kern w:val="0"/>
                      <w:sz w:val="21"/>
                      <w:szCs w:val="21"/>
                      <w:highlight w:val="none"/>
                      <w:lang w:val="en-US" w:eastAsia="zh-CN"/>
                    </w:rPr>
                  </w:pPr>
                  <w:r>
                    <w:rPr>
                      <w:rFonts w:hint="eastAsia" w:ascii="Times New Roman" w:hAnsi="Times New Roman" w:cs="Times New Roman"/>
                      <w:b w:val="0"/>
                      <w:bCs/>
                      <w:color w:val="auto"/>
                      <w:kern w:val="0"/>
                      <w:sz w:val="21"/>
                      <w:szCs w:val="21"/>
                      <w:highlight w:val="none"/>
                      <w:lang w:val="en-US" w:eastAsia="zh-CN"/>
                    </w:rPr>
                    <w:t>60</w:t>
                  </w:r>
                </w:p>
              </w:tc>
            </w:tr>
            <w:tr w14:paraId="7A327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473C1D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3B0E893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518C884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3C97A05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1EC468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kern w:val="2"/>
                      <w:sz w:val="21"/>
                      <w:szCs w:val="21"/>
                      <w:highlight w:val="none"/>
                      <w:lang w:val="en-US" w:eastAsia="zh-CN" w:bidi="ar-SA"/>
                    </w:rPr>
                    <w:t>23</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cs="Times New Roman"/>
                      <w:b w:val="0"/>
                      <w:bCs/>
                      <w:color w:val="auto"/>
                      <w:kern w:val="2"/>
                      <w:sz w:val="21"/>
                      <w:szCs w:val="21"/>
                      <w:highlight w:val="none"/>
                      <w:lang w:val="en-US" w:eastAsia="zh-CN" w:bidi="ar-SA"/>
                    </w:rPr>
                    <w:t>17</w:t>
                  </w:r>
                  <w:r>
                    <w:rPr>
                      <w:rFonts w:hint="default" w:ascii="Times New Roman" w:hAnsi="Times New Roman" w:eastAsia="宋体" w:cs="Times New Roman"/>
                      <w:b w:val="0"/>
                      <w:bCs/>
                      <w:color w:val="auto"/>
                      <w:kern w:val="2"/>
                      <w:sz w:val="21"/>
                      <w:szCs w:val="21"/>
                      <w:highlight w:val="none"/>
                      <w:lang w:val="en-US" w:eastAsia="zh-CN" w:bidi="ar-SA"/>
                    </w:rPr>
                    <w:t>-</w:t>
                  </w:r>
                  <w:r>
                    <w:rPr>
                      <w:rFonts w:hint="default" w:ascii="Times New Roman" w:hAnsi="Times New Roman" w:cs="Times New Roman"/>
                      <w:b w:val="0"/>
                      <w:bCs/>
                      <w:color w:val="auto"/>
                      <w:kern w:val="2"/>
                      <w:sz w:val="21"/>
                      <w:szCs w:val="21"/>
                      <w:highlight w:val="none"/>
                      <w:lang w:val="en-US" w:eastAsia="zh-CN" w:bidi="ar-SA"/>
                    </w:rPr>
                    <w:t>23</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27</w:t>
                  </w:r>
                </w:p>
              </w:tc>
              <w:tc>
                <w:tcPr>
                  <w:tcW w:w="1134" w:type="dxa"/>
                  <w:tcBorders>
                    <w:tl2br w:val="nil"/>
                    <w:tr2bl w:val="nil"/>
                  </w:tcBorders>
                  <w:noWrap w:val="0"/>
                  <w:vAlign w:val="center"/>
                </w:tcPr>
                <w:p w14:paraId="1737F9E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49.3</w:t>
                  </w:r>
                </w:p>
              </w:tc>
              <w:tc>
                <w:tcPr>
                  <w:tcW w:w="1134" w:type="dxa"/>
                  <w:tcBorders>
                    <w:tl2br w:val="nil"/>
                    <w:tr2bl w:val="nil"/>
                  </w:tcBorders>
                  <w:noWrap w:val="0"/>
                  <w:vAlign w:val="center"/>
                </w:tcPr>
                <w:p w14:paraId="6FE3470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kern w:val="0"/>
                      <w:sz w:val="21"/>
                      <w:szCs w:val="21"/>
                      <w:highlight w:val="none"/>
                      <w:lang w:val="en-US" w:eastAsia="zh-CN"/>
                    </w:rPr>
                  </w:pPr>
                  <w:r>
                    <w:rPr>
                      <w:rFonts w:hint="eastAsia" w:ascii="Times New Roman" w:hAnsi="Times New Roman" w:cs="Times New Roman"/>
                      <w:b w:val="0"/>
                      <w:bCs/>
                      <w:color w:val="auto"/>
                      <w:kern w:val="0"/>
                      <w:sz w:val="21"/>
                      <w:szCs w:val="21"/>
                      <w:highlight w:val="none"/>
                      <w:lang w:val="en-US" w:eastAsia="zh-CN"/>
                    </w:rPr>
                    <w:t>50</w:t>
                  </w:r>
                </w:p>
              </w:tc>
            </w:tr>
            <w:tr w14:paraId="0FE8E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7A66297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restart"/>
                  <w:tcBorders>
                    <w:tl2br w:val="nil"/>
                    <w:tr2bl w:val="nil"/>
                  </w:tcBorders>
                  <w:noWrap w:val="0"/>
                  <w:vAlign w:val="center"/>
                </w:tcPr>
                <w:p w14:paraId="4E53963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r>
                    <w:rPr>
                      <w:rFonts w:hint="eastAsia" w:ascii="Times New Roman" w:hAnsi="Times New Roman" w:eastAsia="宋体" w:cs="Times New Roman"/>
                      <w:b w:val="0"/>
                      <w:bCs/>
                      <w:color w:val="auto"/>
                      <w:kern w:val="0"/>
                      <w:sz w:val="21"/>
                      <w:szCs w:val="21"/>
                      <w:lang w:val="en-US" w:eastAsia="zh-CN"/>
                    </w:rPr>
                    <w:t>06</w:t>
                  </w:r>
                </w:p>
              </w:tc>
              <w:tc>
                <w:tcPr>
                  <w:tcW w:w="1134" w:type="dxa"/>
                  <w:vMerge w:val="restart"/>
                  <w:tcBorders>
                    <w:tl2br w:val="nil"/>
                    <w:tr2bl w:val="nil"/>
                  </w:tcBorders>
                  <w:noWrap w:val="0"/>
                  <w:vAlign w:val="center"/>
                </w:tcPr>
                <w:p w14:paraId="2EC4B93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r>
                    <w:rPr>
                      <w:rFonts w:hint="eastAsia" w:ascii="Times New Roman" w:hAnsi="Times New Roman" w:eastAsia="宋体" w:cs="Times New Roman"/>
                      <w:b w:val="0"/>
                      <w:bCs/>
                      <w:color w:val="auto"/>
                      <w:kern w:val="0"/>
                      <w:sz w:val="21"/>
                      <w:szCs w:val="21"/>
                      <w:highlight w:val="none"/>
                      <w:lang w:val="en-US" w:eastAsia="zh-CN"/>
                    </w:rPr>
                    <w:t>西南侧敏感点</w:t>
                  </w:r>
                </w:p>
              </w:tc>
              <w:tc>
                <w:tcPr>
                  <w:tcW w:w="1134" w:type="dxa"/>
                  <w:tcBorders>
                    <w:tl2br w:val="nil"/>
                    <w:tr2bl w:val="nil"/>
                  </w:tcBorders>
                  <w:noWrap w:val="0"/>
                  <w:vAlign w:val="center"/>
                </w:tcPr>
                <w:p w14:paraId="24A8A0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kern w:val="0"/>
                      <w:sz w:val="21"/>
                      <w:szCs w:val="21"/>
                      <w:highlight w:val="none"/>
                      <w:lang w:val="en-US" w:eastAsia="zh-CN"/>
                    </w:rPr>
                    <w:t>昼间</w:t>
                  </w:r>
                </w:p>
              </w:tc>
              <w:tc>
                <w:tcPr>
                  <w:tcW w:w="1417" w:type="dxa"/>
                  <w:tcBorders>
                    <w:tl2br w:val="nil"/>
                    <w:tr2bl w:val="nil"/>
                  </w:tcBorders>
                  <w:noWrap w:val="0"/>
                  <w:vAlign w:val="center"/>
                </w:tcPr>
                <w:p w14:paraId="2F9AE831">
                  <w:pPr>
                    <w:keepNext w:val="0"/>
                    <w:keepLines w:val="0"/>
                    <w:pageBreakBefore w:val="0"/>
                    <w:widowControl/>
                    <w:tabs>
                      <w:tab w:val="center" w:pos="782"/>
                      <w:tab w:val="right" w:pos="1446"/>
                    </w:tabs>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10</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52</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11</w:t>
                  </w:r>
                  <w:r>
                    <w:rPr>
                      <w:rFonts w:hint="default" w:ascii="Times New Roman" w:hAnsi="Times New Roman" w:eastAsia="宋体" w:cs="Times New Roman"/>
                      <w:b w:val="0"/>
                      <w:bCs/>
                      <w:color w:val="auto"/>
                      <w:sz w:val="21"/>
                      <w:szCs w:val="21"/>
                      <w:highlight w:val="none"/>
                      <w:lang w:val="en-US" w:eastAsia="zh-CN"/>
                    </w:rPr>
                    <w:t>:</w:t>
                  </w:r>
                  <w:r>
                    <w:rPr>
                      <w:rFonts w:hint="eastAsia" w:ascii="Times New Roman" w:hAnsi="Times New Roman" w:eastAsia="宋体" w:cs="Times New Roman"/>
                      <w:b w:val="0"/>
                      <w:bCs/>
                      <w:color w:val="auto"/>
                      <w:sz w:val="21"/>
                      <w:szCs w:val="21"/>
                      <w:highlight w:val="none"/>
                      <w:lang w:val="en-US" w:eastAsia="zh-CN"/>
                    </w:rPr>
                    <w:t>02</w:t>
                  </w:r>
                </w:p>
              </w:tc>
              <w:tc>
                <w:tcPr>
                  <w:tcW w:w="1134" w:type="dxa"/>
                  <w:tcBorders>
                    <w:tl2br w:val="nil"/>
                    <w:tr2bl w:val="nil"/>
                  </w:tcBorders>
                  <w:noWrap w:val="0"/>
                  <w:vAlign w:val="center"/>
                </w:tcPr>
                <w:p w14:paraId="75722D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59.4</w:t>
                  </w:r>
                </w:p>
              </w:tc>
              <w:tc>
                <w:tcPr>
                  <w:tcW w:w="1134" w:type="dxa"/>
                  <w:tcBorders>
                    <w:tl2br w:val="nil"/>
                    <w:tr2bl w:val="nil"/>
                  </w:tcBorders>
                  <w:noWrap w:val="0"/>
                  <w:vAlign w:val="center"/>
                </w:tcPr>
                <w:p w14:paraId="511CFA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highlight w:val="none"/>
                      <w:lang w:val="en-US" w:eastAsia="zh-CN"/>
                    </w:rPr>
                  </w:pPr>
                  <w:r>
                    <w:rPr>
                      <w:rFonts w:hint="eastAsia" w:ascii="Times New Roman" w:hAnsi="Times New Roman" w:cs="Times New Roman"/>
                      <w:b w:val="0"/>
                      <w:bCs/>
                      <w:color w:val="auto"/>
                      <w:kern w:val="0"/>
                      <w:sz w:val="21"/>
                      <w:szCs w:val="21"/>
                      <w:highlight w:val="none"/>
                      <w:lang w:val="en-US" w:eastAsia="zh-CN"/>
                    </w:rPr>
                    <w:t>60</w:t>
                  </w:r>
                </w:p>
              </w:tc>
            </w:tr>
            <w:tr w14:paraId="50C72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noWrap w:val="0"/>
                  <w:vAlign w:val="center"/>
                </w:tcPr>
                <w:p w14:paraId="1177D14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067126E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lang w:val="en-US" w:eastAsia="zh-CN"/>
                    </w:rPr>
                  </w:pPr>
                </w:p>
              </w:tc>
              <w:tc>
                <w:tcPr>
                  <w:tcW w:w="1134" w:type="dxa"/>
                  <w:vMerge w:val="continue"/>
                  <w:tcBorders>
                    <w:tl2br w:val="nil"/>
                    <w:tr2bl w:val="nil"/>
                  </w:tcBorders>
                  <w:noWrap w:val="0"/>
                  <w:vAlign w:val="center"/>
                </w:tcPr>
                <w:p w14:paraId="63164C5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rPr>
                  </w:pPr>
                </w:p>
              </w:tc>
              <w:tc>
                <w:tcPr>
                  <w:tcW w:w="1134" w:type="dxa"/>
                  <w:tcBorders>
                    <w:tl2br w:val="nil"/>
                    <w:tr2bl w:val="nil"/>
                  </w:tcBorders>
                  <w:noWrap w:val="0"/>
                  <w:vAlign w:val="center"/>
                </w:tcPr>
                <w:p w14:paraId="75386C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夜间</w:t>
                  </w:r>
                </w:p>
              </w:tc>
              <w:tc>
                <w:tcPr>
                  <w:tcW w:w="1417" w:type="dxa"/>
                  <w:tcBorders>
                    <w:tl2br w:val="nil"/>
                    <w:tr2bl w:val="nil"/>
                  </w:tcBorders>
                  <w:noWrap w:val="0"/>
                  <w:vAlign w:val="center"/>
                </w:tcPr>
                <w:p w14:paraId="25A6D9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color w:val="auto"/>
                      <w:kern w:val="2"/>
                      <w:sz w:val="21"/>
                      <w:szCs w:val="21"/>
                      <w:highlight w:val="none"/>
                      <w:lang w:val="en-US" w:eastAsia="zh-CN" w:bidi="ar-SA"/>
                    </w:rPr>
                  </w:pPr>
                  <w:r>
                    <w:rPr>
                      <w:rFonts w:hint="default" w:ascii="Times New Roman" w:hAnsi="Times New Roman" w:cs="Times New Roman"/>
                      <w:b w:val="0"/>
                      <w:bCs/>
                      <w:color w:val="auto"/>
                      <w:kern w:val="2"/>
                      <w:sz w:val="21"/>
                      <w:szCs w:val="21"/>
                      <w:highlight w:val="none"/>
                      <w:lang w:val="en-US" w:eastAsia="zh-CN" w:bidi="ar-SA"/>
                    </w:rPr>
                    <w:t>23</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cs="Times New Roman"/>
                      <w:b w:val="0"/>
                      <w:bCs/>
                      <w:color w:val="auto"/>
                      <w:kern w:val="2"/>
                      <w:sz w:val="21"/>
                      <w:szCs w:val="21"/>
                      <w:highlight w:val="none"/>
                      <w:lang w:val="en-US" w:eastAsia="zh-CN" w:bidi="ar-SA"/>
                    </w:rPr>
                    <w:t>38</w:t>
                  </w:r>
                  <w:r>
                    <w:rPr>
                      <w:rFonts w:hint="default" w:ascii="Times New Roman" w:hAnsi="Times New Roman" w:eastAsia="宋体" w:cs="Times New Roman"/>
                      <w:b w:val="0"/>
                      <w:bCs/>
                      <w:color w:val="auto"/>
                      <w:kern w:val="2"/>
                      <w:sz w:val="21"/>
                      <w:szCs w:val="21"/>
                      <w:highlight w:val="none"/>
                      <w:lang w:val="en-US" w:eastAsia="zh-CN" w:bidi="ar-SA"/>
                    </w:rPr>
                    <w:t>-</w:t>
                  </w:r>
                  <w:r>
                    <w:rPr>
                      <w:rFonts w:hint="default" w:ascii="Times New Roman" w:hAnsi="Times New Roman" w:cs="Times New Roman"/>
                      <w:b w:val="0"/>
                      <w:bCs/>
                      <w:color w:val="auto"/>
                      <w:kern w:val="2"/>
                      <w:sz w:val="21"/>
                      <w:szCs w:val="21"/>
                      <w:highlight w:val="none"/>
                      <w:lang w:val="en-US" w:eastAsia="zh-CN" w:bidi="ar-SA"/>
                    </w:rPr>
                    <w:t>23</w:t>
                  </w:r>
                  <w:r>
                    <w:rPr>
                      <w:rFonts w:hint="default" w:ascii="Times New Roman" w:hAnsi="Times New Roman" w:eastAsia="宋体" w:cs="Times New Roman"/>
                      <w:b w:val="0"/>
                      <w:bCs/>
                      <w:color w:val="auto"/>
                      <w:kern w:val="2"/>
                      <w:sz w:val="21"/>
                      <w:szCs w:val="21"/>
                      <w:highlight w:val="none"/>
                      <w:lang w:val="en-US" w:eastAsia="zh-CN" w:bidi="ar-SA"/>
                    </w:rPr>
                    <w:t>:</w:t>
                  </w:r>
                  <w:r>
                    <w:rPr>
                      <w:rFonts w:hint="eastAsia" w:ascii="Times New Roman" w:hAnsi="Times New Roman" w:eastAsia="宋体" w:cs="Times New Roman"/>
                      <w:b w:val="0"/>
                      <w:bCs/>
                      <w:color w:val="auto"/>
                      <w:kern w:val="2"/>
                      <w:sz w:val="21"/>
                      <w:szCs w:val="21"/>
                      <w:highlight w:val="none"/>
                      <w:lang w:val="en-US" w:eastAsia="zh-CN" w:bidi="ar-SA"/>
                    </w:rPr>
                    <w:t>48</w:t>
                  </w:r>
                </w:p>
              </w:tc>
              <w:tc>
                <w:tcPr>
                  <w:tcW w:w="1134" w:type="dxa"/>
                  <w:tcBorders>
                    <w:tl2br w:val="nil"/>
                    <w:tr2bl w:val="nil"/>
                  </w:tcBorders>
                  <w:noWrap w:val="0"/>
                  <w:vAlign w:val="center"/>
                </w:tcPr>
                <w:p w14:paraId="1587804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48.0</w:t>
                  </w:r>
                </w:p>
              </w:tc>
              <w:tc>
                <w:tcPr>
                  <w:tcW w:w="1134" w:type="dxa"/>
                  <w:tcBorders>
                    <w:tl2br w:val="nil"/>
                    <w:tr2bl w:val="nil"/>
                  </w:tcBorders>
                  <w:noWrap w:val="0"/>
                  <w:vAlign w:val="center"/>
                </w:tcPr>
                <w:p w14:paraId="02627C8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color w:val="auto"/>
                      <w:kern w:val="0"/>
                      <w:sz w:val="21"/>
                      <w:szCs w:val="21"/>
                      <w:highlight w:val="none"/>
                      <w:lang w:val="en-US" w:eastAsia="zh-CN"/>
                    </w:rPr>
                  </w:pPr>
                  <w:r>
                    <w:rPr>
                      <w:rFonts w:hint="eastAsia" w:ascii="Times New Roman" w:hAnsi="Times New Roman" w:cs="Times New Roman"/>
                      <w:b w:val="0"/>
                      <w:bCs/>
                      <w:color w:val="auto"/>
                      <w:kern w:val="0"/>
                      <w:sz w:val="21"/>
                      <w:szCs w:val="21"/>
                      <w:highlight w:val="none"/>
                      <w:lang w:val="en-US" w:eastAsia="zh-CN"/>
                    </w:rPr>
                    <w:t>50</w:t>
                  </w:r>
                </w:p>
              </w:tc>
            </w:tr>
          </w:tbl>
          <w:p w14:paraId="57799C52">
            <w:pPr>
              <w:adjustRightInd w:val="0"/>
              <w:snapToGrid w:val="0"/>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从表3-</w:t>
            </w:r>
            <w:r>
              <w:rPr>
                <w:rFonts w:hint="eastAsia" w:ascii="Times New Roman" w:hAnsi="Times New Roman" w:eastAsia="宋体" w:cs="Times New Roman"/>
                <w:color w:val="auto"/>
                <w:kern w:val="2"/>
                <w:sz w:val="24"/>
                <w:szCs w:val="24"/>
                <w:highlight w:val="none"/>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可知，项目厂区</w:t>
            </w:r>
            <w:r>
              <w:rPr>
                <w:rFonts w:hint="eastAsia" w:ascii="Times New Roman" w:hAnsi="Times New Roman" w:eastAsia="宋体" w:cs="Times New Roman"/>
                <w:color w:val="auto"/>
                <w:kern w:val="2"/>
                <w:sz w:val="24"/>
                <w:szCs w:val="24"/>
                <w:highlight w:val="none"/>
                <w:lang w:val="en-US" w:eastAsia="zh-CN" w:bidi="ar-SA"/>
              </w:rPr>
              <w:t>四周</w:t>
            </w:r>
            <w:r>
              <w:rPr>
                <w:rFonts w:hint="default" w:ascii="Times New Roman" w:hAnsi="Times New Roman" w:eastAsia="宋体" w:cs="Times New Roman"/>
                <w:color w:val="auto"/>
                <w:kern w:val="2"/>
                <w:sz w:val="24"/>
                <w:szCs w:val="24"/>
                <w:highlight w:val="none"/>
                <w:lang w:val="en-US" w:eastAsia="zh-CN" w:bidi="ar-SA"/>
              </w:rPr>
              <w:t>昼夜间声环境监测值</w:t>
            </w:r>
            <w:r>
              <w:rPr>
                <w:rFonts w:hint="eastAsia" w:ascii="Times New Roman" w:hAnsi="Times New Roman" w:eastAsia="宋体" w:cs="Times New Roman"/>
                <w:color w:val="auto"/>
                <w:kern w:val="2"/>
                <w:sz w:val="24"/>
                <w:szCs w:val="24"/>
                <w:highlight w:val="none"/>
                <w:lang w:val="en-US" w:eastAsia="zh-CN" w:bidi="ar-SA"/>
              </w:rPr>
              <w:t>均满足</w:t>
            </w:r>
            <w:r>
              <w:rPr>
                <w:rFonts w:hint="default" w:ascii="Times New Roman" w:hAnsi="Times New Roman" w:eastAsia="宋体" w:cs="Times New Roman"/>
                <w:color w:val="auto"/>
                <w:kern w:val="2"/>
                <w:sz w:val="24"/>
                <w:szCs w:val="24"/>
                <w:highlight w:val="none"/>
                <w:lang w:val="en-US" w:eastAsia="zh-CN" w:bidi="ar-SA"/>
              </w:rPr>
              <w:t>《声环境质量标准》（GB3096-2008）中</w:t>
            </w:r>
            <w:r>
              <w:rPr>
                <w:rFonts w:hint="eastAsia" w:ascii="Times New Roman" w:hAnsi="Times New Roman" w:eastAsia="宋体"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类</w:t>
            </w:r>
            <w:r>
              <w:rPr>
                <w:rFonts w:hint="default" w:ascii="Times New Roman" w:hAnsi="Times New Roman" w:eastAsia="宋体" w:cs="Times New Roman"/>
                <w:color w:val="auto"/>
                <w:kern w:val="2"/>
                <w:sz w:val="24"/>
                <w:szCs w:val="22"/>
                <w:highlight w:val="none"/>
                <w:lang w:val="en-US" w:eastAsia="zh-CN" w:bidi="ar-SA"/>
              </w:rPr>
              <w:t>标准要求</w:t>
            </w:r>
            <w:r>
              <w:rPr>
                <w:rFonts w:hint="eastAsia" w:ascii="Times New Roman" w:hAnsi="Times New Roman" w:eastAsia="宋体" w:cs="Times New Roman"/>
                <w:color w:val="auto"/>
                <w:kern w:val="2"/>
                <w:sz w:val="24"/>
                <w:szCs w:val="22"/>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厂区</w:t>
            </w:r>
            <w:r>
              <w:rPr>
                <w:rFonts w:hint="eastAsia" w:ascii="Times New Roman" w:hAnsi="Times New Roman" w:eastAsia="宋体" w:cs="Times New Roman"/>
                <w:color w:val="auto"/>
                <w:kern w:val="2"/>
                <w:sz w:val="24"/>
                <w:szCs w:val="24"/>
                <w:highlight w:val="none"/>
                <w:lang w:val="en-US" w:eastAsia="zh-CN" w:bidi="ar-SA"/>
              </w:rPr>
              <w:t>南侧居民点、西南侧居民点</w:t>
            </w:r>
            <w:r>
              <w:rPr>
                <w:rFonts w:hint="default" w:ascii="Times New Roman" w:hAnsi="Times New Roman" w:eastAsia="宋体" w:cs="Times New Roman"/>
                <w:color w:val="auto"/>
                <w:kern w:val="2"/>
                <w:sz w:val="24"/>
                <w:szCs w:val="24"/>
                <w:highlight w:val="none"/>
                <w:lang w:val="en-US" w:eastAsia="zh-CN" w:bidi="ar-SA"/>
              </w:rPr>
              <w:t>昼夜间声环境监测值</w:t>
            </w:r>
            <w:r>
              <w:rPr>
                <w:rFonts w:hint="eastAsia" w:ascii="Times New Roman" w:hAnsi="Times New Roman" w:eastAsia="宋体" w:cs="Times New Roman"/>
                <w:color w:val="auto"/>
                <w:kern w:val="2"/>
                <w:sz w:val="24"/>
                <w:szCs w:val="24"/>
                <w:highlight w:val="none"/>
                <w:lang w:val="en-US" w:eastAsia="zh-CN" w:bidi="ar-SA"/>
              </w:rPr>
              <w:t>均满足</w:t>
            </w:r>
            <w:r>
              <w:rPr>
                <w:rFonts w:hint="default" w:ascii="Times New Roman" w:hAnsi="Times New Roman" w:eastAsia="宋体" w:cs="Times New Roman"/>
                <w:color w:val="auto"/>
                <w:kern w:val="2"/>
                <w:sz w:val="24"/>
                <w:szCs w:val="24"/>
                <w:highlight w:val="none"/>
                <w:lang w:val="en-US" w:eastAsia="zh-CN" w:bidi="ar-SA"/>
              </w:rPr>
              <w:t>《声环境质量标准》（GB3096-2008）中</w:t>
            </w:r>
            <w:r>
              <w:rPr>
                <w:rFonts w:hint="eastAsia" w:ascii="Times New Roman" w:hAnsi="Times New Roman" w:eastAsia="宋体"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类</w:t>
            </w:r>
            <w:r>
              <w:rPr>
                <w:rFonts w:hint="default" w:ascii="Times New Roman" w:hAnsi="Times New Roman" w:eastAsia="宋体" w:cs="Times New Roman"/>
                <w:color w:val="auto"/>
                <w:kern w:val="2"/>
                <w:sz w:val="24"/>
                <w:szCs w:val="22"/>
                <w:highlight w:val="none"/>
                <w:lang w:val="en-US" w:eastAsia="zh-CN" w:bidi="ar-SA"/>
              </w:rPr>
              <w:t>标准要求</w:t>
            </w:r>
            <w:r>
              <w:rPr>
                <w:rFonts w:hint="eastAsia" w:ascii="Times New Roman" w:hAnsi="Times New Roman" w:eastAsia="宋体" w:cs="Times New Roman"/>
                <w:color w:val="auto"/>
                <w:kern w:val="2"/>
                <w:sz w:val="24"/>
                <w:szCs w:val="22"/>
                <w:highlight w:val="none"/>
                <w:lang w:val="en-US" w:eastAsia="zh-CN" w:bidi="ar-SA"/>
              </w:rPr>
              <w:t>。</w:t>
            </w:r>
          </w:p>
          <w:p w14:paraId="2C506D53">
            <w:pPr>
              <w:adjustRightInd w:val="0"/>
              <w:snapToGrid w:val="0"/>
              <w:spacing w:line="360" w:lineRule="auto"/>
              <w:ind w:firstLine="482" w:firstLineChars="200"/>
              <w:rPr>
                <w:rFonts w:hint="default" w:ascii="Times New Roman" w:hAnsi="Times New Roman" w:eastAsia="宋体" w:cs="Times New Roman"/>
                <w:b/>
                <w:bCs w:val="0"/>
                <w:color w:val="auto"/>
                <w:kern w:val="0"/>
                <w:sz w:val="24"/>
                <w:szCs w:val="24"/>
                <w:highlight w:val="none"/>
              </w:rPr>
            </w:pPr>
            <w:r>
              <w:rPr>
                <w:rFonts w:hint="default" w:ascii="Times New Roman" w:hAnsi="Times New Roman" w:eastAsia="宋体" w:cs="Times New Roman"/>
                <w:b/>
                <w:bCs w:val="0"/>
                <w:color w:val="auto"/>
                <w:kern w:val="0"/>
                <w:sz w:val="24"/>
                <w:szCs w:val="24"/>
                <w:highlight w:val="none"/>
                <w:lang w:val="en-US" w:eastAsia="zh-CN"/>
              </w:rPr>
              <w:t>3</w:t>
            </w:r>
            <w:r>
              <w:rPr>
                <w:rFonts w:hint="default" w:ascii="Times New Roman" w:hAnsi="Times New Roman" w:eastAsia="宋体" w:cs="Times New Roman"/>
                <w:b/>
                <w:bCs w:val="0"/>
                <w:color w:val="auto"/>
                <w:kern w:val="0"/>
                <w:sz w:val="24"/>
                <w:szCs w:val="24"/>
                <w:highlight w:val="none"/>
              </w:rPr>
              <w:t>、生态环境现状</w:t>
            </w:r>
          </w:p>
          <w:p w14:paraId="097704D5">
            <w:pPr>
              <w:adjustRightInd w:val="0"/>
              <w:snapToGrid w:val="0"/>
              <w:spacing w:line="360" w:lineRule="auto"/>
              <w:ind w:firstLine="480" w:firstLineChars="200"/>
              <w:rPr>
                <w:rFonts w:hint="default" w:ascii="Times New Roman" w:hAnsi="Times New Roman" w:eastAsia="宋体" w:cs="Times New Roman"/>
                <w:bCs/>
                <w:color w:val="auto"/>
                <w:kern w:val="0"/>
                <w:sz w:val="24"/>
                <w:szCs w:val="24"/>
                <w:highlight w:val="none"/>
                <w:lang w:val="en-US" w:eastAsia="zh-CN"/>
              </w:rPr>
            </w:pPr>
            <w:r>
              <w:rPr>
                <w:rFonts w:hint="default" w:ascii="Times New Roman" w:hAnsi="Times New Roman" w:eastAsia="宋体" w:cs="Times New Roman"/>
                <w:bCs/>
                <w:color w:val="auto"/>
                <w:kern w:val="0"/>
                <w:sz w:val="24"/>
                <w:szCs w:val="24"/>
                <w:highlight w:val="none"/>
                <w:lang w:val="en-US" w:eastAsia="zh-CN"/>
              </w:rPr>
              <w:t>根据《建设项目环境影响报告表编制技术指南》（污染影响类）（试行）中的要求：产业园区外建设项目新增用地且用地范围内含有生态环境保护目标时，应进行生态现状调查。</w:t>
            </w:r>
          </w:p>
          <w:p w14:paraId="562DFC82">
            <w:pPr>
              <w:adjustRightInd w:val="0"/>
              <w:snapToGrid w:val="0"/>
              <w:spacing w:line="360" w:lineRule="auto"/>
              <w:ind w:firstLine="480" w:firstLineChars="200"/>
              <w:rPr>
                <w:rFonts w:hint="default" w:ascii="Times New Roman" w:hAnsi="Times New Roman" w:eastAsia="宋体" w:cs="Times New Roman"/>
                <w:bCs/>
                <w:color w:val="auto"/>
                <w:kern w:val="0"/>
                <w:sz w:val="24"/>
                <w:szCs w:val="24"/>
                <w:highlight w:val="none"/>
                <w:lang w:eastAsia="zh-CN"/>
              </w:rPr>
            </w:pPr>
            <w:r>
              <w:rPr>
                <w:rFonts w:hint="default" w:ascii="Times New Roman" w:hAnsi="Times New Roman" w:eastAsia="宋体" w:cs="Times New Roman"/>
                <w:bCs/>
                <w:color w:val="auto"/>
                <w:kern w:val="0"/>
                <w:sz w:val="24"/>
                <w:szCs w:val="24"/>
                <w:highlight w:val="none"/>
                <w:lang w:val="en-US" w:eastAsia="zh-CN"/>
              </w:rPr>
              <w:t>本</w:t>
            </w:r>
            <w:r>
              <w:rPr>
                <w:rFonts w:hint="default" w:ascii="Times New Roman" w:hAnsi="Times New Roman" w:eastAsia="宋体" w:cs="Times New Roman"/>
                <w:bCs/>
                <w:color w:val="auto"/>
                <w:kern w:val="0"/>
                <w:sz w:val="24"/>
                <w:szCs w:val="24"/>
                <w:highlight w:val="none"/>
              </w:rPr>
              <w:t>项目位于巴彦淖尔磴口工业园区磴口县鸿运建材有限责任公司厂区内，</w:t>
            </w:r>
            <w:r>
              <w:rPr>
                <w:rFonts w:hint="default" w:ascii="Times New Roman" w:hAnsi="Times New Roman" w:eastAsia="宋体" w:cs="Times New Roman"/>
                <w:bCs/>
                <w:color w:val="auto"/>
                <w:kern w:val="0"/>
                <w:sz w:val="24"/>
                <w:szCs w:val="24"/>
                <w:highlight w:val="none"/>
                <w:lang w:val="en-US" w:eastAsia="zh-CN"/>
              </w:rPr>
              <w:t>并且无新增用地，</w:t>
            </w:r>
            <w:r>
              <w:rPr>
                <w:rFonts w:hint="default" w:ascii="Times New Roman" w:hAnsi="Times New Roman" w:eastAsia="宋体" w:cs="Times New Roman"/>
                <w:bCs/>
                <w:color w:val="auto"/>
                <w:kern w:val="0"/>
                <w:sz w:val="24"/>
                <w:szCs w:val="24"/>
                <w:highlight w:val="none"/>
              </w:rPr>
              <w:t>因此，本次评价不进行生态现状调查</w:t>
            </w:r>
            <w:r>
              <w:rPr>
                <w:rFonts w:hint="default" w:ascii="Times New Roman" w:hAnsi="Times New Roman" w:eastAsia="宋体" w:cs="Times New Roman"/>
                <w:bCs/>
                <w:color w:val="auto"/>
                <w:kern w:val="0"/>
                <w:sz w:val="24"/>
                <w:szCs w:val="24"/>
                <w:highlight w:val="none"/>
                <w:lang w:eastAsia="zh-CN"/>
              </w:rPr>
              <w:t>。</w:t>
            </w:r>
          </w:p>
          <w:p w14:paraId="6B5CEB17">
            <w:pPr>
              <w:adjustRightInd w:val="0"/>
              <w:snapToGrid w:val="0"/>
              <w:spacing w:line="360" w:lineRule="auto"/>
              <w:ind w:firstLine="482" w:firstLineChars="200"/>
              <w:rPr>
                <w:rFonts w:hint="default" w:ascii="Times New Roman" w:hAnsi="Times New Roman" w:eastAsia="宋体" w:cs="Times New Roman"/>
                <w:b/>
                <w:bCs w:val="0"/>
                <w:color w:val="auto"/>
                <w:kern w:val="0"/>
                <w:sz w:val="24"/>
                <w:szCs w:val="24"/>
                <w:highlight w:val="none"/>
              </w:rPr>
            </w:pPr>
            <w:r>
              <w:rPr>
                <w:rFonts w:hint="default" w:ascii="Times New Roman" w:hAnsi="Times New Roman" w:eastAsia="宋体" w:cs="Times New Roman"/>
                <w:b/>
                <w:bCs w:val="0"/>
                <w:color w:val="auto"/>
                <w:kern w:val="0"/>
                <w:sz w:val="24"/>
                <w:szCs w:val="24"/>
                <w:highlight w:val="none"/>
                <w:lang w:val="en-US" w:eastAsia="zh-CN"/>
              </w:rPr>
              <w:t>4</w:t>
            </w:r>
            <w:r>
              <w:rPr>
                <w:rFonts w:hint="default" w:ascii="Times New Roman" w:hAnsi="Times New Roman" w:eastAsia="宋体" w:cs="Times New Roman"/>
                <w:b/>
                <w:bCs w:val="0"/>
                <w:color w:val="auto"/>
                <w:kern w:val="0"/>
                <w:sz w:val="24"/>
                <w:szCs w:val="24"/>
                <w:highlight w:val="none"/>
              </w:rPr>
              <w:t>、地下水</w:t>
            </w:r>
            <w:r>
              <w:rPr>
                <w:rFonts w:hint="default" w:ascii="Times New Roman" w:hAnsi="Times New Roman" w:eastAsia="宋体" w:cs="Times New Roman"/>
                <w:b/>
                <w:bCs w:val="0"/>
                <w:color w:val="auto"/>
                <w:kern w:val="0"/>
                <w:sz w:val="24"/>
                <w:szCs w:val="24"/>
                <w:highlight w:val="none"/>
                <w:lang w:eastAsia="zh-CN"/>
              </w:rPr>
              <w:t>、</w:t>
            </w:r>
            <w:r>
              <w:rPr>
                <w:rFonts w:hint="default" w:ascii="Times New Roman" w:hAnsi="Times New Roman" w:eastAsia="宋体" w:cs="Times New Roman"/>
                <w:b/>
                <w:bCs w:val="0"/>
                <w:color w:val="auto"/>
                <w:kern w:val="0"/>
                <w:sz w:val="24"/>
                <w:szCs w:val="24"/>
                <w:highlight w:val="none"/>
              </w:rPr>
              <w:t>土壤环境质量现状</w:t>
            </w:r>
          </w:p>
          <w:p w14:paraId="23D30546">
            <w:pPr>
              <w:adjustRightInd w:val="0"/>
              <w:snapToGrid w:val="0"/>
              <w:spacing w:line="360" w:lineRule="auto"/>
              <w:ind w:firstLine="480" w:firstLineChars="200"/>
              <w:rPr>
                <w:rFonts w:hint="default" w:ascii="Times New Roman" w:hAnsi="Times New Roman" w:eastAsia="宋体" w:cs="Times New Roman"/>
                <w:bCs/>
                <w:color w:val="auto"/>
                <w:kern w:val="0"/>
                <w:sz w:val="24"/>
                <w:szCs w:val="24"/>
                <w:highlight w:val="none"/>
              </w:rPr>
            </w:pPr>
            <w:r>
              <w:rPr>
                <w:rFonts w:hint="default" w:ascii="Times New Roman" w:hAnsi="Times New Roman" w:eastAsia="宋体" w:cs="Times New Roman"/>
                <w:bCs/>
                <w:color w:val="auto"/>
                <w:kern w:val="0"/>
                <w:sz w:val="24"/>
                <w:szCs w:val="24"/>
                <w:highlight w:val="none"/>
                <w:lang w:val="en-US" w:eastAsia="zh-CN"/>
              </w:rPr>
              <w:t>根据《建设项目环境影响报告表编制技术指南》（污染影响类）（试行）中的要求：原则上不开展环境质量现状调查。</w:t>
            </w:r>
          </w:p>
          <w:p w14:paraId="16B27444">
            <w:pPr>
              <w:adjustRightInd w:val="0"/>
              <w:snapToGrid w:val="0"/>
              <w:spacing w:line="360" w:lineRule="auto"/>
              <w:ind w:firstLine="480" w:firstLineChars="200"/>
              <w:rPr>
                <w:rFonts w:hint="default" w:ascii="Times New Roman" w:hAnsi="Times New Roman" w:eastAsia="宋体" w:cs="Times New Roman"/>
                <w:bCs/>
                <w:color w:val="auto"/>
                <w:kern w:val="0"/>
                <w:sz w:val="24"/>
                <w:szCs w:val="24"/>
                <w:highlight w:val="none"/>
                <w:lang w:val="en-US" w:eastAsia="zh-CN"/>
              </w:rPr>
            </w:pPr>
            <w:r>
              <w:rPr>
                <w:rFonts w:hint="default" w:ascii="Times New Roman" w:hAnsi="Times New Roman" w:eastAsia="宋体" w:cs="Times New Roman"/>
                <w:bCs/>
                <w:color w:val="auto"/>
                <w:kern w:val="0"/>
                <w:sz w:val="24"/>
                <w:szCs w:val="24"/>
                <w:highlight w:val="none"/>
              </w:rPr>
              <w:t>依据《环境影响评价技术导则 地下水环境》（HJ610-2016）附录A-地下水环境影响评价行业分类表之划分，</w:t>
            </w:r>
            <w:r>
              <w:rPr>
                <w:rFonts w:hint="default" w:ascii="Times New Roman" w:hAnsi="Times New Roman" w:eastAsia="宋体" w:cs="Times New Roman"/>
                <w:bCs/>
                <w:color w:val="auto"/>
                <w:kern w:val="0"/>
                <w:sz w:val="24"/>
                <w:szCs w:val="24"/>
                <w:highlight w:val="none"/>
                <w:lang w:val="en-US" w:eastAsia="zh-CN"/>
              </w:rPr>
              <w:t>本项目为“U城镇基础设施及房地产”--“142、热力生产和供应工程”，属于Ⅳ类</w:t>
            </w:r>
            <w:r>
              <w:rPr>
                <w:rFonts w:hint="default" w:ascii="Times New Roman" w:hAnsi="Times New Roman" w:eastAsia="宋体" w:cs="Times New Roman"/>
                <w:bCs/>
                <w:color w:val="auto"/>
                <w:kern w:val="0"/>
                <w:sz w:val="24"/>
                <w:szCs w:val="24"/>
                <w:highlight w:val="none"/>
              </w:rPr>
              <w:t>地下水项目类别。</w:t>
            </w:r>
          </w:p>
          <w:p w14:paraId="3B3AEB03">
            <w:pPr>
              <w:adjustRightInd w:val="0"/>
              <w:snapToGrid w:val="0"/>
              <w:spacing w:line="360" w:lineRule="auto"/>
              <w:ind w:firstLine="480" w:firstLineChars="200"/>
              <w:rPr>
                <w:rFonts w:hint="default" w:ascii="Times New Roman" w:hAnsi="Times New Roman" w:eastAsia="宋体" w:cs="Times New Roman"/>
                <w:bCs/>
                <w:color w:val="auto"/>
                <w:kern w:val="0"/>
                <w:sz w:val="24"/>
                <w:szCs w:val="24"/>
                <w:highlight w:val="none"/>
                <w:lang w:val="en-US" w:eastAsia="zh-CN"/>
              </w:rPr>
            </w:pPr>
            <w:r>
              <w:rPr>
                <w:rFonts w:hint="default" w:ascii="Times New Roman" w:hAnsi="Times New Roman" w:eastAsia="宋体" w:cs="Times New Roman"/>
                <w:bCs/>
                <w:color w:val="auto"/>
                <w:kern w:val="0"/>
                <w:sz w:val="24"/>
                <w:szCs w:val="24"/>
                <w:highlight w:val="none"/>
              </w:rPr>
              <w:t>对照《环境影响评价技术导则 土壤环境（试行）》（HJ964-2018）</w:t>
            </w:r>
            <w:r>
              <w:rPr>
                <w:rFonts w:hint="default" w:ascii="Times New Roman" w:hAnsi="Times New Roman" w:eastAsia="宋体" w:cs="Times New Roman"/>
                <w:bCs/>
                <w:color w:val="auto"/>
                <w:kern w:val="0"/>
                <w:sz w:val="24"/>
                <w:szCs w:val="24"/>
                <w:highlight w:val="none"/>
                <w:lang w:val="en-US" w:eastAsia="zh-CN"/>
              </w:rPr>
              <w:t>附录A-土壤环境影响评价项目类别之划分</w:t>
            </w:r>
            <w:r>
              <w:rPr>
                <w:rFonts w:hint="default" w:ascii="Times New Roman" w:hAnsi="Times New Roman" w:eastAsia="宋体" w:cs="Times New Roman"/>
                <w:bCs/>
                <w:color w:val="auto"/>
                <w:kern w:val="0"/>
                <w:sz w:val="24"/>
                <w:szCs w:val="24"/>
                <w:highlight w:val="none"/>
              </w:rPr>
              <w:t>，</w:t>
            </w:r>
            <w:r>
              <w:rPr>
                <w:rFonts w:hint="default" w:ascii="Times New Roman" w:hAnsi="Times New Roman" w:eastAsia="宋体" w:cs="Times New Roman"/>
                <w:bCs/>
                <w:color w:val="auto"/>
                <w:kern w:val="0"/>
                <w:sz w:val="24"/>
                <w:szCs w:val="24"/>
                <w:highlight w:val="none"/>
                <w:lang w:val="en-US" w:eastAsia="zh-CN"/>
              </w:rPr>
              <w:t>本项目为“电力热力燃气及水生产和供应业”--“其他”，属于Ⅳ类土壤</w:t>
            </w:r>
            <w:r>
              <w:rPr>
                <w:rFonts w:hint="default" w:ascii="Times New Roman" w:hAnsi="Times New Roman" w:eastAsia="宋体" w:cs="Times New Roman"/>
                <w:bCs/>
                <w:color w:val="auto"/>
                <w:kern w:val="0"/>
                <w:sz w:val="24"/>
                <w:szCs w:val="24"/>
                <w:highlight w:val="none"/>
              </w:rPr>
              <w:t>项目类别。</w:t>
            </w:r>
          </w:p>
          <w:p w14:paraId="249BB4B8">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kern w:val="0"/>
                <w:sz w:val="24"/>
                <w:szCs w:val="24"/>
                <w:highlight w:val="none"/>
              </w:rPr>
              <w:t>本项目厂界外500m范围内不涉及地下水集中式饮用水水源和热水、矿泉水、温泉等特殊地下水资源等地下水环境敏感目标。本项目各区域均采取防渗地面，项目日常运行不存在对土壤、地下水的影响途径，</w:t>
            </w:r>
            <w:r>
              <w:rPr>
                <w:rFonts w:hint="default" w:ascii="Times New Roman" w:hAnsi="Times New Roman" w:eastAsia="宋体" w:cs="Times New Roman"/>
                <w:bCs/>
                <w:color w:val="auto"/>
                <w:kern w:val="0"/>
                <w:sz w:val="24"/>
                <w:szCs w:val="24"/>
                <w:highlight w:val="none"/>
                <w:lang w:val="en-US" w:eastAsia="zh-CN"/>
              </w:rPr>
              <w:t>因此，</w:t>
            </w:r>
            <w:r>
              <w:rPr>
                <w:rFonts w:hint="default" w:ascii="Times New Roman" w:hAnsi="Times New Roman" w:eastAsia="宋体" w:cs="Times New Roman"/>
                <w:bCs/>
                <w:color w:val="auto"/>
                <w:kern w:val="0"/>
                <w:sz w:val="24"/>
                <w:szCs w:val="24"/>
                <w:highlight w:val="none"/>
              </w:rPr>
              <w:t>本次评价不开展进行地下水和土壤现状环境质量评价。</w:t>
            </w:r>
          </w:p>
        </w:tc>
      </w:tr>
      <w:tr w14:paraId="71B64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14:paraId="022828BE">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环境保护目标</w:t>
            </w:r>
          </w:p>
        </w:tc>
        <w:tc>
          <w:tcPr>
            <w:tcW w:w="8492" w:type="dxa"/>
            <w:vAlign w:val="center"/>
          </w:tcPr>
          <w:p w14:paraId="316CE91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根据区域环境功能特征及建设项目地理位置和性质，确定受本项目影响主要保护目标如下：</w:t>
            </w:r>
          </w:p>
          <w:p w14:paraId="6F240149">
            <w:pPr>
              <w:tabs>
                <w:tab w:val="left" w:pos="1992"/>
              </w:tabs>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eastAsia"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具体保护目标</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959"/>
              <w:gridCol w:w="897"/>
              <w:gridCol w:w="1612"/>
              <w:gridCol w:w="897"/>
              <w:gridCol w:w="897"/>
              <w:gridCol w:w="798"/>
              <w:gridCol w:w="1489"/>
            </w:tblGrid>
            <w:tr w14:paraId="5340B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Align w:val="center"/>
                </w:tcPr>
                <w:p w14:paraId="32AAFA9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环境要素</w:t>
                  </w:r>
                </w:p>
              </w:tc>
              <w:tc>
                <w:tcPr>
                  <w:tcW w:w="959" w:type="dxa"/>
                  <w:vAlign w:val="center"/>
                </w:tcPr>
                <w:p w14:paraId="05C98F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保护范围</w:t>
                  </w:r>
                </w:p>
              </w:tc>
              <w:tc>
                <w:tcPr>
                  <w:tcW w:w="897" w:type="dxa"/>
                  <w:vAlign w:val="center"/>
                </w:tcPr>
                <w:p w14:paraId="1987AD6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保护目标名称</w:t>
                  </w:r>
                </w:p>
              </w:tc>
              <w:tc>
                <w:tcPr>
                  <w:tcW w:w="1612" w:type="dxa"/>
                  <w:vAlign w:val="center"/>
                </w:tcPr>
                <w:p w14:paraId="65CC0E7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坐标</w:t>
                  </w:r>
                </w:p>
              </w:tc>
              <w:tc>
                <w:tcPr>
                  <w:tcW w:w="897" w:type="dxa"/>
                  <w:vAlign w:val="center"/>
                </w:tcPr>
                <w:p w14:paraId="40A0D41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相对位置</w:t>
                  </w:r>
                </w:p>
              </w:tc>
              <w:tc>
                <w:tcPr>
                  <w:tcW w:w="897" w:type="dxa"/>
                  <w:vAlign w:val="center"/>
                </w:tcPr>
                <w:p w14:paraId="3180DC9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距离（m）</w:t>
                  </w:r>
                </w:p>
              </w:tc>
              <w:tc>
                <w:tcPr>
                  <w:tcW w:w="798" w:type="dxa"/>
                  <w:vAlign w:val="center"/>
                </w:tcPr>
                <w:p w14:paraId="6512BAB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人数</w:t>
                  </w:r>
                </w:p>
              </w:tc>
              <w:tc>
                <w:tcPr>
                  <w:tcW w:w="1489" w:type="dxa"/>
                  <w:vAlign w:val="center"/>
                </w:tcPr>
                <w:p w14:paraId="4409FBB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保护级别</w:t>
                  </w:r>
                </w:p>
              </w:tc>
            </w:tr>
            <w:tr w14:paraId="3C509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restart"/>
                  <w:vAlign w:val="center"/>
                </w:tcPr>
                <w:p w14:paraId="46ABB03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959" w:type="dxa"/>
                  <w:vMerge w:val="restart"/>
                  <w:vAlign w:val="center"/>
                </w:tcPr>
                <w:p w14:paraId="712693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厂界外扩500m范围</w:t>
                  </w:r>
                </w:p>
              </w:tc>
              <w:tc>
                <w:tcPr>
                  <w:tcW w:w="897" w:type="dxa"/>
                  <w:vAlign w:val="center"/>
                </w:tcPr>
                <w:p w14:paraId="3569404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1#居民点</w:t>
                  </w:r>
                </w:p>
              </w:tc>
              <w:tc>
                <w:tcPr>
                  <w:tcW w:w="1612" w:type="dxa"/>
                  <w:vAlign w:val="center"/>
                </w:tcPr>
                <w:p w14:paraId="52DA6F70">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E106.99975</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，N40.3764</w:t>
                  </w:r>
                  <w:r>
                    <w:rPr>
                      <w:rFonts w:hint="eastAsia" w:ascii="Times New Roman" w:hAnsi="Times New Roman" w:eastAsia="宋体" w:cs="Times New Roman"/>
                      <w:color w:val="auto"/>
                      <w:sz w:val="21"/>
                      <w:szCs w:val="21"/>
                      <w:highlight w:val="none"/>
                      <w:lang w:val="en-US" w:eastAsia="zh-CN"/>
                    </w:rPr>
                    <w:t>°</w:t>
                  </w:r>
                </w:p>
              </w:tc>
              <w:tc>
                <w:tcPr>
                  <w:tcW w:w="897" w:type="dxa"/>
                  <w:vAlign w:val="center"/>
                </w:tcPr>
                <w:p w14:paraId="30BA278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厂区西南侧</w:t>
                  </w:r>
                </w:p>
              </w:tc>
              <w:tc>
                <w:tcPr>
                  <w:tcW w:w="897" w:type="dxa"/>
                  <w:vAlign w:val="center"/>
                </w:tcPr>
                <w:p w14:paraId="022A21CC">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5</w:t>
                  </w:r>
                </w:p>
              </w:tc>
              <w:tc>
                <w:tcPr>
                  <w:tcW w:w="798" w:type="dxa"/>
                  <w:vAlign w:val="center"/>
                </w:tcPr>
                <w:p w14:paraId="48F5489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3人</w:t>
                  </w:r>
                </w:p>
              </w:tc>
              <w:tc>
                <w:tcPr>
                  <w:tcW w:w="1489" w:type="dxa"/>
                  <w:vMerge w:val="restart"/>
                  <w:vAlign w:val="center"/>
                </w:tcPr>
                <w:p w14:paraId="2612C36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《环境空气质量标准》（GB3095-2012）二级标准</w:t>
                  </w:r>
                </w:p>
              </w:tc>
            </w:tr>
            <w:tr w14:paraId="1FF33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31F9D13C">
                  <w:pPr>
                    <w:jc w:val="center"/>
                    <w:rPr>
                      <w:rFonts w:hint="default" w:ascii="Times New Roman" w:hAnsi="Times New Roman" w:eastAsia="宋体" w:cs="Times New Roman"/>
                      <w:color w:val="auto"/>
                      <w:sz w:val="21"/>
                      <w:szCs w:val="21"/>
                      <w:highlight w:val="none"/>
                    </w:rPr>
                  </w:pPr>
                </w:p>
              </w:tc>
              <w:tc>
                <w:tcPr>
                  <w:tcW w:w="959" w:type="dxa"/>
                  <w:vMerge w:val="continue"/>
                  <w:vAlign w:val="center"/>
                </w:tcPr>
                <w:p w14:paraId="26BA935C">
                  <w:pPr>
                    <w:jc w:val="center"/>
                    <w:rPr>
                      <w:rFonts w:hint="default" w:ascii="Times New Roman" w:hAnsi="Times New Roman" w:eastAsia="宋体" w:cs="Times New Roman"/>
                      <w:color w:val="auto"/>
                      <w:sz w:val="21"/>
                      <w:szCs w:val="21"/>
                      <w:highlight w:val="none"/>
                    </w:rPr>
                  </w:pPr>
                </w:p>
              </w:tc>
              <w:tc>
                <w:tcPr>
                  <w:tcW w:w="897" w:type="dxa"/>
                  <w:vAlign w:val="center"/>
                </w:tcPr>
                <w:p w14:paraId="5181A02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#居民点</w:t>
                  </w:r>
                </w:p>
              </w:tc>
              <w:tc>
                <w:tcPr>
                  <w:tcW w:w="1612" w:type="dxa"/>
                  <w:vAlign w:val="center"/>
                </w:tcPr>
                <w:p w14:paraId="3244FB8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E107.0007</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N40.37643</w:t>
                  </w:r>
                  <w:r>
                    <w:rPr>
                      <w:rFonts w:hint="eastAsia" w:ascii="Times New Roman" w:hAnsi="Times New Roman" w:eastAsia="宋体" w:cs="Times New Roman"/>
                      <w:color w:val="auto"/>
                      <w:sz w:val="21"/>
                      <w:szCs w:val="21"/>
                      <w:highlight w:val="none"/>
                      <w:lang w:val="en-US" w:eastAsia="zh-CN"/>
                    </w:rPr>
                    <w:t>°</w:t>
                  </w:r>
                </w:p>
              </w:tc>
              <w:tc>
                <w:tcPr>
                  <w:tcW w:w="897" w:type="dxa"/>
                  <w:vAlign w:val="center"/>
                </w:tcPr>
                <w:p w14:paraId="28D657B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厂区南侧</w:t>
                  </w:r>
                </w:p>
              </w:tc>
              <w:tc>
                <w:tcPr>
                  <w:tcW w:w="897" w:type="dxa"/>
                  <w:vAlign w:val="center"/>
                </w:tcPr>
                <w:p w14:paraId="6EF1081D">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798" w:type="dxa"/>
                  <w:vAlign w:val="center"/>
                </w:tcPr>
                <w:p w14:paraId="0ABCB9E1">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人</w:t>
                  </w:r>
                </w:p>
              </w:tc>
              <w:tc>
                <w:tcPr>
                  <w:tcW w:w="1489" w:type="dxa"/>
                  <w:vMerge w:val="continue"/>
                  <w:vAlign w:val="center"/>
                </w:tcPr>
                <w:p w14:paraId="09EBEE0E">
                  <w:pPr>
                    <w:jc w:val="center"/>
                    <w:rPr>
                      <w:rFonts w:hint="default" w:ascii="Times New Roman" w:hAnsi="Times New Roman" w:eastAsia="宋体" w:cs="Times New Roman"/>
                      <w:color w:val="auto"/>
                      <w:sz w:val="21"/>
                      <w:szCs w:val="21"/>
                      <w:highlight w:val="none"/>
                    </w:rPr>
                  </w:pPr>
                </w:p>
              </w:tc>
            </w:tr>
            <w:tr w14:paraId="7C718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34F30F48">
                  <w:pPr>
                    <w:jc w:val="center"/>
                    <w:rPr>
                      <w:rFonts w:hint="default" w:ascii="Times New Roman" w:hAnsi="Times New Roman" w:eastAsia="宋体" w:cs="Times New Roman"/>
                      <w:color w:val="auto"/>
                      <w:sz w:val="21"/>
                      <w:szCs w:val="21"/>
                      <w:highlight w:val="none"/>
                    </w:rPr>
                  </w:pPr>
                </w:p>
              </w:tc>
              <w:tc>
                <w:tcPr>
                  <w:tcW w:w="959" w:type="dxa"/>
                  <w:vMerge w:val="continue"/>
                  <w:vAlign w:val="center"/>
                </w:tcPr>
                <w:p w14:paraId="7D884C93">
                  <w:pPr>
                    <w:jc w:val="center"/>
                    <w:rPr>
                      <w:rFonts w:hint="default" w:ascii="Times New Roman" w:hAnsi="Times New Roman" w:eastAsia="宋体" w:cs="Times New Roman"/>
                      <w:color w:val="auto"/>
                      <w:sz w:val="21"/>
                      <w:szCs w:val="21"/>
                      <w:highlight w:val="none"/>
                    </w:rPr>
                  </w:pPr>
                </w:p>
              </w:tc>
              <w:tc>
                <w:tcPr>
                  <w:tcW w:w="897" w:type="dxa"/>
                  <w:shd w:val="clear" w:color="auto" w:fill="auto"/>
                  <w:vAlign w:val="center"/>
                </w:tcPr>
                <w:p w14:paraId="4A29875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#居民点</w:t>
                  </w:r>
                </w:p>
              </w:tc>
              <w:tc>
                <w:tcPr>
                  <w:tcW w:w="1612" w:type="dxa"/>
                  <w:shd w:val="clear" w:color="auto" w:fill="auto"/>
                  <w:vAlign w:val="center"/>
                </w:tcPr>
                <w:p w14:paraId="04A58F1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E107.00169</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，N40.37337</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0C9B47E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厂区南侧</w:t>
                  </w:r>
                </w:p>
              </w:tc>
              <w:tc>
                <w:tcPr>
                  <w:tcW w:w="897" w:type="dxa"/>
                  <w:shd w:val="clear" w:color="auto" w:fill="auto"/>
                  <w:vAlign w:val="center"/>
                </w:tcPr>
                <w:p w14:paraId="7555A7F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320</w:t>
                  </w:r>
                </w:p>
              </w:tc>
              <w:tc>
                <w:tcPr>
                  <w:tcW w:w="798" w:type="dxa"/>
                  <w:shd w:val="clear" w:color="auto" w:fill="auto"/>
                  <w:vAlign w:val="center"/>
                </w:tcPr>
                <w:p w14:paraId="195497C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5人</w:t>
                  </w:r>
                </w:p>
              </w:tc>
              <w:tc>
                <w:tcPr>
                  <w:tcW w:w="1489" w:type="dxa"/>
                  <w:vMerge w:val="continue"/>
                  <w:vAlign w:val="center"/>
                </w:tcPr>
                <w:p w14:paraId="1D23CE4F">
                  <w:pPr>
                    <w:jc w:val="center"/>
                    <w:rPr>
                      <w:rFonts w:hint="default" w:ascii="Times New Roman" w:hAnsi="Times New Roman" w:eastAsia="宋体" w:cs="Times New Roman"/>
                      <w:color w:val="auto"/>
                      <w:sz w:val="21"/>
                      <w:szCs w:val="21"/>
                      <w:highlight w:val="none"/>
                    </w:rPr>
                  </w:pPr>
                </w:p>
              </w:tc>
            </w:tr>
            <w:tr w14:paraId="5EBC1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5EF14E16">
                  <w:pPr>
                    <w:jc w:val="center"/>
                    <w:rPr>
                      <w:rFonts w:hint="default" w:ascii="Times New Roman" w:hAnsi="Times New Roman" w:eastAsia="宋体" w:cs="Times New Roman"/>
                      <w:color w:val="auto"/>
                      <w:sz w:val="21"/>
                      <w:szCs w:val="21"/>
                      <w:highlight w:val="none"/>
                    </w:rPr>
                  </w:pPr>
                </w:p>
              </w:tc>
              <w:tc>
                <w:tcPr>
                  <w:tcW w:w="959" w:type="dxa"/>
                  <w:vMerge w:val="continue"/>
                  <w:vAlign w:val="center"/>
                </w:tcPr>
                <w:p w14:paraId="664BF46A">
                  <w:pPr>
                    <w:jc w:val="center"/>
                    <w:rPr>
                      <w:rFonts w:hint="default" w:ascii="Times New Roman" w:hAnsi="Times New Roman" w:eastAsia="宋体" w:cs="Times New Roman"/>
                      <w:color w:val="auto"/>
                      <w:sz w:val="21"/>
                      <w:szCs w:val="21"/>
                      <w:highlight w:val="none"/>
                    </w:rPr>
                  </w:pPr>
                </w:p>
              </w:tc>
              <w:tc>
                <w:tcPr>
                  <w:tcW w:w="897" w:type="dxa"/>
                  <w:shd w:val="clear" w:color="auto" w:fill="auto"/>
                  <w:vAlign w:val="center"/>
                </w:tcPr>
                <w:p w14:paraId="343A2642">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#居民点</w:t>
                  </w:r>
                </w:p>
              </w:tc>
              <w:tc>
                <w:tcPr>
                  <w:tcW w:w="1612" w:type="dxa"/>
                  <w:shd w:val="clear" w:color="auto" w:fill="auto"/>
                  <w:vAlign w:val="center"/>
                </w:tcPr>
                <w:p w14:paraId="77D723C2">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E107.00326</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，N40.37590</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7F2CE45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厂区东南侧</w:t>
                  </w:r>
                </w:p>
              </w:tc>
              <w:tc>
                <w:tcPr>
                  <w:tcW w:w="897" w:type="dxa"/>
                  <w:shd w:val="clear" w:color="auto" w:fill="auto"/>
                  <w:vAlign w:val="center"/>
                </w:tcPr>
                <w:p w14:paraId="33D503E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125</w:t>
                  </w:r>
                </w:p>
              </w:tc>
              <w:tc>
                <w:tcPr>
                  <w:tcW w:w="798" w:type="dxa"/>
                  <w:shd w:val="clear" w:color="auto" w:fill="auto"/>
                  <w:vAlign w:val="center"/>
                </w:tcPr>
                <w:p w14:paraId="78531BF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2人</w:t>
                  </w:r>
                </w:p>
              </w:tc>
              <w:tc>
                <w:tcPr>
                  <w:tcW w:w="1489" w:type="dxa"/>
                  <w:vMerge w:val="continue"/>
                  <w:vAlign w:val="center"/>
                </w:tcPr>
                <w:p w14:paraId="41AE6C76">
                  <w:pPr>
                    <w:jc w:val="center"/>
                    <w:rPr>
                      <w:rFonts w:hint="default" w:ascii="Times New Roman" w:hAnsi="Times New Roman" w:eastAsia="宋体" w:cs="Times New Roman"/>
                      <w:color w:val="auto"/>
                      <w:sz w:val="21"/>
                      <w:szCs w:val="21"/>
                      <w:highlight w:val="none"/>
                    </w:rPr>
                  </w:pPr>
                </w:p>
              </w:tc>
            </w:tr>
            <w:tr w14:paraId="7C9AC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58982C50">
                  <w:pPr>
                    <w:jc w:val="center"/>
                    <w:rPr>
                      <w:rFonts w:hint="default" w:ascii="Times New Roman" w:hAnsi="Times New Roman" w:eastAsia="宋体" w:cs="Times New Roman"/>
                      <w:color w:val="auto"/>
                      <w:sz w:val="21"/>
                      <w:szCs w:val="21"/>
                      <w:highlight w:val="none"/>
                    </w:rPr>
                  </w:pPr>
                </w:p>
              </w:tc>
              <w:tc>
                <w:tcPr>
                  <w:tcW w:w="959" w:type="dxa"/>
                  <w:vMerge w:val="continue"/>
                  <w:vAlign w:val="center"/>
                </w:tcPr>
                <w:p w14:paraId="00111B1F">
                  <w:pPr>
                    <w:jc w:val="center"/>
                    <w:rPr>
                      <w:rFonts w:hint="default" w:ascii="Times New Roman" w:hAnsi="Times New Roman" w:eastAsia="宋体" w:cs="Times New Roman"/>
                      <w:color w:val="auto"/>
                      <w:sz w:val="21"/>
                      <w:szCs w:val="21"/>
                      <w:highlight w:val="none"/>
                    </w:rPr>
                  </w:pPr>
                </w:p>
              </w:tc>
              <w:tc>
                <w:tcPr>
                  <w:tcW w:w="897" w:type="dxa"/>
                  <w:shd w:val="clear" w:color="auto" w:fill="auto"/>
                  <w:vAlign w:val="center"/>
                </w:tcPr>
                <w:p w14:paraId="23DE4D9D">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#居民点</w:t>
                  </w:r>
                </w:p>
              </w:tc>
              <w:tc>
                <w:tcPr>
                  <w:tcW w:w="1612" w:type="dxa"/>
                  <w:shd w:val="clear" w:color="auto" w:fill="auto"/>
                  <w:vAlign w:val="center"/>
                </w:tcPr>
                <w:p w14:paraId="2CF9024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E106.99944</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，N40.37295</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310541F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厂区西南侧</w:t>
                  </w:r>
                </w:p>
              </w:tc>
              <w:tc>
                <w:tcPr>
                  <w:tcW w:w="897" w:type="dxa"/>
                  <w:shd w:val="clear" w:color="auto" w:fill="auto"/>
                  <w:vAlign w:val="center"/>
                </w:tcPr>
                <w:p w14:paraId="7E06FDD8">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p>
              </w:tc>
              <w:tc>
                <w:tcPr>
                  <w:tcW w:w="798" w:type="dxa"/>
                  <w:shd w:val="clear" w:color="auto" w:fill="auto"/>
                  <w:vAlign w:val="center"/>
                </w:tcPr>
                <w:p w14:paraId="17BDCAD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4人</w:t>
                  </w:r>
                </w:p>
              </w:tc>
              <w:tc>
                <w:tcPr>
                  <w:tcW w:w="1489" w:type="dxa"/>
                  <w:vMerge w:val="continue"/>
                  <w:vAlign w:val="center"/>
                </w:tcPr>
                <w:p w14:paraId="3242943D">
                  <w:pPr>
                    <w:jc w:val="center"/>
                    <w:rPr>
                      <w:rFonts w:hint="default" w:ascii="Times New Roman" w:hAnsi="Times New Roman" w:eastAsia="宋体" w:cs="Times New Roman"/>
                      <w:color w:val="auto"/>
                      <w:sz w:val="21"/>
                      <w:szCs w:val="21"/>
                      <w:highlight w:val="none"/>
                    </w:rPr>
                  </w:pPr>
                </w:p>
              </w:tc>
            </w:tr>
            <w:tr w14:paraId="7E2F7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47B959F7">
                  <w:pPr>
                    <w:jc w:val="center"/>
                    <w:rPr>
                      <w:rFonts w:hint="default" w:ascii="Times New Roman" w:hAnsi="Times New Roman" w:eastAsia="宋体" w:cs="Times New Roman"/>
                      <w:color w:val="auto"/>
                      <w:sz w:val="21"/>
                      <w:szCs w:val="21"/>
                      <w:highlight w:val="none"/>
                    </w:rPr>
                  </w:pPr>
                </w:p>
              </w:tc>
              <w:tc>
                <w:tcPr>
                  <w:tcW w:w="959" w:type="dxa"/>
                  <w:vMerge w:val="continue"/>
                  <w:vAlign w:val="center"/>
                </w:tcPr>
                <w:p w14:paraId="1E2E4403">
                  <w:pPr>
                    <w:jc w:val="center"/>
                    <w:rPr>
                      <w:rFonts w:hint="default" w:ascii="Times New Roman" w:hAnsi="Times New Roman" w:eastAsia="宋体" w:cs="Times New Roman"/>
                      <w:color w:val="auto"/>
                      <w:sz w:val="21"/>
                      <w:szCs w:val="21"/>
                      <w:highlight w:val="none"/>
                    </w:rPr>
                  </w:pPr>
                </w:p>
              </w:tc>
              <w:tc>
                <w:tcPr>
                  <w:tcW w:w="897" w:type="dxa"/>
                  <w:shd w:val="clear" w:color="auto" w:fill="auto"/>
                  <w:vAlign w:val="center"/>
                </w:tcPr>
                <w:p w14:paraId="20569DA7">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#居民点</w:t>
                  </w:r>
                </w:p>
              </w:tc>
              <w:tc>
                <w:tcPr>
                  <w:tcW w:w="1612" w:type="dxa"/>
                  <w:shd w:val="clear" w:color="auto" w:fill="auto"/>
                  <w:vAlign w:val="center"/>
                </w:tcPr>
                <w:p w14:paraId="275689F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E107.00411</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，N40.37403</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47DE1219">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厂区东南侧</w:t>
                  </w:r>
                </w:p>
              </w:tc>
              <w:tc>
                <w:tcPr>
                  <w:tcW w:w="897" w:type="dxa"/>
                  <w:shd w:val="clear" w:color="auto" w:fill="auto"/>
                  <w:vAlign w:val="center"/>
                </w:tcPr>
                <w:p w14:paraId="68E4684E">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335</w:t>
                  </w:r>
                </w:p>
              </w:tc>
              <w:tc>
                <w:tcPr>
                  <w:tcW w:w="798" w:type="dxa"/>
                  <w:shd w:val="clear" w:color="auto" w:fill="auto"/>
                  <w:vAlign w:val="center"/>
                </w:tcPr>
                <w:p w14:paraId="7E920C4D">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8人</w:t>
                  </w:r>
                </w:p>
              </w:tc>
              <w:tc>
                <w:tcPr>
                  <w:tcW w:w="1489" w:type="dxa"/>
                  <w:vMerge w:val="continue"/>
                  <w:vAlign w:val="center"/>
                </w:tcPr>
                <w:p w14:paraId="7786BCE2">
                  <w:pPr>
                    <w:jc w:val="center"/>
                    <w:rPr>
                      <w:rFonts w:hint="default" w:ascii="Times New Roman" w:hAnsi="Times New Roman" w:eastAsia="宋体" w:cs="Times New Roman"/>
                      <w:color w:val="auto"/>
                      <w:sz w:val="21"/>
                      <w:szCs w:val="21"/>
                      <w:highlight w:val="none"/>
                    </w:rPr>
                  </w:pPr>
                </w:p>
              </w:tc>
            </w:tr>
            <w:tr w14:paraId="2DAF2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restart"/>
                  <w:vAlign w:val="center"/>
                </w:tcPr>
                <w:p w14:paraId="4912B3A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959" w:type="dxa"/>
                  <w:vMerge w:val="restart"/>
                  <w:vAlign w:val="center"/>
                </w:tcPr>
                <w:p w14:paraId="5CE051F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厂界外扩50m范围</w:t>
                  </w:r>
                </w:p>
              </w:tc>
              <w:tc>
                <w:tcPr>
                  <w:tcW w:w="897" w:type="dxa"/>
                  <w:shd w:val="clear" w:color="auto" w:fill="auto"/>
                  <w:vAlign w:val="center"/>
                </w:tcPr>
                <w:p w14:paraId="1D975B1F">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1#居民点</w:t>
                  </w:r>
                </w:p>
              </w:tc>
              <w:tc>
                <w:tcPr>
                  <w:tcW w:w="1612" w:type="dxa"/>
                  <w:shd w:val="clear" w:color="auto" w:fill="auto"/>
                  <w:vAlign w:val="center"/>
                </w:tcPr>
                <w:p w14:paraId="77F2B08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E106.99975</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，N40.3764</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6D0A067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厂区西南侧</w:t>
                  </w:r>
                </w:p>
              </w:tc>
              <w:tc>
                <w:tcPr>
                  <w:tcW w:w="897" w:type="dxa"/>
                  <w:shd w:val="clear" w:color="auto" w:fill="auto"/>
                  <w:vAlign w:val="center"/>
                </w:tcPr>
                <w:p w14:paraId="138B5AE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5</w:t>
                  </w:r>
                </w:p>
              </w:tc>
              <w:tc>
                <w:tcPr>
                  <w:tcW w:w="798" w:type="dxa"/>
                  <w:shd w:val="clear" w:color="auto" w:fill="auto"/>
                  <w:vAlign w:val="center"/>
                </w:tcPr>
                <w:p w14:paraId="506357A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3人</w:t>
                  </w:r>
                </w:p>
              </w:tc>
              <w:tc>
                <w:tcPr>
                  <w:tcW w:w="1489" w:type="dxa"/>
                  <w:vMerge w:val="restart"/>
                  <w:vAlign w:val="center"/>
                </w:tcPr>
                <w:p w14:paraId="40226C1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r>
            <w:tr w14:paraId="511A8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Merge w:val="continue"/>
                  <w:vAlign w:val="center"/>
                </w:tcPr>
                <w:p w14:paraId="6E3237D1">
                  <w:pPr>
                    <w:jc w:val="center"/>
                    <w:rPr>
                      <w:rFonts w:hint="eastAsia" w:ascii="Times New Roman" w:hAnsi="Times New Roman" w:eastAsia="宋体" w:cs="Times New Roman"/>
                      <w:color w:val="auto"/>
                      <w:sz w:val="21"/>
                      <w:szCs w:val="21"/>
                      <w:highlight w:val="none"/>
                      <w:lang w:eastAsia="zh-CN"/>
                    </w:rPr>
                  </w:pPr>
                </w:p>
              </w:tc>
              <w:tc>
                <w:tcPr>
                  <w:tcW w:w="959" w:type="dxa"/>
                  <w:vMerge w:val="continue"/>
                  <w:vAlign w:val="center"/>
                </w:tcPr>
                <w:p w14:paraId="355E743C">
                  <w:pPr>
                    <w:jc w:val="center"/>
                    <w:rPr>
                      <w:rFonts w:hint="default" w:ascii="Times New Roman" w:hAnsi="Times New Roman" w:eastAsia="宋体" w:cs="Times New Roman"/>
                      <w:color w:val="auto"/>
                      <w:sz w:val="21"/>
                      <w:szCs w:val="21"/>
                      <w:highlight w:val="none"/>
                    </w:rPr>
                  </w:pPr>
                </w:p>
              </w:tc>
              <w:tc>
                <w:tcPr>
                  <w:tcW w:w="897" w:type="dxa"/>
                  <w:shd w:val="clear" w:color="auto" w:fill="auto"/>
                  <w:vAlign w:val="center"/>
                </w:tcPr>
                <w:p w14:paraId="7064C176">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#居民点</w:t>
                  </w:r>
                </w:p>
              </w:tc>
              <w:tc>
                <w:tcPr>
                  <w:tcW w:w="1612" w:type="dxa"/>
                  <w:shd w:val="clear" w:color="auto" w:fill="auto"/>
                  <w:vAlign w:val="center"/>
                </w:tcPr>
                <w:p w14:paraId="7FDA32F6">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E107.0007</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N40.37643</w:t>
                  </w:r>
                  <w:r>
                    <w:rPr>
                      <w:rFonts w:hint="eastAsia" w:ascii="Times New Roman" w:hAnsi="Times New Roman" w:eastAsia="宋体" w:cs="Times New Roman"/>
                      <w:color w:val="auto"/>
                      <w:sz w:val="21"/>
                      <w:szCs w:val="21"/>
                      <w:highlight w:val="none"/>
                      <w:lang w:val="en-US" w:eastAsia="zh-CN"/>
                    </w:rPr>
                    <w:t>°</w:t>
                  </w:r>
                </w:p>
              </w:tc>
              <w:tc>
                <w:tcPr>
                  <w:tcW w:w="897" w:type="dxa"/>
                  <w:shd w:val="clear" w:color="auto" w:fill="auto"/>
                  <w:vAlign w:val="center"/>
                </w:tcPr>
                <w:p w14:paraId="47BEB62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厂区南侧</w:t>
                  </w:r>
                </w:p>
              </w:tc>
              <w:tc>
                <w:tcPr>
                  <w:tcW w:w="897" w:type="dxa"/>
                  <w:shd w:val="clear" w:color="auto" w:fill="auto"/>
                  <w:vAlign w:val="center"/>
                </w:tcPr>
                <w:p w14:paraId="6EB053CF">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w:t>
                  </w:r>
                </w:p>
              </w:tc>
              <w:tc>
                <w:tcPr>
                  <w:tcW w:w="798" w:type="dxa"/>
                  <w:shd w:val="clear" w:color="auto" w:fill="auto"/>
                  <w:vAlign w:val="center"/>
                </w:tcPr>
                <w:p w14:paraId="2FF953CA">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人</w:t>
                  </w:r>
                </w:p>
              </w:tc>
              <w:tc>
                <w:tcPr>
                  <w:tcW w:w="1489" w:type="dxa"/>
                  <w:vMerge w:val="continue"/>
                  <w:vAlign w:val="center"/>
                </w:tcPr>
                <w:p w14:paraId="35FB8713">
                  <w:pPr>
                    <w:jc w:val="center"/>
                    <w:rPr>
                      <w:rFonts w:hint="default" w:ascii="Times New Roman" w:hAnsi="Times New Roman" w:eastAsia="宋体" w:cs="Times New Roman"/>
                      <w:color w:val="auto"/>
                      <w:sz w:val="21"/>
                      <w:szCs w:val="21"/>
                      <w:highlight w:val="none"/>
                    </w:rPr>
                  </w:pPr>
                </w:p>
              </w:tc>
            </w:tr>
            <w:tr w14:paraId="062CE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Align w:val="center"/>
                </w:tcPr>
                <w:p w14:paraId="39098FE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w:t>
                  </w:r>
                </w:p>
              </w:tc>
              <w:tc>
                <w:tcPr>
                  <w:tcW w:w="959" w:type="dxa"/>
                  <w:vAlign w:val="center"/>
                </w:tcPr>
                <w:p w14:paraId="0A2F175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厂界外扩500m范围</w:t>
                  </w:r>
                </w:p>
              </w:tc>
              <w:tc>
                <w:tcPr>
                  <w:tcW w:w="5101" w:type="dxa"/>
                  <w:gridSpan w:val="5"/>
                  <w:vAlign w:val="center"/>
                </w:tcPr>
                <w:p w14:paraId="70DBB8D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厂界外500m范围内无地下水集中式饮用水水源和热水、矿泉水、温泉等特殊地下水资源</w:t>
                  </w:r>
                </w:p>
              </w:tc>
              <w:tc>
                <w:tcPr>
                  <w:tcW w:w="1489" w:type="dxa"/>
                  <w:vAlign w:val="center"/>
                </w:tcPr>
                <w:p w14:paraId="5FD6E61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w:t>
                  </w:r>
                </w:p>
                <w:p w14:paraId="5E658B0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GB/T14848-2017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类标准</w:t>
                  </w:r>
                </w:p>
              </w:tc>
            </w:tr>
            <w:tr w14:paraId="48916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8" w:type="dxa"/>
                  <w:vAlign w:val="center"/>
                </w:tcPr>
                <w:p w14:paraId="5800B6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959" w:type="dxa"/>
                  <w:vAlign w:val="center"/>
                </w:tcPr>
                <w:p w14:paraId="7F57CF9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占地范围内</w:t>
                  </w:r>
                </w:p>
              </w:tc>
              <w:tc>
                <w:tcPr>
                  <w:tcW w:w="5101" w:type="dxa"/>
                  <w:gridSpan w:val="5"/>
                  <w:vAlign w:val="center"/>
                </w:tcPr>
                <w:p w14:paraId="0B1F70B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本项目位于</w:t>
                  </w:r>
                  <w:r>
                    <w:rPr>
                      <w:rFonts w:hint="default" w:ascii="Times New Roman" w:hAnsi="Times New Roman" w:eastAsia="宋体" w:cs="Times New Roman"/>
                      <w:color w:val="auto"/>
                      <w:sz w:val="21"/>
                      <w:szCs w:val="21"/>
                      <w:highlight w:val="none"/>
                      <w:lang w:eastAsia="zh-CN"/>
                    </w:rPr>
                    <w:t>磴口县鸿运建材有限责任公司</w:t>
                  </w:r>
                  <w:r>
                    <w:rPr>
                      <w:rFonts w:hint="default" w:ascii="Times New Roman" w:hAnsi="Times New Roman" w:eastAsia="宋体" w:cs="Times New Roman"/>
                      <w:color w:val="auto"/>
                      <w:sz w:val="21"/>
                      <w:szCs w:val="21"/>
                      <w:highlight w:val="none"/>
                    </w:rPr>
                    <w:t>现有厂区内，项目占地范围内无生态环境保护目标</w:t>
                  </w:r>
                </w:p>
              </w:tc>
              <w:tc>
                <w:tcPr>
                  <w:tcW w:w="1489" w:type="dxa"/>
                  <w:vAlign w:val="center"/>
                </w:tcPr>
                <w:p w14:paraId="764E0DB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4D295FC1">
            <w:pPr>
              <w:rPr>
                <w:rFonts w:hint="default" w:ascii="Times New Roman" w:hAnsi="Times New Roman" w:eastAsia="宋体" w:cs="Times New Roman"/>
                <w:color w:val="auto"/>
                <w:szCs w:val="21"/>
                <w:highlight w:val="none"/>
              </w:rPr>
            </w:pPr>
          </w:p>
        </w:tc>
      </w:tr>
      <w:tr w14:paraId="5C7BB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14:paraId="3127E285">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污染物排放控制标准</w:t>
            </w:r>
          </w:p>
        </w:tc>
        <w:tc>
          <w:tcPr>
            <w:tcW w:w="8492" w:type="dxa"/>
            <w:vAlign w:val="center"/>
          </w:tcPr>
          <w:p w14:paraId="618ABBD6">
            <w:pPr>
              <w:spacing w:line="360" w:lineRule="auto"/>
              <w:ind w:firstLine="482" w:firstLineChars="200"/>
              <w:jc w:val="left"/>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1、大气污染物排放</w:t>
            </w:r>
            <w:r>
              <w:rPr>
                <w:rFonts w:hint="default" w:ascii="Times New Roman" w:hAnsi="Times New Roman" w:eastAsia="宋体" w:cs="Times New Roman"/>
                <w:b/>
                <w:bCs/>
                <w:color w:val="auto"/>
                <w:sz w:val="24"/>
                <w:highlight w:val="none"/>
                <w:lang w:eastAsia="zh-CN"/>
              </w:rPr>
              <w:t>标准</w:t>
            </w:r>
          </w:p>
          <w:p w14:paraId="327C855A">
            <w:pPr>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（1）根据《锅炉大气污染物排放标准》（GB12371-2014）中规定，生物质锅炉参照该标准中燃煤锅炉排放控制要求执行，</w:t>
            </w:r>
            <w:r>
              <w:rPr>
                <w:rFonts w:hint="default" w:ascii="Times New Roman" w:hAnsi="Times New Roman" w:eastAsia="宋体" w:cs="Times New Roman"/>
                <w:color w:val="auto"/>
                <w:sz w:val="24"/>
                <w:highlight w:val="none"/>
                <w:lang w:eastAsia="zh-CN"/>
              </w:rPr>
              <w:t>因此，本项目新建生物质锅炉执行</w:t>
            </w:r>
            <w:r>
              <w:rPr>
                <w:rFonts w:hint="default" w:ascii="Times New Roman" w:hAnsi="Times New Roman" w:eastAsia="宋体" w:cs="Times New Roman"/>
                <w:color w:val="auto"/>
                <w:sz w:val="24"/>
                <w:highlight w:val="none"/>
              </w:rPr>
              <w:t>《锅炉大气污染物排放标准》（GB12371-2014）</w:t>
            </w:r>
            <w:r>
              <w:rPr>
                <w:rFonts w:hint="default" w:ascii="Times New Roman" w:hAnsi="Times New Roman" w:eastAsia="宋体" w:cs="Times New Roman"/>
                <w:color w:val="auto"/>
                <w:sz w:val="24"/>
                <w:highlight w:val="none"/>
                <w:lang w:eastAsia="zh-CN"/>
              </w:rPr>
              <w:t>表</w:t>
            </w:r>
            <w:r>
              <w:rPr>
                <w:rFonts w:hint="default" w:ascii="Times New Roman" w:hAnsi="Times New Roman" w:eastAsia="宋体" w:cs="Times New Roman"/>
                <w:color w:val="auto"/>
                <w:sz w:val="24"/>
                <w:highlight w:val="none"/>
                <w:lang w:val="en-US" w:eastAsia="zh-CN"/>
              </w:rPr>
              <w:t>2新建锅炉大气污染物排放限值中“燃煤锅炉”限值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具体见表3-</w:t>
            </w:r>
            <w:r>
              <w:rPr>
                <w:rFonts w:hint="eastAsia" w:ascii="Times New Roman" w:hAnsi="Times New Roman" w:eastAsia="宋体" w:cs="Times New Roman"/>
                <w:bCs/>
                <w:color w:val="auto"/>
                <w:sz w:val="24"/>
                <w:highlight w:val="none"/>
                <w:lang w:val="en-US" w:eastAsia="zh-CN"/>
              </w:rPr>
              <w:t>9</w:t>
            </w:r>
            <w:r>
              <w:rPr>
                <w:rFonts w:hint="default" w:ascii="Times New Roman" w:hAnsi="Times New Roman" w:eastAsia="宋体" w:cs="Times New Roman"/>
                <w:bCs/>
                <w:color w:val="auto"/>
                <w:sz w:val="24"/>
                <w:highlight w:val="none"/>
              </w:rPr>
              <w:t>。</w:t>
            </w:r>
          </w:p>
          <w:p w14:paraId="4721EB7F">
            <w:pPr>
              <w:tabs>
                <w:tab w:val="left" w:pos="0"/>
              </w:tabs>
              <w:spacing w:line="360" w:lineRule="auto"/>
              <w:jc w:val="center"/>
              <w:rPr>
                <w:rFonts w:hint="default" w:ascii="Times New Roman" w:hAnsi="Times New Roman" w:eastAsia="宋体" w:cs="Times New Roman"/>
                <w:b/>
                <w:color w:val="auto"/>
                <w:sz w:val="24"/>
                <w:szCs w:val="21"/>
                <w:highlight w:val="none"/>
              </w:rPr>
            </w:pPr>
            <w:r>
              <w:rPr>
                <w:rFonts w:hint="default" w:ascii="Times New Roman" w:hAnsi="Times New Roman" w:eastAsia="宋体" w:cs="Times New Roman"/>
                <w:b/>
                <w:color w:val="auto"/>
                <w:sz w:val="24"/>
                <w:szCs w:val="21"/>
                <w:highlight w:val="none"/>
              </w:rPr>
              <w:t>表3-</w:t>
            </w:r>
            <w:r>
              <w:rPr>
                <w:rFonts w:hint="eastAsia" w:ascii="Times New Roman" w:hAnsi="Times New Roman" w:eastAsia="宋体" w:cs="Times New Roman"/>
                <w:b/>
                <w:color w:val="auto"/>
                <w:sz w:val="24"/>
                <w:szCs w:val="21"/>
                <w:highlight w:val="none"/>
                <w:lang w:val="en-US" w:eastAsia="zh-CN"/>
              </w:rPr>
              <w:t xml:space="preserve">9 </w:t>
            </w:r>
            <w:r>
              <w:rPr>
                <w:rFonts w:hint="default" w:ascii="Times New Roman" w:hAnsi="Times New Roman" w:eastAsia="宋体" w:cs="Times New Roman"/>
                <w:b/>
                <w:color w:val="auto"/>
                <w:sz w:val="24"/>
                <w:szCs w:val="21"/>
                <w:highlight w:val="none"/>
                <w:lang w:val="en-US" w:eastAsia="zh-CN"/>
              </w:rPr>
              <w:t xml:space="preserve"> </w:t>
            </w:r>
            <w:r>
              <w:rPr>
                <w:rFonts w:hint="default" w:ascii="Times New Roman" w:hAnsi="Times New Roman" w:eastAsia="宋体" w:cs="Times New Roman"/>
                <w:b/>
                <w:color w:val="auto"/>
                <w:sz w:val="24"/>
                <w:szCs w:val="21"/>
                <w:highlight w:val="none"/>
              </w:rPr>
              <w:t>《锅炉大气污染物排放标准》</w:t>
            </w:r>
            <w:r>
              <w:rPr>
                <w:rFonts w:hint="default" w:ascii="Times New Roman" w:hAnsi="Times New Roman" w:eastAsia="宋体" w:cs="Times New Roman"/>
                <w:b/>
                <w:color w:val="auto"/>
                <w:sz w:val="24"/>
                <w:highlight w:val="none"/>
              </w:rPr>
              <w:t>（GB13271-2014）表2</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4"/>
              <w:gridCol w:w="2069"/>
              <w:gridCol w:w="1655"/>
              <w:gridCol w:w="1245"/>
            </w:tblGrid>
            <w:tr w14:paraId="1BE4F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Merge w:val="restart"/>
                  <w:vAlign w:val="center"/>
                </w:tcPr>
                <w:p w14:paraId="29AD5CD8">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污染物项目</w:t>
                  </w:r>
                </w:p>
              </w:tc>
              <w:tc>
                <w:tcPr>
                  <w:tcW w:w="999" w:type="pct"/>
                  <w:vAlign w:val="center"/>
                </w:tcPr>
                <w:p w14:paraId="6BB51FC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pacing w:val="0"/>
                      <w:szCs w:val="21"/>
                      <w:highlight w:val="none"/>
                    </w:rPr>
                    <w:t>限值</w:t>
                  </w:r>
                </w:p>
              </w:tc>
              <w:tc>
                <w:tcPr>
                  <w:tcW w:w="1250" w:type="pct"/>
                  <w:vMerge w:val="restart"/>
                  <w:vAlign w:val="center"/>
                </w:tcPr>
                <w:p w14:paraId="1EC40006">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单位</w:t>
                  </w:r>
                </w:p>
              </w:tc>
              <w:tc>
                <w:tcPr>
                  <w:tcW w:w="1000" w:type="pct"/>
                  <w:vMerge w:val="restart"/>
                  <w:vAlign w:val="center"/>
                </w:tcPr>
                <w:p w14:paraId="53762777">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污染物排放监控位置</w:t>
                  </w:r>
                </w:p>
              </w:tc>
              <w:tc>
                <w:tcPr>
                  <w:tcW w:w="1000" w:type="pct"/>
                  <w:vMerge w:val="restart"/>
                  <w:vAlign w:val="center"/>
                </w:tcPr>
                <w:p w14:paraId="2D469E90">
                  <w:pPr>
                    <w:jc w:val="center"/>
                    <w:rPr>
                      <w:rFonts w:hint="default" w:ascii="Times New Roman" w:hAnsi="Times New Roman" w:eastAsia="宋体" w:cs="Times New Roman"/>
                      <w:bCs/>
                      <w:color w:val="auto"/>
                      <w:spacing w:val="0"/>
                      <w:szCs w:val="21"/>
                      <w:highlight w:val="none"/>
                      <w:lang w:eastAsia="zh-CN"/>
                    </w:rPr>
                  </w:pPr>
                  <w:r>
                    <w:rPr>
                      <w:rFonts w:hint="default" w:ascii="Times New Roman" w:hAnsi="Times New Roman" w:eastAsia="宋体" w:cs="Times New Roman"/>
                      <w:bCs/>
                      <w:color w:val="auto"/>
                      <w:spacing w:val="0"/>
                      <w:szCs w:val="21"/>
                      <w:highlight w:val="none"/>
                    </w:rPr>
                    <w:t>烟囱</w:t>
                  </w:r>
                  <w:r>
                    <w:rPr>
                      <w:rFonts w:hint="default" w:ascii="Times New Roman" w:hAnsi="Times New Roman" w:eastAsia="宋体" w:cs="Times New Roman"/>
                      <w:bCs/>
                      <w:color w:val="auto"/>
                      <w:spacing w:val="0"/>
                      <w:szCs w:val="21"/>
                      <w:highlight w:val="none"/>
                      <w:lang w:eastAsia="zh-CN"/>
                    </w:rPr>
                    <w:t>最低允许高度</w:t>
                  </w:r>
                </w:p>
              </w:tc>
            </w:tr>
            <w:tr w14:paraId="6A808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Merge w:val="continue"/>
                  <w:vAlign w:val="center"/>
                </w:tcPr>
                <w:p w14:paraId="6D509A91">
                  <w:pPr>
                    <w:jc w:val="center"/>
                    <w:rPr>
                      <w:rFonts w:hint="default" w:ascii="Times New Roman" w:hAnsi="Times New Roman" w:eastAsia="宋体" w:cs="Times New Roman"/>
                      <w:bCs/>
                      <w:color w:val="auto"/>
                      <w:spacing w:val="0"/>
                      <w:szCs w:val="21"/>
                      <w:highlight w:val="none"/>
                    </w:rPr>
                  </w:pPr>
                </w:p>
              </w:tc>
              <w:tc>
                <w:tcPr>
                  <w:tcW w:w="999" w:type="pct"/>
                  <w:vAlign w:val="center"/>
                </w:tcPr>
                <w:p w14:paraId="73E1757A">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燃煤锅炉</w:t>
                  </w:r>
                </w:p>
              </w:tc>
              <w:tc>
                <w:tcPr>
                  <w:tcW w:w="1250" w:type="pct"/>
                  <w:vMerge w:val="continue"/>
                  <w:vAlign w:val="center"/>
                </w:tcPr>
                <w:p w14:paraId="6011650D">
                  <w:pPr>
                    <w:jc w:val="center"/>
                    <w:rPr>
                      <w:rFonts w:hint="default" w:ascii="Times New Roman" w:hAnsi="Times New Roman" w:eastAsia="宋体" w:cs="Times New Roman"/>
                      <w:bCs/>
                      <w:color w:val="auto"/>
                      <w:spacing w:val="0"/>
                      <w:szCs w:val="21"/>
                      <w:highlight w:val="none"/>
                    </w:rPr>
                  </w:pPr>
                </w:p>
              </w:tc>
              <w:tc>
                <w:tcPr>
                  <w:tcW w:w="1000" w:type="pct"/>
                  <w:vMerge w:val="continue"/>
                  <w:vAlign w:val="center"/>
                </w:tcPr>
                <w:p w14:paraId="2153E27A">
                  <w:pPr>
                    <w:jc w:val="center"/>
                    <w:rPr>
                      <w:rFonts w:hint="default" w:ascii="Times New Roman" w:hAnsi="Times New Roman" w:eastAsia="宋体" w:cs="Times New Roman"/>
                      <w:bCs/>
                      <w:color w:val="auto"/>
                      <w:spacing w:val="0"/>
                      <w:szCs w:val="21"/>
                      <w:highlight w:val="none"/>
                    </w:rPr>
                  </w:pPr>
                </w:p>
              </w:tc>
              <w:tc>
                <w:tcPr>
                  <w:tcW w:w="1000" w:type="pct"/>
                  <w:vMerge w:val="continue"/>
                  <w:vAlign w:val="center"/>
                </w:tcPr>
                <w:p w14:paraId="1F74FDF9">
                  <w:pPr>
                    <w:jc w:val="center"/>
                    <w:rPr>
                      <w:rFonts w:hint="default" w:ascii="Times New Roman" w:hAnsi="Times New Roman" w:eastAsia="宋体" w:cs="Times New Roman"/>
                      <w:bCs/>
                      <w:color w:val="auto"/>
                      <w:spacing w:val="0"/>
                      <w:szCs w:val="21"/>
                      <w:highlight w:val="none"/>
                    </w:rPr>
                  </w:pPr>
                </w:p>
              </w:tc>
            </w:tr>
            <w:tr w14:paraId="40B27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322F465A">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颗粒物</w:t>
                  </w:r>
                </w:p>
              </w:tc>
              <w:tc>
                <w:tcPr>
                  <w:tcW w:w="999" w:type="pct"/>
                  <w:vAlign w:val="center"/>
                </w:tcPr>
                <w:p w14:paraId="1B771F58">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50</w:t>
                  </w:r>
                </w:p>
              </w:tc>
              <w:tc>
                <w:tcPr>
                  <w:tcW w:w="1250" w:type="pct"/>
                  <w:vAlign w:val="center"/>
                </w:tcPr>
                <w:p w14:paraId="45C5298C">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mg/m</w:t>
                  </w:r>
                  <w:r>
                    <w:rPr>
                      <w:rFonts w:hint="default" w:ascii="Times New Roman" w:hAnsi="Times New Roman" w:eastAsia="宋体" w:cs="Times New Roman"/>
                      <w:bCs/>
                      <w:color w:val="auto"/>
                      <w:spacing w:val="0"/>
                      <w:szCs w:val="21"/>
                      <w:highlight w:val="none"/>
                      <w:vertAlign w:val="superscript"/>
                    </w:rPr>
                    <w:t>3</w:t>
                  </w:r>
                </w:p>
              </w:tc>
              <w:tc>
                <w:tcPr>
                  <w:tcW w:w="1000" w:type="pct"/>
                  <w:vMerge w:val="restart"/>
                  <w:vAlign w:val="center"/>
                </w:tcPr>
                <w:p w14:paraId="5C82913C">
                  <w:pPr>
                    <w:jc w:val="center"/>
                    <w:rPr>
                      <w:rFonts w:hint="default" w:ascii="Times New Roman" w:hAnsi="Times New Roman" w:eastAsia="宋体" w:cs="Times New Roman"/>
                      <w:bCs/>
                      <w:color w:val="auto"/>
                      <w:spacing w:val="0"/>
                      <w:szCs w:val="21"/>
                      <w:highlight w:val="none"/>
                      <w:lang w:eastAsia="zh-CN"/>
                    </w:rPr>
                  </w:pPr>
                  <w:r>
                    <w:rPr>
                      <w:rFonts w:hint="default" w:ascii="Times New Roman" w:hAnsi="Times New Roman" w:eastAsia="宋体" w:cs="Times New Roman"/>
                      <w:bCs/>
                      <w:color w:val="auto"/>
                      <w:spacing w:val="0"/>
                      <w:szCs w:val="21"/>
                      <w:highlight w:val="none"/>
                    </w:rPr>
                    <w:t>烟囱</w:t>
                  </w:r>
                  <w:r>
                    <w:rPr>
                      <w:rFonts w:hint="default" w:ascii="Times New Roman" w:hAnsi="Times New Roman" w:eastAsia="宋体" w:cs="Times New Roman"/>
                      <w:bCs/>
                      <w:color w:val="auto"/>
                      <w:spacing w:val="0"/>
                      <w:szCs w:val="21"/>
                      <w:highlight w:val="none"/>
                      <w:lang w:eastAsia="zh-CN"/>
                    </w:rPr>
                    <w:t>或烟道</w:t>
                  </w:r>
                </w:p>
              </w:tc>
              <w:tc>
                <w:tcPr>
                  <w:tcW w:w="1000" w:type="pct"/>
                  <w:vMerge w:val="restart"/>
                  <w:vAlign w:val="center"/>
                </w:tcPr>
                <w:p w14:paraId="2C71679C">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lang w:val="en-US" w:eastAsia="zh-CN"/>
                    </w:rPr>
                    <w:t>40m</w:t>
                  </w:r>
                </w:p>
              </w:tc>
            </w:tr>
            <w:tr w14:paraId="27D59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77FABF41">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二氧化硫</w:t>
                  </w:r>
                </w:p>
              </w:tc>
              <w:tc>
                <w:tcPr>
                  <w:tcW w:w="999" w:type="pct"/>
                  <w:vAlign w:val="center"/>
                </w:tcPr>
                <w:p w14:paraId="62A98B73">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300</w:t>
                  </w:r>
                </w:p>
              </w:tc>
              <w:tc>
                <w:tcPr>
                  <w:tcW w:w="1250" w:type="pct"/>
                  <w:vAlign w:val="center"/>
                </w:tcPr>
                <w:p w14:paraId="7D5A16C6">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mg/m</w:t>
                  </w:r>
                  <w:r>
                    <w:rPr>
                      <w:rFonts w:hint="default" w:ascii="Times New Roman" w:hAnsi="Times New Roman" w:eastAsia="宋体" w:cs="Times New Roman"/>
                      <w:bCs/>
                      <w:color w:val="auto"/>
                      <w:spacing w:val="0"/>
                      <w:szCs w:val="21"/>
                      <w:highlight w:val="none"/>
                      <w:vertAlign w:val="superscript"/>
                    </w:rPr>
                    <w:t>3</w:t>
                  </w:r>
                </w:p>
              </w:tc>
              <w:tc>
                <w:tcPr>
                  <w:tcW w:w="1000" w:type="pct"/>
                  <w:vMerge w:val="continue"/>
                  <w:vAlign w:val="center"/>
                </w:tcPr>
                <w:p w14:paraId="19211A55">
                  <w:pPr>
                    <w:jc w:val="center"/>
                    <w:rPr>
                      <w:rFonts w:hint="default" w:ascii="Times New Roman" w:hAnsi="Times New Roman" w:eastAsia="宋体" w:cs="Times New Roman"/>
                      <w:bCs/>
                      <w:color w:val="auto"/>
                      <w:spacing w:val="0"/>
                      <w:szCs w:val="21"/>
                      <w:highlight w:val="none"/>
                    </w:rPr>
                  </w:pPr>
                </w:p>
              </w:tc>
              <w:tc>
                <w:tcPr>
                  <w:tcW w:w="1000" w:type="pct"/>
                  <w:vMerge w:val="continue"/>
                  <w:vAlign w:val="center"/>
                </w:tcPr>
                <w:p w14:paraId="00455501">
                  <w:pPr>
                    <w:rPr>
                      <w:rFonts w:hint="default" w:ascii="Times New Roman" w:hAnsi="Times New Roman" w:eastAsia="宋体" w:cs="Times New Roman"/>
                      <w:bCs/>
                      <w:color w:val="auto"/>
                      <w:spacing w:val="0"/>
                      <w:szCs w:val="21"/>
                      <w:highlight w:val="none"/>
                    </w:rPr>
                  </w:pPr>
                </w:p>
              </w:tc>
            </w:tr>
            <w:tr w14:paraId="302FA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999" w:type="pct"/>
                  <w:vAlign w:val="center"/>
                </w:tcPr>
                <w:p w14:paraId="5211D462">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氮氧化物</w:t>
                  </w:r>
                </w:p>
              </w:tc>
              <w:tc>
                <w:tcPr>
                  <w:tcW w:w="999" w:type="pct"/>
                  <w:vAlign w:val="center"/>
                </w:tcPr>
                <w:p w14:paraId="78D597C2">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300</w:t>
                  </w:r>
                </w:p>
              </w:tc>
              <w:tc>
                <w:tcPr>
                  <w:tcW w:w="1250" w:type="pct"/>
                  <w:vAlign w:val="center"/>
                </w:tcPr>
                <w:p w14:paraId="0085EE56">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mg/m</w:t>
                  </w:r>
                  <w:r>
                    <w:rPr>
                      <w:rFonts w:hint="default" w:ascii="Times New Roman" w:hAnsi="Times New Roman" w:eastAsia="宋体" w:cs="Times New Roman"/>
                      <w:bCs/>
                      <w:color w:val="auto"/>
                      <w:spacing w:val="0"/>
                      <w:szCs w:val="21"/>
                      <w:highlight w:val="none"/>
                      <w:vertAlign w:val="superscript"/>
                    </w:rPr>
                    <w:t>3</w:t>
                  </w:r>
                </w:p>
              </w:tc>
              <w:tc>
                <w:tcPr>
                  <w:tcW w:w="1000" w:type="pct"/>
                  <w:vMerge w:val="continue"/>
                  <w:vAlign w:val="center"/>
                </w:tcPr>
                <w:p w14:paraId="3639D9CD">
                  <w:pPr>
                    <w:jc w:val="center"/>
                    <w:rPr>
                      <w:rFonts w:hint="default" w:ascii="Times New Roman" w:hAnsi="Times New Roman" w:eastAsia="宋体" w:cs="Times New Roman"/>
                      <w:bCs/>
                      <w:color w:val="auto"/>
                      <w:spacing w:val="0"/>
                      <w:szCs w:val="21"/>
                      <w:highlight w:val="none"/>
                    </w:rPr>
                  </w:pPr>
                </w:p>
              </w:tc>
              <w:tc>
                <w:tcPr>
                  <w:tcW w:w="1000" w:type="pct"/>
                  <w:vMerge w:val="continue"/>
                  <w:vAlign w:val="center"/>
                </w:tcPr>
                <w:p w14:paraId="2CF0F2D7">
                  <w:pPr>
                    <w:rPr>
                      <w:rFonts w:hint="default" w:ascii="Times New Roman" w:hAnsi="Times New Roman" w:eastAsia="宋体" w:cs="Times New Roman"/>
                      <w:bCs/>
                      <w:color w:val="auto"/>
                      <w:spacing w:val="0"/>
                      <w:szCs w:val="21"/>
                      <w:highlight w:val="none"/>
                    </w:rPr>
                  </w:pPr>
                </w:p>
              </w:tc>
            </w:tr>
            <w:tr w14:paraId="255FE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419082E1">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color w:val="auto"/>
                      <w:szCs w:val="21"/>
                      <w:highlight w:val="none"/>
                    </w:rPr>
                    <w:t>汞及其化合物</w:t>
                  </w:r>
                </w:p>
              </w:tc>
              <w:tc>
                <w:tcPr>
                  <w:tcW w:w="999" w:type="pct"/>
                  <w:vAlign w:val="center"/>
                </w:tcPr>
                <w:p w14:paraId="79AB761C">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0.05</w:t>
                  </w:r>
                </w:p>
              </w:tc>
              <w:tc>
                <w:tcPr>
                  <w:tcW w:w="1250" w:type="pct"/>
                  <w:vAlign w:val="center"/>
                </w:tcPr>
                <w:p w14:paraId="3BCDB7D3">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mg/m</w:t>
                  </w:r>
                  <w:r>
                    <w:rPr>
                      <w:rFonts w:hint="default" w:ascii="Times New Roman" w:hAnsi="Times New Roman" w:eastAsia="宋体" w:cs="Times New Roman"/>
                      <w:bCs/>
                      <w:color w:val="auto"/>
                      <w:spacing w:val="0"/>
                      <w:szCs w:val="21"/>
                      <w:highlight w:val="none"/>
                      <w:vertAlign w:val="superscript"/>
                    </w:rPr>
                    <w:t>3</w:t>
                  </w:r>
                </w:p>
              </w:tc>
              <w:tc>
                <w:tcPr>
                  <w:tcW w:w="1000" w:type="pct"/>
                  <w:vMerge w:val="continue"/>
                  <w:vAlign w:val="center"/>
                </w:tcPr>
                <w:p w14:paraId="024B1DC9">
                  <w:pPr>
                    <w:jc w:val="center"/>
                    <w:rPr>
                      <w:rFonts w:hint="default" w:ascii="Times New Roman" w:hAnsi="Times New Roman" w:eastAsia="宋体" w:cs="Times New Roman"/>
                      <w:bCs/>
                      <w:color w:val="auto"/>
                      <w:spacing w:val="0"/>
                      <w:szCs w:val="21"/>
                      <w:highlight w:val="none"/>
                    </w:rPr>
                  </w:pPr>
                </w:p>
              </w:tc>
              <w:tc>
                <w:tcPr>
                  <w:tcW w:w="1000" w:type="pct"/>
                  <w:vMerge w:val="continue"/>
                  <w:vAlign w:val="center"/>
                </w:tcPr>
                <w:p w14:paraId="0CE7FA31">
                  <w:pPr>
                    <w:rPr>
                      <w:rFonts w:hint="default" w:ascii="Times New Roman" w:hAnsi="Times New Roman" w:eastAsia="宋体" w:cs="Times New Roman"/>
                      <w:bCs/>
                      <w:color w:val="auto"/>
                      <w:spacing w:val="0"/>
                      <w:szCs w:val="21"/>
                      <w:highlight w:val="none"/>
                    </w:rPr>
                  </w:pPr>
                </w:p>
              </w:tc>
            </w:tr>
            <w:tr w14:paraId="674F6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9" w:type="pct"/>
                  <w:vAlign w:val="center"/>
                </w:tcPr>
                <w:p w14:paraId="65577806">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烟气黑度</w:t>
                  </w:r>
                </w:p>
              </w:tc>
              <w:tc>
                <w:tcPr>
                  <w:tcW w:w="999" w:type="pct"/>
                  <w:vAlign w:val="center"/>
                </w:tcPr>
                <w:p w14:paraId="347119C7">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≤1</w:t>
                  </w:r>
                </w:p>
              </w:tc>
              <w:tc>
                <w:tcPr>
                  <w:tcW w:w="1250" w:type="pct"/>
                  <w:vAlign w:val="center"/>
                </w:tcPr>
                <w:p w14:paraId="74809DD6">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（林格曼黑度，级）</w:t>
                  </w:r>
                </w:p>
              </w:tc>
              <w:tc>
                <w:tcPr>
                  <w:tcW w:w="1000" w:type="pct"/>
                  <w:vAlign w:val="center"/>
                </w:tcPr>
                <w:p w14:paraId="441A4A18">
                  <w:pPr>
                    <w:jc w:val="center"/>
                    <w:rPr>
                      <w:rFonts w:hint="default" w:ascii="Times New Roman" w:hAnsi="Times New Roman" w:eastAsia="宋体" w:cs="Times New Roman"/>
                      <w:bCs/>
                      <w:color w:val="auto"/>
                      <w:spacing w:val="0"/>
                      <w:szCs w:val="21"/>
                      <w:highlight w:val="none"/>
                    </w:rPr>
                  </w:pPr>
                  <w:r>
                    <w:rPr>
                      <w:rFonts w:hint="default" w:ascii="Times New Roman" w:hAnsi="Times New Roman" w:eastAsia="宋体" w:cs="Times New Roman"/>
                      <w:bCs/>
                      <w:color w:val="auto"/>
                      <w:spacing w:val="0"/>
                      <w:szCs w:val="21"/>
                      <w:highlight w:val="none"/>
                    </w:rPr>
                    <w:t>烟囱排放口</w:t>
                  </w:r>
                </w:p>
              </w:tc>
              <w:tc>
                <w:tcPr>
                  <w:tcW w:w="1000" w:type="pct"/>
                  <w:vMerge w:val="continue"/>
                  <w:vAlign w:val="center"/>
                </w:tcPr>
                <w:p w14:paraId="6EE373F2">
                  <w:pPr>
                    <w:rPr>
                      <w:rFonts w:hint="default" w:ascii="Times New Roman" w:hAnsi="Times New Roman" w:eastAsia="宋体" w:cs="Times New Roman"/>
                      <w:bCs/>
                      <w:color w:val="auto"/>
                      <w:spacing w:val="0"/>
                      <w:szCs w:val="21"/>
                      <w:highlight w:val="none"/>
                    </w:rPr>
                  </w:pPr>
                </w:p>
              </w:tc>
            </w:tr>
          </w:tbl>
          <w:p w14:paraId="0A952A2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（2）运营期灰渣卸载</w:t>
            </w:r>
            <w:r>
              <w:rPr>
                <w:rFonts w:hint="default" w:ascii="Times New Roman" w:hAnsi="Times New Roman" w:eastAsia="宋体" w:cs="Times New Roman"/>
                <w:color w:val="auto"/>
                <w:sz w:val="24"/>
                <w:highlight w:val="none"/>
                <w:lang w:eastAsia="zh-CN"/>
              </w:rPr>
              <w:t>、储存</w:t>
            </w:r>
            <w:r>
              <w:rPr>
                <w:rFonts w:hint="default" w:ascii="Times New Roman" w:hAnsi="Times New Roman" w:eastAsia="宋体" w:cs="Times New Roman"/>
                <w:color w:val="auto"/>
                <w:sz w:val="24"/>
                <w:highlight w:val="none"/>
              </w:rPr>
              <w:t>过程中产生的颗粒物排放执行《大气污染物综合排放标准》（GB16297-1996）表2新污染源大气污染物排放限值中“无组织排放监控浓度限值”，具体标准详见表3-</w:t>
            </w:r>
            <w:r>
              <w:rPr>
                <w:rFonts w:hint="eastAsia"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w:t>
            </w:r>
          </w:p>
          <w:p w14:paraId="02EBB21E">
            <w:pPr>
              <w:spacing w:line="360" w:lineRule="auto"/>
              <w:ind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w:t>
            </w:r>
            <w:r>
              <w:rPr>
                <w:rFonts w:hint="eastAsia" w:ascii="Times New Roman" w:hAnsi="Times New Roman" w:eastAsia="宋体" w:cs="Times New Roman"/>
                <w:b/>
                <w:color w:val="auto"/>
                <w:sz w:val="24"/>
                <w:highlight w:val="none"/>
                <w:lang w:val="en-US" w:eastAsia="zh-CN"/>
              </w:rPr>
              <w:t>10</w:t>
            </w:r>
            <w:r>
              <w:rPr>
                <w:rFonts w:hint="default" w:ascii="Times New Roman" w:hAnsi="Times New Roman" w:eastAsia="宋体" w:cs="Times New Roman"/>
                <w:b/>
                <w:color w:val="auto"/>
                <w:sz w:val="24"/>
                <w:highlight w:val="none"/>
                <w:lang w:val="en-US" w:eastAsia="zh-CN"/>
              </w:rPr>
              <w:t xml:space="preserve">  </w:t>
            </w:r>
            <w:r>
              <w:rPr>
                <w:rFonts w:hint="default" w:ascii="Times New Roman" w:hAnsi="Times New Roman" w:eastAsia="宋体" w:cs="Times New Roman"/>
                <w:b/>
                <w:color w:val="auto"/>
                <w:sz w:val="24"/>
                <w:highlight w:val="none"/>
              </w:rPr>
              <w:t>《大气污染物综合排放标准》（GB16297-1996）</w:t>
            </w:r>
          </w:p>
          <w:tbl>
            <w:tblPr>
              <w:tblStyle w:val="25"/>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05"/>
              <w:gridCol w:w="3656"/>
              <w:gridCol w:w="2416"/>
            </w:tblGrid>
            <w:tr w14:paraId="088927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restart"/>
                  <w:tcMar>
                    <w:left w:w="28" w:type="dxa"/>
                    <w:right w:w="28" w:type="dxa"/>
                  </w:tcMar>
                  <w:vAlign w:val="center"/>
                </w:tcPr>
                <w:p w14:paraId="1AEA331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5823" w:type="dxa"/>
                  <w:gridSpan w:val="2"/>
                  <w:tcMar>
                    <w:left w:w="28" w:type="dxa"/>
                    <w:right w:w="28" w:type="dxa"/>
                  </w:tcMar>
                  <w:vAlign w:val="center"/>
                </w:tcPr>
                <w:p w14:paraId="6EE3547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无组织排放监控浓度限值</w:t>
                  </w:r>
                </w:p>
              </w:tc>
            </w:tr>
            <w:tr w14:paraId="21EF7B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continue"/>
                  <w:tcMar>
                    <w:left w:w="28" w:type="dxa"/>
                    <w:right w:w="28" w:type="dxa"/>
                  </w:tcMar>
                  <w:vAlign w:val="center"/>
                </w:tcPr>
                <w:p w14:paraId="6236D902">
                  <w:pPr>
                    <w:jc w:val="center"/>
                    <w:rPr>
                      <w:rFonts w:hint="default" w:ascii="Times New Roman" w:hAnsi="Times New Roman" w:eastAsia="宋体" w:cs="Times New Roman"/>
                      <w:color w:val="auto"/>
                      <w:szCs w:val="21"/>
                      <w:highlight w:val="none"/>
                    </w:rPr>
                  </w:pPr>
                </w:p>
              </w:tc>
              <w:tc>
                <w:tcPr>
                  <w:tcW w:w="3506" w:type="dxa"/>
                  <w:tcMar>
                    <w:left w:w="28" w:type="dxa"/>
                    <w:right w:w="28" w:type="dxa"/>
                  </w:tcMar>
                  <w:vAlign w:val="center"/>
                </w:tcPr>
                <w:p w14:paraId="4DC4681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监控点</w:t>
                  </w:r>
                </w:p>
              </w:tc>
              <w:tc>
                <w:tcPr>
                  <w:tcW w:w="2317" w:type="dxa"/>
                  <w:tcMar>
                    <w:left w:w="28" w:type="dxa"/>
                    <w:right w:w="28" w:type="dxa"/>
                  </w:tcMar>
                  <w:vAlign w:val="center"/>
                </w:tcPr>
                <w:p w14:paraId="461B9D9C">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浓度</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lang w:eastAsia="zh-CN"/>
                    </w:rPr>
                    <w:t>）</w:t>
                  </w:r>
                </w:p>
              </w:tc>
            </w:tr>
            <w:tr w14:paraId="4F9078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tcMar>
                    <w:left w:w="28" w:type="dxa"/>
                    <w:right w:w="28" w:type="dxa"/>
                  </w:tcMar>
                  <w:vAlign w:val="center"/>
                </w:tcPr>
                <w:p w14:paraId="798ADCB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颗粒物</w:t>
                  </w:r>
                </w:p>
              </w:tc>
              <w:tc>
                <w:tcPr>
                  <w:tcW w:w="3506" w:type="dxa"/>
                  <w:tcMar>
                    <w:left w:w="28" w:type="dxa"/>
                    <w:right w:w="28" w:type="dxa"/>
                  </w:tcMar>
                  <w:vAlign w:val="center"/>
                </w:tcPr>
                <w:p w14:paraId="3A9FEDD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周围外浓度最高点</w:t>
                  </w:r>
                </w:p>
              </w:tc>
              <w:tc>
                <w:tcPr>
                  <w:tcW w:w="2317" w:type="dxa"/>
                  <w:tcMar>
                    <w:left w:w="28" w:type="dxa"/>
                    <w:right w:w="28" w:type="dxa"/>
                  </w:tcMar>
                  <w:vAlign w:val="center"/>
                </w:tcPr>
                <w:p w14:paraId="7479B6C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r>
          </w:tbl>
          <w:p w14:paraId="587A4699">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2、噪声排放标准</w:t>
            </w:r>
          </w:p>
          <w:p w14:paraId="3683E2B8">
            <w:pPr>
              <w:keepNext w:val="0"/>
              <w:keepLines w:val="0"/>
              <w:pageBreakBefore w:val="0"/>
              <w:widowControl w:val="0"/>
              <w:kinsoku/>
              <w:wordWrap/>
              <w:overflowPunct/>
              <w:topLinePunct w:val="0"/>
              <w:autoSpaceDE/>
              <w:autoSpaceDN/>
              <w:bidi w:val="0"/>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本工程</w:t>
            </w:r>
            <w:r>
              <w:rPr>
                <w:rFonts w:hint="default" w:ascii="Times New Roman" w:hAnsi="Times New Roman" w:eastAsia="宋体" w:cs="Times New Roman"/>
                <w:color w:val="auto"/>
                <w:sz w:val="24"/>
                <w:szCs w:val="24"/>
                <w:highlight w:val="none"/>
              </w:rPr>
              <w:t>建筑施工场界噪声执行《建筑施工场界环境噪声排放标准》（GB12523-2011）的相关标准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具体见下表。</w:t>
            </w:r>
          </w:p>
          <w:p w14:paraId="62B75DCF">
            <w:pPr>
              <w:keepNext w:val="0"/>
              <w:keepLines w:val="0"/>
              <w:pageBreakBefore w:val="0"/>
              <w:widowControl w:val="0"/>
              <w:kinsoku/>
              <w:wordWrap/>
              <w:overflowPunct/>
              <w:topLinePunct w:val="0"/>
              <w:autoSpaceDE/>
              <w:autoSpaceDN/>
              <w:bidi w:val="0"/>
              <w:spacing w:beforeAutospacing="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建筑施工场界环境噪声排放标准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6"/>
              <w:gridCol w:w="2235"/>
              <w:gridCol w:w="3467"/>
            </w:tblGrid>
            <w:tr w14:paraId="6157C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0" w:type="pct"/>
                  <w:vMerge w:val="restart"/>
                  <w:vAlign w:val="center"/>
                </w:tcPr>
                <w:p w14:paraId="126FFBB2">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3499" w:type="pct"/>
                  <w:gridSpan w:val="2"/>
                  <w:vAlign w:val="center"/>
                </w:tcPr>
                <w:p w14:paraId="3C95EA5F">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评价标准</w:t>
                  </w:r>
                </w:p>
              </w:tc>
            </w:tr>
            <w:tr w14:paraId="44E11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0" w:type="pct"/>
                  <w:vMerge w:val="continue"/>
                  <w:vAlign w:val="center"/>
                </w:tcPr>
                <w:p w14:paraId="36B7A421">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p>
              </w:tc>
              <w:tc>
                <w:tcPr>
                  <w:tcW w:w="1371" w:type="pct"/>
                  <w:vAlign w:val="center"/>
                </w:tcPr>
                <w:p w14:paraId="67564B83">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2127" w:type="pct"/>
                  <w:vAlign w:val="center"/>
                </w:tcPr>
                <w:p w14:paraId="4F73C7B4">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r>
            <w:tr w14:paraId="2998D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0" w:type="pct"/>
                  <w:vAlign w:val="center"/>
                </w:tcPr>
                <w:p w14:paraId="6F227BDE">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施工场界</w:t>
                  </w:r>
                </w:p>
              </w:tc>
              <w:tc>
                <w:tcPr>
                  <w:tcW w:w="1371" w:type="pct"/>
                  <w:vAlign w:val="center"/>
                </w:tcPr>
                <w:p w14:paraId="271A6FCC">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70dB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p>
              </w:tc>
              <w:tc>
                <w:tcPr>
                  <w:tcW w:w="2127" w:type="pct"/>
                  <w:vAlign w:val="center"/>
                </w:tcPr>
                <w:p w14:paraId="504FC14D">
                  <w:pPr>
                    <w:keepNext w:val="0"/>
                    <w:keepLines w:val="0"/>
                    <w:pageBreakBefore w:val="0"/>
                    <w:kinsoku/>
                    <w:wordWrap/>
                    <w:overflowPunct/>
                    <w:topLinePunct w:val="0"/>
                    <w:bidi w:val="0"/>
                    <w:ind w:left="0" w:lef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55dB</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eastAsia="zh-CN"/>
                    </w:rPr>
                    <w:t>）</w:t>
                  </w:r>
                </w:p>
              </w:tc>
            </w:tr>
          </w:tbl>
          <w:p w14:paraId="779032B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本项目运营期噪声主要为生产设备运行噪声，厂界四周噪声值执行《工业企业厂界环境噪声排放标准》（GB12348-2008）表1工业企业厂界环境噪声排放限值，标准值见表3-</w:t>
            </w:r>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235F1E85">
            <w:pPr>
              <w:spacing w:line="360" w:lineRule="auto"/>
              <w:ind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《工业企业厂界环境噪声排放标准》（GB12348-2008）</w:t>
            </w:r>
          </w:p>
          <w:tbl>
            <w:tblPr>
              <w:tblStyle w:val="25"/>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001"/>
              <w:gridCol w:w="2398"/>
              <w:gridCol w:w="2878"/>
            </w:tblGrid>
            <w:tr w14:paraId="423B8C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95" w:type="dxa"/>
                  <w:tcMar>
                    <w:left w:w="28" w:type="dxa"/>
                    <w:right w:w="28" w:type="dxa"/>
                  </w:tcMar>
                  <w:vAlign w:val="center"/>
                </w:tcPr>
                <w:p w14:paraId="419C1B0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2234" w:type="dxa"/>
                  <w:tcMar>
                    <w:left w:w="28" w:type="dxa"/>
                    <w:right w:w="28" w:type="dxa"/>
                  </w:tcMar>
                  <w:vAlign w:val="center"/>
                </w:tcPr>
                <w:p w14:paraId="0476CE0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2681" w:type="dxa"/>
                  <w:tcMar>
                    <w:left w:w="28" w:type="dxa"/>
                    <w:right w:w="28" w:type="dxa"/>
                  </w:tcMar>
                  <w:vAlign w:val="center"/>
                </w:tcPr>
                <w:p w14:paraId="3183F5D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r>
            <w:tr w14:paraId="067FB0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95" w:type="dxa"/>
                  <w:tcMar>
                    <w:left w:w="28" w:type="dxa"/>
                    <w:right w:w="28" w:type="dxa"/>
                  </w:tcMar>
                  <w:vAlign w:val="center"/>
                </w:tcPr>
                <w:p w14:paraId="6FE7215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类声环境功能区</w:t>
                  </w:r>
                </w:p>
              </w:tc>
              <w:tc>
                <w:tcPr>
                  <w:tcW w:w="2234" w:type="dxa"/>
                  <w:tcMar>
                    <w:left w:w="28" w:type="dxa"/>
                    <w:right w:w="28" w:type="dxa"/>
                  </w:tcMar>
                  <w:vAlign w:val="center"/>
                </w:tcPr>
                <w:p w14:paraId="3073EE8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6</w:t>
                  </w:r>
                  <w:r>
                    <w:rPr>
                      <w:rFonts w:hint="default" w:ascii="Times New Roman" w:hAnsi="Times New Roman" w:eastAsia="宋体" w:cs="Times New Roman"/>
                      <w:color w:val="auto"/>
                      <w:szCs w:val="21"/>
                      <w:highlight w:val="none"/>
                      <w:lang w:val="en-US" w:eastAsia="zh-CN"/>
                    </w:rPr>
                    <w:t>5</w:t>
                  </w:r>
                  <w:r>
                    <w:rPr>
                      <w:rFonts w:hint="default" w:ascii="Times New Roman" w:hAnsi="Times New Roman" w:eastAsia="宋体" w:cs="Times New Roman"/>
                      <w:color w:val="auto"/>
                      <w:szCs w:val="21"/>
                      <w:highlight w:val="none"/>
                    </w:rPr>
                    <w:t>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p>
              </w:tc>
              <w:tc>
                <w:tcPr>
                  <w:tcW w:w="2681" w:type="dxa"/>
                  <w:tcMar>
                    <w:left w:w="28" w:type="dxa"/>
                    <w:right w:w="28" w:type="dxa"/>
                  </w:tcMar>
                  <w:vAlign w:val="center"/>
                </w:tcPr>
                <w:p w14:paraId="3A29988F">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5</w:t>
                  </w:r>
                  <w:r>
                    <w:rPr>
                      <w:rFonts w:hint="default" w:ascii="Times New Roman" w:hAnsi="Times New Roman" w:eastAsia="宋体" w:cs="Times New Roman"/>
                      <w:color w:val="auto"/>
                      <w:szCs w:val="21"/>
                      <w:highlight w:val="none"/>
                      <w:lang w:val="en-US" w:eastAsia="zh-CN"/>
                    </w:rPr>
                    <w:t>5</w:t>
                  </w:r>
                  <w:r>
                    <w:rPr>
                      <w:rFonts w:hint="default" w:ascii="Times New Roman" w:hAnsi="Times New Roman" w:eastAsia="宋体" w:cs="Times New Roman"/>
                      <w:color w:val="auto"/>
                      <w:szCs w:val="21"/>
                      <w:highlight w:val="none"/>
                    </w:rPr>
                    <w:t>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p>
              </w:tc>
            </w:tr>
          </w:tbl>
          <w:p w14:paraId="04819F82">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3、固体废物控制标准</w:t>
            </w:r>
          </w:p>
          <w:p w14:paraId="6A234857">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一般固体废物执行《一般工业固体废物贮存和填埋污染控制标准》（GB18599-2020）中相关规定。</w:t>
            </w:r>
          </w:p>
        </w:tc>
      </w:tr>
      <w:tr w14:paraId="2BAD6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4" w:type="dxa"/>
            <w:vAlign w:val="center"/>
          </w:tcPr>
          <w:p w14:paraId="03474569">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总量控制指标</w:t>
            </w:r>
          </w:p>
        </w:tc>
        <w:tc>
          <w:tcPr>
            <w:tcW w:w="8492" w:type="dxa"/>
            <w:vAlign w:val="center"/>
          </w:tcPr>
          <w:p w14:paraId="4EEEA9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经计算，本项目建成后，生物质蒸汽锅炉有组织颗粒物排放量为0.005t/a，二氧化硫排放量为2.047t/a、氮氧化物排放量为2.175t/a。</w:t>
            </w:r>
          </w:p>
          <w:p w14:paraId="6B4478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4"/>
                <w:highlight w:val="none"/>
              </w:rPr>
              <w:t>因此，本项目总量控制指标为：颗粒物为0.005t/a、二氧化硫为2.047t/a、氮氧化物为2.175t/a。</w:t>
            </w:r>
          </w:p>
        </w:tc>
      </w:tr>
    </w:tbl>
    <w:p w14:paraId="6D6A2768">
      <w:pPr>
        <w:rPr>
          <w:rFonts w:hint="default" w:ascii="Times New Roman" w:hAnsi="Times New Roman" w:eastAsia="宋体" w:cs="Times New Roman"/>
          <w:color w:val="auto"/>
          <w:sz w:val="28"/>
          <w:szCs w:val="28"/>
          <w:highlight w:val="none"/>
        </w:rPr>
      </w:pPr>
    </w:p>
    <w:p w14:paraId="7DE876B2">
      <w:pPr>
        <w:rPr>
          <w:rFonts w:hint="default" w:ascii="Times New Roman" w:hAnsi="Times New Roman" w:eastAsia="宋体" w:cs="Times New Roman"/>
          <w:color w:val="auto"/>
          <w:sz w:val="28"/>
          <w:szCs w:val="28"/>
          <w:highlight w:val="none"/>
        </w:rPr>
        <w:sectPr>
          <w:pgSz w:w="11906" w:h="16838"/>
          <w:pgMar w:top="1440" w:right="1800" w:bottom="1440" w:left="1800" w:header="851" w:footer="992" w:gutter="0"/>
          <w:cols w:space="425" w:num="1"/>
          <w:docGrid w:type="lines" w:linePitch="312" w:charSpace="0"/>
        </w:sectPr>
      </w:pPr>
    </w:p>
    <w:p w14:paraId="63661E00">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四、主要环境影响和保护措施</w:t>
      </w:r>
    </w:p>
    <w:tbl>
      <w:tblPr>
        <w:tblStyle w:val="26"/>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8435"/>
      </w:tblGrid>
      <w:tr w14:paraId="094BC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14:paraId="24BD694D">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施工期环境保护措施</w:t>
            </w:r>
          </w:p>
        </w:tc>
        <w:tc>
          <w:tcPr>
            <w:tcW w:w="8435" w:type="dxa"/>
            <w:vAlign w:val="center"/>
          </w:tcPr>
          <w:p w14:paraId="1B0EFE08">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本项目主要建设一座锅炉房、一座</w:t>
            </w:r>
            <w:r>
              <w:rPr>
                <w:rFonts w:hint="default" w:ascii="Times New Roman" w:hAnsi="Times New Roman" w:eastAsia="宋体" w:cs="Times New Roman"/>
                <w:color w:val="auto"/>
                <w:sz w:val="24"/>
                <w:szCs w:val="24"/>
                <w:highlight w:val="none"/>
                <w:lang w:eastAsia="zh-CN"/>
              </w:rPr>
              <w:t>生物质燃料库</w:t>
            </w:r>
            <w:r>
              <w:rPr>
                <w:rFonts w:hint="default" w:ascii="Times New Roman" w:hAnsi="Times New Roman" w:eastAsia="宋体" w:cs="Times New Roman"/>
                <w:color w:val="auto"/>
                <w:sz w:val="24"/>
                <w:szCs w:val="24"/>
                <w:highlight w:val="none"/>
                <w:lang w:val="en-US" w:eastAsia="zh-CN"/>
              </w:rPr>
              <w:t>、一座</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lang w:val="en-US" w:eastAsia="zh-CN"/>
              </w:rPr>
              <w:t>以及安装设备，施工过程中产生的废气、废水、噪声和固废。</w:t>
            </w:r>
          </w:p>
          <w:p w14:paraId="61A2FCBC">
            <w:pPr>
              <w:keepNext w:val="0"/>
              <w:keepLines w:val="0"/>
              <w:pageBreakBefore w:val="0"/>
              <w:widowControl w:val="0"/>
              <w:kinsoku/>
              <w:wordWrap/>
              <w:overflowPunct/>
              <w:topLinePunct w:val="0"/>
              <w:bidi w:val="0"/>
              <w:snapToGrid w:val="0"/>
              <w:spacing w:beforeAutospacing="0" w:afterAutospacing="0"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1、施工期大气污染防治措施</w:t>
            </w:r>
          </w:p>
          <w:p w14:paraId="1F72486E">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施工过程中产生的主要大气污染源是扬尘以及施工机械、运输车辆废气。</w:t>
            </w:r>
          </w:p>
          <w:p w14:paraId="6E868A48">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（1）施工期粉尘防治措施分析</w:t>
            </w:r>
          </w:p>
          <w:p w14:paraId="5EB611B9">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①施工场地四周设置围栏，当起风时，可使影响距离缩短；</w:t>
            </w:r>
          </w:p>
          <w:p w14:paraId="7C66CC15">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lang w:eastAsia="zh-CN"/>
              </w:rPr>
              <w:t>基坑开挖</w:t>
            </w:r>
            <w:r>
              <w:rPr>
                <w:rFonts w:hint="default" w:ascii="Times New Roman" w:hAnsi="Times New Roman" w:eastAsia="宋体" w:cs="Times New Roman"/>
                <w:color w:val="auto"/>
                <w:sz w:val="24"/>
                <w:szCs w:val="24"/>
                <w:highlight w:val="none"/>
              </w:rPr>
              <w:t>等过程，应洒水使作业面保持一定的湿度；对施工场地内松散、干涸的表土，经常洒水防止扬尘；</w:t>
            </w:r>
          </w:p>
          <w:p w14:paraId="27AB38FA">
            <w:pPr>
              <w:keepNext w:val="0"/>
              <w:keepLines w:val="0"/>
              <w:pageBreakBefore w:val="0"/>
              <w:widowControl w:val="0"/>
              <w:kinsoku/>
              <w:wordWrap/>
              <w:overflowPunct/>
              <w:topLinePunct w:val="0"/>
              <w:bidi w:val="0"/>
              <w:snapToGri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③限制车速，施工场地出口设水池，车辆驶出施工场地时经过水清洗后可清除车轮上所沾泥土，减少行驶产生的扬尘</w:t>
            </w:r>
            <w:r>
              <w:rPr>
                <w:rFonts w:hint="default" w:ascii="Times New Roman" w:hAnsi="Times New Roman" w:eastAsia="宋体" w:cs="Times New Roman"/>
                <w:color w:val="auto"/>
                <w:sz w:val="24"/>
                <w:szCs w:val="24"/>
                <w:highlight w:val="none"/>
                <w:lang w:eastAsia="zh-CN"/>
              </w:rPr>
              <w:t>。</w:t>
            </w:r>
          </w:p>
          <w:p w14:paraId="090550D7">
            <w:pPr>
              <w:keepNext w:val="0"/>
              <w:keepLines w:val="0"/>
              <w:pageBreakBefore w:val="0"/>
              <w:widowControl w:val="0"/>
              <w:kinsoku/>
              <w:wordWrap/>
              <w:overflowPunct/>
              <w:topLinePunct w:val="0"/>
              <w:autoSpaceDE w:val="0"/>
              <w:autoSpaceDN w:val="0"/>
              <w:bidi w:val="0"/>
              <w:adjustRightInd w:val="0"/>
              <w:spacing w:beforeAutospacing="0" w:afterAutospacing="0"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2、施工期水污染防治措施</w:t>
            </w:r>
          </w:p>
          <w:p w14:paraId="7371A526">
            <w:pPr>
              <w:keepNext w:val="0"/>
              <w:keepLines w:val="0"/>
              <w:pageBreakBefore w:val="0"/>
              <w:kinsoku/>
              <w:wordWrap/>
              <w:overflowPunct/>
              <w:topLinePunct w:val="0"/>
              <w:autoSpaceDE w:val="0"/>
              <w:autoSpaceDN w:val="0"/>
              <w:bidi w:val="0"/>
              <w:adjustRightInd w:val="0"/>
              <w:spacing w:beforeAutospacing="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项目施工期间产生的废水主要是施工人员产生的生活污水和少量施工废水。</w:t>
            </w:r>
          </w:p>
          <w:p w14:paraId="050F9EAF">
            <w:pPr>
              <w:pStyle w:val="58"/>
              <w:keepNext w:val="0"/>
              <w:keepLines w:val="0"/>
              <w:pageBreakBefore w:val="0"/>
              <w:kinsoku/>
              <w:wordWrap/>
              <w:overflowPunct/>
              <w:topLinePunct w:val="0"/>
              <w:bidi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施工废水</w:t>
            </w:r>
          </w:p>
          <w:p w14:paraId="169C7E0D">
            <w:pPr>
              <w:pStyle w:val="58"/>
              <w:keepNext w:val="0"/>
              <w:keepLines w:val="0"/>
              <w:pageBreakBefore w:val="0"/>
              <w:kinsoku/>
              <w:wordWrap/>
              <w:overflowPunct/>
              <w:topLinePunct w:val="0"/>
              <w:bidi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生产废水主要包括施工机械冲洗废水和施工阶段产生的泥浆废水。施工机械冲洗废水排放量小，冲洗废水主要是水泥碎粒、沙土构成的悬浮物污染；泥浆废水是一种含有微细颗粒的悬浮混浊液体，经沉淀后全部回用。</w:t>
            </w:r>
          </w:p>
          <w:p w14:paraId="69B588CE">
            <w:pPr>
              <w:pStyle w:val="58"/>
              <w:keepNext w:val="0"/>
              <w:keepLines w:val="0"/>
              <w:pageBreakBefore w:val="0"/>
              <w:kinsoku/>
              <w:wordWrap/>
              <w:overflowPunct/>
              <w:topLinePunct w:val="0"/>
              <w:bidi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生活污水</w:t>
            </w:r>
          </w:p>
          <w:p w14:paraId="079CA13B">
            <w:pPr>
              <w:pStyle w:val="58"/>
              <w:keepNext w:val="0"/>
              <w:keepLines w:val="0"/>
              <w:pageBreakBefore w:val="0"/>
              <w:kinsoku/>
              <w:wordWrap/>
              <w:overflowPunct/>
              <w:topLinePunct w:val="0"/>
              <w:bidi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生活污水主要来自施工人员产生的生活污水，</w:t>
            </w:r>
            <w:r>
              <w:rPr>
                <w:rFonts w:hint="default" w:ascii="Times New Roman" w:hAnsi="Times New Roman" w:eastAsia="宋体" w:cs="Times New Roman"/>
                <w:color w:val="auto"/>
                <w:sz w:val="24"/>
                <w:szCs w:val="24"/>
                <w:highlight w:val="none"/>
                <w:lang w:val="en-US" w:eastAsia="zh-CN"/>
              </w:rPr>
              <w:t>经厂区现有化粪池处理后排入磴口工业园区污水处理厂。</w:t>
            </w:r>
          </w:p>
          <w:p w14:paraId="548D60F7">
            <w:pPr>
              <w:keepNext w:val="0"/>
              <w:keepLines w:val="0"/>
              <w:pageBreakBefore w:val="0"/>
              <w:widowControl w:val="0"/>
              <w:kinsoku/>
              <w:wordWrap/>
              <w:overflowPunct/>
              <w:topLinePunct w:val="0"/>
              <w:autoSpaceDE w:val="0"/>
              <w:autoSpaceDN w:val="0"/>
              <w:bidi w:val="0"/>
              <w:adjustRightInd w:val="0"/>
              <w:spacing w:beforeAutospacing="0" w:afterAutospacing="0"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3、施工期噪声污染防治措施</w:t>
            </w:r>
          </w:p>
          <w:p w14:paraId="5AB964AF">
            <w:pPr>
              <w:pStyle w:val="58"/>
              <w:keepNext w:val="0"/>
              <w:keepLines w:val="0"/>
              <w:pageBreakBefore w:val="0"/>
              <w:kinsoku/>
              <w:wordWrap/>
              <w:overflowPunct/>
              <w:topLinePunct w:val="0"/>
              <w:bidi w:val="0"/>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主要的噪声源有机械设备噪声、施工作业噪声和交通噪声。机械设备噪声主要由挖土机械、混凝土搅拌机等多种机械设备发出的；施工作业噪声主要指一些零星的敲打声、装卸车辆的撞击声、拆卸模板的撞击声等；交通噪声主要是在施工材料运输过程中产生的。机械设备的运作都是间歇性的，施工过程中产生的噪声具有间歇性和短暂性的特点，随着实施期的结束而消失。此外，交通噪声还具有流动性的特点。</w:t>
            </w:r>
          </w:p>
          <w:p w14:paraId="2C892853">
            <w:pPr>
              <w:keepNext w:val="0"/>
              <w:keepLines w:val="0"/>
              <w:pageBreakBefore w:val="0"/>
              <w:kinsoku/>
              <w:wordWrap/>
              <w:overflowPunct/>
              <w:topLinePunct w:val="0"/>
              <w:bidi w:val="0"/>
              <w:spacing w:beforeAutospacing="0" w:afterAutospacing="0" w:line="360" w:lineRule="auto"/>
              <w:ind w:firstLine="480" w:firstLineChars="200"/>
              <w:jc w:val="both"/>
              <w:textAlignment w:val="auto"/>
              <w:outlineLvl w:val="0"/>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各类施工机械在不同距离处的噪声值及同时运转叠加噪声值见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lang w:val="sv-SE"/>
              </w:rPr>
              <w:t>表。</w:t>
            </w:r>
          </w:p>
          <w:p w14:paraId="1C67A620">
            <w:pPr>
              <w:keepNext w:val="0"/>
              <w:keepLines w:val="0"/>
              <w:pageBreakBefore w:val="0"/>
              <w:kinsoku/>
              <w:wordWrap/>
              <w:overflowPunct/>
              <w:topLinePunct w:val="0"/>
              <w:bidi w:val="0"/>
              <w:spacing w:line="360" w:lineRule="auto"/>
              <w:jc w:val="center"/>
              <w:textAlignment w:val="auto"/>
              <w:outlineLvl w:val="0"/>
              <w:rPr>
                <w:rFonts w:hint="default" w:ascii="Times New Roman" w:hAnsi="Times New Roman" w:eastAsia="宋体" w:cs="Times New Roman"/>
                <w:b/>
                <w:bCs/>
                <w:color w:val="auto"/>
                <w:sz w:val="24"/>
                <w:szCs w:val="24"/>
                <w:highlight w:val="none"/>
                <w:lang w:val="sv-SE"/>
              </w:rPr>
            </w:pPr>
            <w:r>
              <w:rPr>
                <w:rFonts w:hint="default" w:ascii="Times New Roman" w:hAnsi="Times New Roman" w:eastAsia="宋体" w:cs="Times New Roman"/>
                <w:b/>
                <w:bCs/>
                <w:color w:val="auto"/>
                <w:sz w:val="24"/>
                <w:szCs w:val="24"/>
                <w:highlight w:val="none"/>
                <w:lang w:val="sv-SE"/>
              </w:rPr>
              <w:t>表</w:t>
            </w:r>
            <w:r>
              <w:rPr>
                <w:rFonts w:hint="default" w:ascii="Times New Roman" w:hAnsi="Times New Roman" w:eastAsia="宋体" w:cs="Times New Roman"/>
                <w:b/>
                <w:bCs/>
                <w:color w:val="auto"/>
                <w:sz w:val="24"/>
                <w:szCs w:val="24"/>
                <w:highlight w:val="none"/>
                <w:lang w:val="en-US" w:eastAsia="zh-CN"/>
              </w:rPr>
              <w:t xml:space="preserve">4-1  </w:t>
            </w:r>
            <w:r>
              <w:rPr>
                <w:rFonts w:hint="default" w:ascii="Times New Roman" w:hAnsi="Times New Roman" w:eastAsia="宋体" w:cs="Times New Roman"/>
                <w:b/>
                <w:bCs/>
                <w:color w:val="auto"/>
                <w:sz w:val="24"/>
                <w:szCs w:val="24"/>
                <w:highlight w:val="none"/>
                <w:lang w:val="sv-SE"/>
              </w:rPr>
              <w:t>施工机械噪声随距离衰减情况</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4"/>
              <w:gridCol w:w="911"/>
              <w:gridCol w:w="911"/>
              <w:gridCol w:w="912"/>
              <w:gridCol w:w="912"/>
              <w:gridCol w:w="912"/>
              <w:gridCol w:w="912"/>
              <w:gridCol w:w="912"/>
            </w:tblGrid>
            <w:tr w14:paraId="28E3A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1" w:type="pct"/>
                  <w:tcBorders>
                    <w:tl2br w:val="nil"/>
                    <w:tr2bl w:val="nil"/>
                  </w:tcBorders>
                  <w:noWrap w:val="0"/>
                  <w:vAlign w:val="center"/>
                </w:tcPr>
                <w:p w14:paraId="7B34EE82">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噪声源距离（m）</w:t>
                  </w:r>
                </w:p>
              </w:tc>
              <w:tc>
                <w:tcPr>
                  <w:tcW w:w="500" w:type="pct"/>
                  <w:tcBorders>
                    <w:tl2br w:val="nil"/>
                    <w:tr2bl w:val="nil"/>
                  </w:tcBorders>
                  <w:noWrap w:val="0"/>
                  <w:vAlign w:val="center"/>
                </w:tcPr>
                <w:p w14:paraId="5270A4E1">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5</w:t>
                  </w:r>
                </w:p>
              </w:tc>
              <w:tc>
                <w:tcPr>
                  <w:tcW w:w="500" w:type="pct"/>
                  <w:tcBorders>
                    <w:tl2br w:val="nil"/>
                    <w:tr2bl w:val="nil"/>
                  </w:tcBorders>
                  <w:noWrap w:val="0"/>
                  <w:vAlign w:val="center"/>
                </w:tcPr>
                <w:p w14:paraId="0D98A9B0">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10</w:t>
                  </w:r>
                </w:p>
              </w:tc>
              <w:tc>
                <w:tcPr>
                  <w:tcW w:w="500" w:type="pct"/>
                  <w:tcBorders>
                    <w:tl2br w:val="nil"/>
                    <w:tr2bl w:val="nil"/>
                  </w:tcBorders>
                  <w:noWrap w:val="0"/>
                  <w:vAlign w:val="center"/>
                </w:tcPr>
                <w:p w14:paraId="135AF0E3">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20</w:t>
                  </w:r>
                </w:p>
              </w:tc>
              <w:tc>
                <w:tcPr>
                  <w:tcW w:w="500" w:type="pct"/>
                  <w:tcBorders>
                    <w:tl2br w:val="nil"/>
                    <w:tr2bl w:val="nil"/>
                  </w:tcBorders>
                  <w:noWrap w:val="0"/>
                  <w:vAlign w:val="center"/>
                </w:tcPr>
                <w:p w14:paraId="4F40D294">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30</w:t>
                  </w:r>
                </w:p>
              </w:tc>
              <w:tc>
                <w:tcPr>
                  <w:tcW w:w="500" w:type="pct"/>
                  <w:tcBorders>
                    <w:tl2br w:val="nil"/>
                    <w:tr2bl w:val="nil"/>
                  </w:tcBorders>
                  <w:noWrap w:val="0"/>
                  <w:vAlign w:val="center"/>
                </w:tcPr>
                <w:p w14:paraId="3547565F">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50</w:t>
                  </w:r>
                </w:p>
              </w:tc>
              <w:tc>
                <w:tcPr>
                  <w:tcW w:w="500" w:type="pct"/>
                  <w:tcBorders>
                    <w:tl2br w:val="nil"/>
                    <w:tr2bl w:val="nil"/>
                  </w:tcBorders>
                  <w:noWrap w:val="0"/>
                  <w:vAlign w:val="center"/>
                </w:tcPr>
                <w:p w14:paraId="674AC149">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100</w:t>
                  </w:r>
                </w:p>
              </w:tc>
              <w:tc>
                <w:tcPr>
                  <w:tcW w:w="500" w:type="pct"/>
                  <w:tcBorders>
                    <w:tl2br w:val="nil"/>
                    <w:tr2bl w:val="nil"/>
                  </w:tcBorders>
                  <w:noWrap w:val="0"/>
                  <w:vAlign w:val="center"/>
                </w:tcPr>
                <w:p w14:paraId="5D5BBFD7">
                  <w:pPr>
                    <w:adjustRightInd w:val="0"/>
                    <w:snapToGrid w:val="0"/>
                    <w:jc w:val="center"/>
                    <w:outlineLvl w:val="0"/>
                    <w:rPr>
                      <w:rFonts w:hint="default" w:ascii="Times New Roman" w:hAnsi="Times New Roman" w:eastAsia="宋体" w:cs="Times New Roman"/>
                      <w:b/>
                      <w:bCs/>
                      <w:color w:val="auto"/>
                      <w:sz w:val="21"/>
                      <w:szCs w:val="21"/>
                      <w:highlight w:val="none"/>
                      <w:lang w:val="sv-SE"/>
                    </w:rPr>
                  </w:pPr>
                  <w:r>
                    <w:rPr>
                      <w:rFonts w:hint="default" w:ascii="Times New Roman" w:hAnsi="Times New Roman" w:eastAsia="宋体" w:cs="Times New Roman"/>
                      <w:b/>
                      <w:bCs/>
                      <w:color w:val="auto"/>
                      <w:sz w:val="21"/>
                      <w:szCs w:val="21"/>
                      <w:highlight w:val="none"/>
                      <w:lang w:val="sv-SE"/>
                    </w:rPr>
                    <w:t>220</w:t>
                  </w:r>
                </w:p>
              </w:tc>
            </w:tr>
            <w:tr w14:paraId="291E4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1" w:type="pct"/>
                  <w:tcBorders>
                    <w:tl2br w:val="nil"/>
                    <w:tr2bl w:val="nil"/>
                  </w:tcBorders>
                  <w:noWrap w:val="0"/>
                  <w:vAlign w:val="center"/>
                </w:tcPr>
                <w:p w14:paraId="4521AEC0">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挖掘机</w:t>
                  </w:r>
                </w:p>
              </w:tc>
              <w:tc>
                <w:tcPr>
                  <w:tcW w:w="500" w:type="pct"/>
                  <w:tcBorders>
                    <w:tl2br w:val="nil"/>
                    <w:tr2bl w:val="nil"/>
                  </w:tcBorders>
                  <w:noWrap w:val="0"/>
                  <w:vAlign w:val="center"/>
                </w:tcPr>
                <w:p w14:paraId="5092D571">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84</w:t>
                  </w:r>
                </w:p>
              </w:tc>
              <w:tc>
                <w:tcPr>
                  <w:tcW w:w="500" w:type="pct"/>
                  <w:tcBorders>
                    <w:tl2br w:val="nil"/>
                    <w:tr2bl w:val="nil"/>
                  </w:tcBorders>
                  <w:noWrap w:val="0"/>
                  <w:vAlign w:val="center"/>
                </w:tcPr>
                <w:p w14:paraId="6220476A">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70.0</w:t>
                  </w:r>
                </w:p>
              </w:tc>
              <w:tc>
                <w:tcPr>
                  <w:tcW w:w="500" w:type="pct"/>
                  <w:tcBorders>
                    <w:tl2br w:val="nil"/>
                    <w:tr2bl w:val="nil"/>
                  </w:tcBorders>
                  <w:noWrap w:val="0"/>
                  <w:vAlign w:val="center"/>
                </w:tcPr>
                <w:p w14:paraId="3E18B885">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60.5</w:t>
                  </w:r>
                </w:p>
              </w:tc>
              <w:tc>
                <w:tcPr>
                  <w:tcW w:w="500" w:type="pct"/>
                  <w:tcBorders>
                    <w:tl2br w:val="nil"/>
                    <w:tr2bl w:val="nil"/>
                  </w:tcBorders>
                  <w:noWrap w:val="0"/>
                  <w:vAlign w:val="center"/>
                </w:tcPr>
                <w:p w14:paraId="33019A66">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56.0</w:t>
                  </w:r>
                </w:p>
              </w:tc>
              <w:tc>
                <w:tcPr>
                  <w:tcW w:w="500" w:type="pct"/>
                  <w:tcBorders>
                    <w:tl2br w:val="nil"/>
                    <w:tr2bl w:val="nil"/>
                  </w:tcBorders>
                  <w:noWrap w:val="0"/>
                  <w:vAlign w:val="center"/>
                </w:tcPr>
                <w:p w14:paraId="16A15692">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51.0</w:t>
                  </w:r>
                </w:p>
              </w:tc>
              <w:tc>
                <w:tcPr>
                  <w:tcW w:w="500" w:type="pct"/>
                  <w:tcBorders>
                    <w:tl2br w:val="nil"/>
                    <w:tr2bl w:val="nil"/>
                  </w:tcBorders>
                  <w:noWrap w:val="0"/>
                  <w:vAlign w:val="center"/>
                </w:tcPr>
                <w:p w14:paraId="5020608E">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44.5</w:t>
                  </w:r>
                </w:p>
              </w:tc>
              <w:tc>
                <w:tcPr>
                  <w:tcW w:w="500" w:type="pct"/>
                  <w:tcBorders>
                    <w:tl2br w:val="nil"/>
                    <w:tr2bl w:val="nil"/>
                  </w:tcBorders>
                  <w:noWrap w:val="0"/>
                  <w:vAlign w:val="center"/>
                </w:tcPr>
                <w:p w14:paraId="5F619CAC">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37.4</w:t>
                  </w:r>
                </w:p>
              </w:tc>
            </w:tr>
            <w:tr w14:paraId="08C1D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1" w:type="pct"/>
                  <w:tcBorders>
                    <w:tl2br w:val="nil"/>
                    <w:tr2bl w:val="nil"/>
                  </w:tcBorders>
                  <w:noWrap w:val="0"/>
                  <w:vAlign w:val="center"/>
                </w:tcPr>
                <w:p w14:paraId="1C60CC72">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装载机</w:t>
                  </w:r>
                </w:p>
              </w:tc>
              <w:tc>
                <w:tcPr>
                  <w:tcW w:w="500" w:type="pct"/>
                  <w:tcBorders>
                    <w:tl2br w:val="nil"/>
                    <w:tr2bl w:val="nil"/>
                  </w:tcBorders>
                  <w:noWrap w:val="0"/>
                  <w:vAlign w:val="center"/>
                </w:tcPr>
                <w:p w14:paraId="43C0ADED">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90</w:t>
                  </w:r>
                </w:p>
              </w:tc>
              <w:tc>
                <w:tcPr>
                  <w:tcW w:w="500" w:type="pct"/>
                  <w:tcBorders>
                    <w:tl2br w:val="nil"/>
                    <w:tr2bl w:val="nil"/>
                  </w:tcBorders>
                  <w:noWrap w:val="0"/>
                  <w:vAlign w:val="center"/>
                </w:tcPr>
                <w:p w14:paraId="24F525B1">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76.0</w:t>
                  </w:r>
                </w:p>
              </w:tc>
              <w:tc>
                <w:tcPr>
                  <w:tcW w:w="500" w:type="pct"/>
                  <w:tcBorders>
                    <w:tl2br w:val="nil"/>
                    <w:tr2bl w:val="nil"/>
                  </w:tcBorders>
                  <w:noWrap w:val="0"/>
                  <w:vAlign w:val="center"/>
                </w:tcPr>
                <w:p w14:paraId="6D66EC4F">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66.5</w:t>
                  </w:r>
                </w:p>
              </w:tc>
              <w:tc>
                <w:tcPr>
                  <w:tcW w:w="500" w:type="pct"/>
                  <w:tcBorders>
                    <w:tl2br w:val="nil"/>
                    <w:tr2bl w:val="nil"/>
                  </w:tcBorders>
                  <w:noWrap w:val="0"/>
                  <w:vAlign w:val="center"/>
                </w:tcPr>
                <w:p w14:paraId="171F725C">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62.0</w:t>
                  </w:r>
                </w:p>
              </w:tc>
              <w:tc>
                <w:tcPr>
                  <w:tcW w:w="500" w:type="pct"/>
                  <w:tcBorders>
                    <w:tl2br w:val="nil"/>
                    <w:tr2bl w:val="nil"/>
                  </w:tcBorders>
                  <w:noWrap w:val="0"/>
                  <w:vAlign w:val="center"/>
                </w:tcPr>
                <w:p w14:paraId="22231937">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56.0</w:t>
                  </w:r>
                </w:p>
              </w:tc>
              <w:tc>
                <w:tcPr>
                  <w:tcW w:w="500" w:type="pct"/>
                  <w:tcBorders>
                    <w:tl2br w:val="nil"/>
                    <w:tr2bl w:val="nil"/>
                  </w:tcBorders>
                  <w:noWrap w:val="0"/>
                  <w:vAlign w:val="center"/>
                </w:tcPr>
                <w:p w14:paraId="3678E931">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50.5</w:t>
                  </w:r>
                </w:p>
              </w:tc>
              <w:tc>
                <w:tcPr>
                  <w:tcW w:w="500" w:type="pct"/>
                  <w:tcBorders>
                    <w:tl2br w:val="nil"/>
                    <w:tr2bl w:val="nil"/>
                  </w:tcBorders>
                  <w:noWrap w:val="0"/>
                  <w:vAlign w:val="center"/>
                </w:tcPr>
                <w:p w14:paraId="26863C4E">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43.3</w:t>
                  </w:r>
                </w:p>
              </w:tc>
            </w:tr>
            <w:tr w14:paraId="63944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1" w:type="pct"/>
                  <w:tcBorders>
                    <w:tl2br w:val="nil"/>
                    <w:tr2bl w:val="nil"/>
                  </w:tcBorders>
                  <w:noWrap w:val="0"/>
                  <w:vAlign w:val="center"/>
                </w:tcPr>
                <w:p w14:paraId="4D135E39">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切割机</w:t>
                  </w:r>
                </w:p>
              </w:tc>
              <w:tc>
                <w:tcPr>
                  <w:tcW w:w="500" w:type="pct"/>
                  <w:tcBorders>
                    <w:tl2br w:val="nil"/>
                    <w:tr2bl w:val="nil"/>
                  </w:tcBorders>
                  <w:noWrap w:val="0"/>
                  <w:vAlign w:val="center"/>
                </w:tcPr>
                <w:p w14:paraId="26BFBD18">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84</w:t>
                  </w:r>
                </w:p>
              </w:tc>
              <w:tc>
                <w:tcPr>
                  <w:tcW w:w="500" w:type="pct"/>
                  <w:tcBorders>
                    <w:tl2br w:val="nil"/>
                    <w:tr2bl w:val="nil"/>
                  </w:tcBorders>
                  <w:noWrap w:val="0"/>
                  <w:vAlign w:val="center"/>
                </w:tcPr>
                <w:p w14:paraId="15F2B18C">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70.0</w:t>
                  </w:r>
                </w:p>
              </w:tc>
              <w:tc>
                <w:tcPr>
                  <w:tcW w:w="500" w:type="pct"/>
                  <w:tcBorders>
                    <w:tl2br w:val="nil"/>
                    <w:tr2bl w:val="nil"/>
                  </w:tcBorders>
                  <w:noWrap w:val="0"/>
                  <w:vAlign w:val="center"/>
                </w:tcPr>
                <w:p w14:paraId="7A678D0A">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60.5</w:t>
                  </w:r>
                </w:p>
              </w:tc>
              <w:tc>
                <w:tcPr>
                  <w:tcW w:w="500" w:type="pct"/>
                  <w:tcBorders>
                    <w:tl2br w:val="nil"/>
                    <w:tr2bl w:val="nil"/>
                  </w:tcBorders>
                  <w:noWrap w:val="0"/>
                  <w:vAlign w:val="center"/>
                </w:tcPr>
                <w:p w14:paraId="2656FA60">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56.0</w:t>
                  </w:r>
                </w:p>
              </w:tc>
              <w:tc>
                <w:tcPr>
                  <w:tcW w:w="500" w:type="pct"/>
                  <w:tcBorders>
                    <w:tl2br w:val="nil"/>
                    <w:tr2bl w:val="nil"/>
                  </w:tcBorders>
                  <w:noWrap w:val="0"/>
                  <w:vAlign w:val="center"/>
                </w:tcPr>
                <w:p w14:paraId="22ED7255">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51.0</w:t>
                  </w:r>
                </w:p>
              </w:tc>
              <w:tc>
                <w:tcPr>
                  <w:tcW w:w="500" w:type="pct"/>
                  <w:tcBorders>
                    <w:tl2br w:val="nil"/>
                    <w:tr2bl w:val="nil"/>
                  </w:tcBorders>
                  <w:noWrap w:val="0"/>
                  <w:vAlign w:val="center"/>
                </w:tcPr>
                <w:p w14:paraId="0F28E264">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44.5</w:t>
                  </w:r>
                </w:p>
              </w:tc>
              <w:tc>
                <w:tcPr>
                  <w:tcW w:w="500" w:type="pct"/>
                  <w:tcBorders>
                    <w:tl2br w:val="nil"/>
                    <w:tr2bl w:val="nil"/>
                  </w:tcBorders>
                  <w:noWrap w:val="0"/>
                  <w:vAlign w:val="center"/>
                </w:tcPr>
                <w:p w14:paraId="51E081AD">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37.</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sv-SE"/>
                    </w:rPr>
                    <w:cr/>
                  </w:r>
                </w:p>
              </w:tc>
            </w:tr>
            <w:tr w14:paraId="29C97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1" w:type="pct"/>
                  <w:tcBorders>
                    <w:tl2br w:val="nil"/>
                    <w:tr2bl w:val="nil"/>
                  </w:tcBorders>
                  <w:noWrap w:val="0"/>
                  <w:vAlign w:val="center"/>
                </w:tcPr>
                <w:p w14:paraId="5F8A87F2">
                  <w:pPr>
                    <w:adjustRightInd w:val="0"/>
                    <w:snapToGrid w:val="0"/>
                    <w:jc w:val="center"/>
                    <w:outlineLvl w:val="0"/>
                    <w:rPr>
                      <w:rFonts w:hint="default" w:ascii="Times New Roman" w:hAnsi="Times New Roman" w:eastAsia="宋体" w:cs="Times New Roman"/>
                      <w:color w:val="auto"/>
                      <w:sz w:val="21"/>
                      <w:szCs w:val="21"/>
                      <w:highlight w:val="none"/>
                      <w:lang w:val="sv-SE" w:eastAsia="zh-CN"/>
                    </w:rPr>
                  </w:pPr>
                  <w:r>
                    <w:rPr>
                      <w:rFonts w:hint="default" w:ascii="Times New Roman" w:hAnsi="Times New Roman" w:eastAsia="宋体" w:cs="Times New Roman"/>
                      <w:color w:val="auto"/>
                      <w:sz w:val="21"/>
                      <w:szCs w:val="21"/>
                      <w:highlight w:val="none"/>
                      <w:lang w:val="sv-SE"/>
                    </w:rPr>
                    <w:t>叠加噪声</w:t>
                  </w:r>
                  <w:r>
                    <w:rPr>
                      <w:rFonts w:hint="default" w:ascii="Times New Roman" w:hAnsi="Times New Roman" w:eastAsia="宋体" w:cs="Times New Roman"/>
                      <w:color w:val="auto"/>
                      <w:sz w:val="21"/>
                      <w:szCs w:val="21"/>
                      <w:highlight w:val="none"/>
                    </w:rPr>
                    <w:t>dB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lang w:eastAsia="zh-CN"/>
                    </w:rPr>
                    <w:t>）</w:t>
                  </w:r>
                </w:p>
              </w:tc>
              <w:tc>
                <w:tcPr>
                  <w:tcW w:w="500" w:type="pct"/>
                  <w:tcBorders>
                    <w:tl2br w:val="nil"/>
                    <w:tr2bl w:val="nil"/>
                  </w:tcBorders>
                  <w:noWrap w:val="0"/>
                  <w:vAlign w:val="center"/>
                </w:tcPr>
                <w:p w14:paraId="25224D74">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91.77</w:t>
                  </w:r>
                </w:p>
              </w:tc>
              <w:tc>
                <w:tcPr>
                  <w:tcW w:w="500" w:type="pct"/>
                  <w:tcBorders>
                    <w:tl2br w:val="nil"/>
                    <w:tr2bl w:val="nil"/>
                  </w:tcBorders>
                  <w:noWrap w:val="0"/>
                  <w:vAlign w:val="center"/>
                </w:tcPr>
                <w:p w14:paraId="4C517261">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77.07</w:t>
                  </w:r>
                </w:p>
              </w:tc>
              <w:tc>
                <w:tcPr>
                  <w:tcW w:w="500" w:type="pct"/>
                  <w:tcBorders>
                    <w:tl2br w:val="nil"/>
                    <w:tr2bl w:val="nil"/>
                  </w:tcBorders>
                  <w:noWrap w:val="0"/>
                  <w:vAlign w:val="center"/>
                </w:tcPr>
                <w:p w14:paraId="0C8ABBF9">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68.27</w:t>
                  </w:r>
                </w:p>
              </w:tc>
              <w:tc>
                <w:tcPr>
                  <w:tcW w:w="500" w:type="pct"/>
                  <w:tcBorders>
                    <w:tl2br w:val="nil"/>
                    <w:tr2bl w:val="nil"/>
                  </w:tcBorders>
                  <w:noWrap w:val="0"/>
                  <w:vAlign w:val="center"/>
                </w:tcPr>
                <w:p w14:paraId="2DCE9314">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63.27</w:t>
                  </w:r>
                </w:p>
              </w:tc>
              <w:tc>
                <w:tcPr>
                  <w:tcW w:w="500" w:type="pct"/>
                  <w:tcBorders>
                    <w:tl2br w:val="nil"/>
                    <w:tr2bl w:val="nil"/>
                  </w:tcBorders>
                  <w:noWrap w:val="0"/>
                  <w:vAlign w:val="center"/>
                </w:tcPr>
                <w:p w14:paraId="335C9904">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58.13</w:t>
                  </w:r>
                </w:p>
              </w:tc>
              <w:tc>
                <w:tcPr>
                  <w:tcW w:w="500" w:type="pct"/>
                  <w:tcBorders>
                    <w:tl2br w:val="nil"/>
                    <w:tr2bl w:val="nil"/>
                  </w:tcBorders>
                  <w:noWrap w:val="0"/>
                  <w:vAlign w:val="center"/>
                </w:tcPr>
                <w:p w14:paraId="44CC1997">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52.27</w:t>
                  </w:r>
                </w:p>
              </w:tc>
              <w:tc>
                <w:tcPr>
                  <w:tcW w:w="500" w:type="pct"/>
                  <w:tcBorders>
                    <w:tl2br w:val="nil"/>
                    <w:tr2bl w:val="nil"/>
                  </w:tcBorders>
                  <w:noWrap w:val="0"/>
                  <w:vAlign w:val="center"/>
                </w:tcPr>
                <w:p w14:paraId="4CAA3FE1">
                  <w:pPr>
                    <w:adjustRightInd w:val="0"/>
                    <w:snapToGrid w:val="0"/>
                    <w:jc w:val="center"/>
                    <w:outlineLvl w:val="0"/>
                    <w:rPr>
                      <w:rFonts w:hint="default" w:ascii="Times New Roman" w:hAnsi="Times New Roman" w:eastAsia="宋体" w:cs="Times New Roman"/>
                      <w:color w:val="auto"/>
                      <w:sz w:val="21"/>
                      <w:szCs w:val="21"/>
                      <w:highlight w:val="none"/>
                      <w:lang w:val="sv-SE"/>
                    </w:rPr>
                  </w:pPr>
                  <w:r>
                    <w:rPr>
                      <w:rFonts w:hint="default" w:ascii="Times New Roman" w:hAnsi="Times New Roman" w:eastAsia="宋体" w:cs="Times New Roman"/>
                      <w:color w:val="auto"/>
                      <w:sz w:val="21"/>
                      <w:szCs w:val="21"/>
                      <w:highlight w:val="none"/>
                      <w:lang w:val="sv-SE"/>
                    </w:rPr>
                    <w:t>45.0</w:t>
                  </w:r>
                </w:p>
              </w:tc>
            </w:tr>
          </w:tbl>
          <w:p w14:paraId="724F3E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本次评价要求按照以下措施减少噪声对周边环境的影响：</w:t>
            </w:r>
          </w:p>
          <w:p w14:paraId="680CF0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（1）合理布置施工场地；</w:t>
            </w:r>
          </w:p>
          <w:p w14:paraId="227438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（2）选用机械噪声较低的设备，减少高噪声设备的使用；</w:t>
            </w:r>
          </w:p>
          <w:p w14:paraId="20EA3D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（3）严格操作规程，加强施工机械管理，规范建筑物料、土石方清运车辆进出工地高速行驶、鸣笛等，降低人为噪声影响；</w:t>
            </w:r>
          </w:p>
          <w:p w14:paraId="77975B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4）采取有效的隔音、减振、消声措施，降低噪声级。对位置相对固定的施工机械，如切割机、电锯等，将其设置在专门的工棚内，同时选用低噪声设备，并采取一定的隔声、降噪措施，控制施工机械噪声符合《建筑施工场界环境噪声排放标准》（GB12523-2011），做到施工场界噪声达标排放；</w:t>
            </w:r>
          </w:p>
          <w:p w14:paraId="32EA98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（5）严格控制施工车辆运输路线，控制车速，减少对周围敏感点的影响；</w:t>
            </w:r>
          </w:p>
          <w:p w14:paraId="23A4A01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sv-SE"/>
              </w:rPr>
            </w:pPr>
            <w:r>
              <w:rPr>
                <w:rFonts w:hint="default" w:ascii="Times New Roman" w:hAnsi="Times New Roman" w:eastAsia="宋体" w:cs="Times New Roman"/>
                <w:color w:val="auto"/>
                <w:sz w:val="24"/>
                <w:szCs w:val="24"/>
                <w:highlight w:val="none"/>
                <w:lang w:val="sv-SE"/>
              </w:rPr>
              <w:t>（6）对不同施工阶段，按《建筑施工场界环境噪声排放标准》（GB12523-2011）对施工场界进行噪声控制，通过严格的施工管理，使施工场界噪声达到标准限值。</w:t>
            </w:r>
          </w:p>
          <w:p w14:paraId="1A1D6A2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固体废物</w:t>
            </w:r>
            <w:r>
              <w:rPr>
                <w:rFonts w:hint="default" w:ascii="Times New Roman" w:hAnsi="Times New Roman" w:eastAsia="宋体" w:cs="Times New Roman"/>
                <w:b/>
                <w:bCs/>
                <w:color w:val="auto"/>
                <w:sz w:val="24"/>
                <w:szCs w:val="24"/>
                <w:highlight w:val="none"/>
                <w:lang w:val="en-US" w:eastAsia="zh-CN"/>
              </w:rPr>
              <w:t>环境影响分析</w:t>
            </w:r>
          </w:p>
          <w:p w14:paraId="16DCD6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施工期的固体废弃物主</w:t>
            </w:r>
            <w:r>
              <w:rPr>
                <w:rFonts w:hint="default" w:ascii="Times New Roman" w:hAnsi="Times New Roman" w:eastAsia="宋体" w:cs="Times New Roman"/>
                <w:color w:val="auto"/>
                <w:sz w:val="24"/>
                <w:szCs w:val="24"/>
                <w:highlight w:val="none"/>
                <w:lang w:eastAsia="zh-CN"/>
              </w:rPr>
              <w:t>要是</w:t>
            </w:r>
            <w:r>
              <w:rPr>
                <w:rFonts w:hint="default" w:ascii="Times New Roman" w:hAnsi="Times New Roman" w:eastAsia="宋体" w:cs="Times New Roman"/>
                <w:color w:val="auto"/>
                <w:sz w:val="24"/>
                <w:szCs w:val="24"/>
                <w:highlight w:val="none"/>
              </w:rPr>
              <w:t>建筑垃圾和生活垃圾。主要处理措施：</w:t>
            </w:r>
          </w:p>
          <w:p w14:paraId="5AE177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基坑开挖</w:t>
            </w:r>
            <w:r>
              <w:rPr>
                <w:rFonts w:hint="default" w:ascii="Times New Roman" w:hAnsi="Times New Roman" w:eastAsia="宋体" w:cs="Times New Roman"/>
                <w:color w:val="auto"/>
                <w:sz w:val="24"/>
                <w:szCs w:val="24"/>
                <w:highlight w:val="none"/>
                <w:lang w:val="en-US" w:eastAsia="zh-CN"/>
              </w:rPr>
              <w:t>的</w:t>
            </w:r>
            <w:r>
              <w:rPr>
                <w:rFonts w:hint="default" w:ascii="Times New Roman" w:hAnsi="Times New Roman" w:eastAsia="宋体" w:cs="Times New Roman"/>
                <w:color w:val="auto"/>
                <w:sz w:val="24"/>
                <w:szCs w:val="24"/>
                <w:highlight w:val="none"/>
              </w:rPr>
              <w:t>土方</w:t>
            </w:r>
            <w:r>
              <w:rPr>
                <w:rFonts w:hint="default" w:ascii="Times New Roman" w:hAnsi="Times New Roman" w:eastAsia="宋体" w:cs="Times New Roman"/>
                <w:color w:val="auto"/>
                <w:sz w:val="24"/>
                <w:szCs w:val="24"/>
                <w:highlight w:val="none"/>
                <w:lang w:val="en-US" w:eastAsia="zh-CN"/>
              </w:rPr>
              <w:t>进行</w:t>
            </w:r>
            <w:r>
              <w:rPr>
                <w:rFonts w:hint="default" w:ascii="Times New Roman" w:hAnsi="Times New Roman" w:eastAsia="宋体" w:cs="Times New Roman"/>
                <w:color w:val="auto"/>
                <w:sz w:val="24"/>
                <w:szCs w:val="24"/>
                <w:highlight w:val="none"/>
              </w:rPr>
              <w:t>喷水、覆盖等措施；</w:t>
            </w:r>
          </w:p>
          <w:p w14:paraId="3BC025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建筑垃圾送至市政部门指定地点堆存。</w:t>
            </w:r>
          </w:p>
          <w:p w14:paraId="47161E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生活垃圾产生量较小，收集后统一交环卫部门处理。</w:t>
            </w:r>
          </w:p>
          <w:p w14:paraId="540955B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5、生态防护措施</w:t>
            </w:r>
          </w:p>
          <w:p w14:paraId="0FE0634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本项目位于磴口工业园区磴口县鸿运建材有限责任公司现有厂区内，土地为工业用地，本次工程不新增占地，因此项目施工不会改变土地利用类型，通过在施工期结束后对植被进行恢复后，本项目施工期对生态环境影响较小</w:t>
            </w:r>
            <w:r>
              <w:rPr>
                <w:rFonts w:hint="default" w:ascii="Times New Roman" w:hAnsi="Times New Roman" w:eastAsia="宋体" w:cs="Times New Roman"/>
                <w:bCs/>
                <w:color w:val="auto"/>
                <w:sz w:val="24"/>
                <w:highlight w:val="none"/>
              </w:rPr>
              <w:t>。</w:t>
            </w:r>
          </w:p>
        </w:tc>
      </w:tr>
      <w:tr w14:paraId="4C7D0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61" w:type="dxa"/>
            <w:vAlign w:val="center"/>
          </w:tcPr>
          <w:p w14:paraId="2FAF2057">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运营期环境影响和保护措施</w:t>
            </w:r>
          </w:p>
        </w:tc>
        <w:tc>
          <w:tcPr>
            <w:tcW w:w="8435" w:type="dxa"/>
            <w:vAlign w:val="center"/>
          </w:tcPr>
          <w:p w14:paraId="5D37D2E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1、废气产排情况及治理措施可行性分析</w:t>
            </w:r>
          </w:p>
          <w:p w14:paraId="191CCB5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1.1废气产排情况</w:t>
            </w:r>
          </w:p>
          <w:p w14:paraId="3EB75B6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本项目运营期产生的大气污染物主要为</w:t>
            </w:r>
            <w:r>
              <w:rPr>
                <w:rFonts w:hint="default" w:ascii="Times New Roman" w:hAnsi="Times New Roman" w:eastAsia="宋体" w:cs="Times New Roman"/>
                <w:color w:val="auto"/>
                <w:sz w:val="24"/>
                <w:szCs w:val="24"/>
                <w:highlight w:val="none"/>
                <w:lang w:eastAsia="zh-CN"/>
              </w:rPr>
              <w:t>生物质蒸汽锅炉</w:t>
            </w:r>
            <w:r>
              <w:rPr>
                <w:rFonts w:hint="default" w:ascii="Times New Roman" w:hAnsi="Times New Roman" w:eastAsia="宋体" w:cs="Times New Roman"/>
                <w:color w:val="auto"/>
                <w:sz w:val="24"/>
                <w:szCs w:val="24"/>
                <w:highlight w:val="none"/>
              </w:rPr>
              <w:t>废气、</w:t>
            </w:r>
            <w:r>
              <w:rPr>
                <w:rFonts w:hint="default" w:ascii="Times New Roman" w:hAnsi="Times New Roman" w:eastAsia="宋体" w:cs="Times New Roman"/>
                <w:color w:val="auto"/>
                <w:sz w:val="24"/>
                <w:szCs w:val="24"/>
                <w:highlight w:val="none"/>
                <w:lang w:eastAsia="zh-CN"/>
              </w:rPr>
              <w:t>灰渣库废气</w:t>
            </w:r>
            <w:r>
              <w:rPr>
                <w:rFonts w:hint="default" w:ascii="Times New Roman" w:hAnsi="Times New Roman" w:eastAsia="宋体" w:cs="Times New Roman"/>
                <w:color w:val="auto"/>
                <w:sz w:val="24"/>
                <w:szCs w:val="24"/>
                <w:highlight w:val="none"/>
              </w:rPr>
              <w:t>。</w:t>
            </w:r>
          </w:p>
          <w:p w14:paraId="4FB8DAB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1.1.1锅炉废气</w:t>
            </w:r>
          </w:p>
          <w:p w14:paraId="6F5F9F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本项目新建的1台</w:t>
            </w:r>
            <w:r>
              <w:rPr>
                <w:rFonts w:hint="default" w:ascii="Times New Roman" w:hAnsi="Times New Roman" w:eastAsia="宋体" w:cs="Times New Roman"/>
                <w:color w:val="auto"/>
                <w:sz w:val="24"/>
                <w:szCs w:val="24"/>
                <w:highlight w:val="none"/>
                <w:lang w:eastAsia="zh-CN"/>
              </w:rPr>
              <w:t>10t/h生物质蒸汽锅炉</w:t>
            </w:r>
            <w:r>
              <w:rPr>
                <w:rFonts w:hint="default" w:ascii="Times New Roman" w:hAnsi="Times New Roman" w:eastAsia="宋体" w:cs="Times New Roman"/>
                <w:color w:val="auto"/>
                <w:sz w:val="24"/>
                <w:szCs w:val="24"/>
                <w:highlight w:val="none"/>
              </w:rPr>
              <w:t>废气主要大气污染物为颗粒物、SO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、NOx、汞及其化合物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烟气黑度</w:t>
            </w:r>
            <w:r>
              <w:rPr>
                <w:rFonts w:hint="default" w:ascii="Times New Roman" w:hAnsi="Times New Roman" w:eastAsia="宋体" w:cs="Times New Roman"/>
                <w:color w:val="auto"/>
                <w:sz w:val="24"/>
                <w:szCs w:val="24"/>
                <w:highlight w:val="none"/>
                <w:lang w:eastAsia="zh-CN"/>
              </w:rPr>
              <w:t>，锅炉</w:t>
            </w:r>
            <w:r>
              <w:rPr>
                <w:rFonts w:hint="default" w:ascii="Times New Roman" w:hAnsi="Times New Roman" w:eastAsia="宋体" w:cs="Times New Roman"/>
                <w:color w:val="auto"/>
                <w:sz w:val="24"/>
                <w:szCs w:val="24"/>
                <w:highlight w:val="none"/>
              </w:rPr>
              <w:t>废气经</w:t>
            </w:r>
            <w:r>
              <w:rPr>
                <w:rFonts w:hint="default" w:ascii="Times New Roman" w:hAnsi="Times New Roman" w:eastAsia="宋体" w:cs="Times New Roman"/>
                <w:color w:val="auto"/>
                <w:sz w:val="24"/>
                <w:szCs w:val="24"/>
                <w:highlight w:val="none"/>
                <w:lang w:val="en-US" w:eastAsia="zh-CN"/>
              </w:rPr>
              <w:t>1台旋风除尘器和</w:t>
            </w: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布袋除尘器</w:t>
            </w:r>
            <w:r>
              <w:rPr>
                <w:rFonts w:hint="default" w:ascii="Times New Roman" w:hAnsi="Times New Roman" w:eastAsia="宋体" w:cs="Times New Roman"/>
                <w:color w:val="auto"/>
                <w:sz w:val="24"/>
                <w:szCs w:val="24"/>
                <w:highlight w:val="none"/>
              </w:rPr>
              <w:t>处理后，由1根</w:t>
            </w:r>
            <w:r>
              <w:rPr>
                <w:rFonts w:hint="default" w:ascii="Times New Roman" w:hAnsi="Times New Roman" w:eastAsia="宋体" w:cs="Times New Roman"/>
                <w:color w:val="auto"/>
                <w:sz w:val="24"/>
                <w:szCs w:val="24"/>
                <w:highlight w:val="none"/>
                <w:lang w:val="en-US" w:eastAsia="zh-CN"/>
              </w:rPr>
              <w:t>40m</w:t>
            </w:r>
            <w:r>
              <w:rPr>
                <w:rFonts w:hint="default" w:ascii="Times New Roman" w:hAnsi="Times New Roman" w:eastAsia="宋体" w:cs="Times New Roman"/>
                <w:color w:val="auto"/>
                <w:sz w:val="24"/>
                <w:szCs w:val="24"/>
                <w:highlight w:val="none"/>
              </w:rPr>
              <w:t>高排气筒排放</w:t>
            </w:r>
            <w:r>
              <w:rPr>
                <w:rFonts w:hint="default" w:ascii="Times New Roman" w:hAnsi="Times New Roman" w:eastAsia="宋体" w:cs="Times New Roman"/>
                <w:color w:val="auto"/>
                <w:sz w:val="24"/>
                <w:szCs w:val="24"/>
                <w:highlight w:val="none"/>
                <w:lang w:eastAsia="zh-CN"/>
              </w:rPr>
              <w:t>。</w:t>
            </w:r>
          </w:p>
          <w:p w14:paraId="00628A5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生物质成型燃料消耗量为</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t/a，锅炉每天运行8h，每年运行180天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废气中具体计算如下：</w:t>
            </w:r>
          </w:p>
          <w:p w14:paraId="0BFF5E1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（1）烟气量</w:t>
            </w:r>
          </w:p>
          <w:p w14:paraId="0B61CA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根据《排放源统计调查产排污核算方法和系数手册》（公告2021年第24号）--</w:t>
            </w:r>
            <w:r>
              <w:rPr>
                <w:rFonts w:hint="default" w:ascii="Times New Roman" w:hAnsi="Times New Roman" w:eastAsia="宋体" w:cs="Times New Roman"/>
                <w:color w:val="auto"/>
                <w:kern w:val="0"/>
                <w:sz w:val="24"/>
                <w:szCs w:val="24"/>
                <w:highlight w:val="none"/>
                <w:lang w:val="en-US" w:eastAsia="zh-CN"/>
              </w:rPr>
              <w:t>4430工业</w:t>
            </w:r>
            <w:r>
              <w:rPr>
                <w:rFonts w:hint="default" w:ascii="Times New Roman" w:hAnsi="Times New Roman" w:eastAsia="宋体" w:cs="Times New Roman"/>
                <w:color w:val="auto"/>
                <w:kern w:val="0"/>
                <w:sz w:val="24"/>
                <w:szCs w:val="24"/>
                <w:highlight w:val="none"/>
              </w:rPr>
              <w:t>锅炉</w:t>
            </w:r>
            <w:r>
              <w:rPr>
                <w:rFonts w:hint="default" w:ascii="Times New Roman" w:hAnsi="Times New Roman" w:eastAsia="宋体" w:cs="Times New Roman"/>
                <w:color w:val="auto"/>
                <w:kern w:val="0"/>
                <w:sz w:val="24"/>
                <w:szCs w:val="24"/>
                <w:highlight w:val="none"/>
                <w:lang w:eastAsia="zh-CN"/>
              </w:rPr>
              <w:t>（热力供应）行业系数手册--生物质工业锅炉，</w:t>
            </w:r>
            <w:r>
              <w:rPr>
                <w:rFonts w:hint="default" w:ascii="Times New Roman" w:hAnsi="Times New Roman" w:eastAsia="宋体" w:cs="Times New Roman"/>
                <w:color w:val="auto"/>
                <w:kern w:val="0"/>
                <w:sz w:val="24"/>
                <w:szCs w:val="24"/>
                <w:highlight w:val="none"/>
              </w:rPr>
              <w:t>生物质成型燃料工业废气量产污系数按6240标立方米/吨-原料，本项目生物质成型燃料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t/a，则1台</w:t>
            </w:r>
            <w:r>
              <w:rPr>
                <w:rFonts w:hint="default" w:ascii="Times New Roman" w:hAnsi="Times New Roman" w:eastAsia="宋体" w:cs="Times New Roman"/>
                <w:color w:val="auto"/>
                <w:sz w:val="24"/>
                <w:szCs w:val="24"/>
                <w:highlight w:val="none"/>
                <w:lang w:eastAsia="zh-CN"/>
              </w:rPr>
              <w:t>10t/h生物质蒸汽锅炉</w:t>
            </w:r>
            <w:r>
              <w:rPr>
                <w:rFonts w:hint="default" w:ascii="Times New Roman" w:hAnsi="Times New Roman" w:eastAsia="宋体" w:cs="Times New Roman"/>
                <w:color w:val="auto"/>
                <w:sz w:val="24"/>
                <w:szCs w:val="24"/>
                <w:highlight w:val="none"/>
              </w:rPr>
              <w:t>废气量为</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b w:val="0"/>
                <w:bCs w:val="0"/>
                <w:color w:val="auto"/>
                <w:kern w:val="0"/>
                <w:sz w:val="24"/>
                <w:szCs w:val="24"/>
                <w:highlight w:val="none"/>
                <w:lang w:val="en-US" w:eastAsia="zh-CN"/>
              </w:rPr>
              <w:t>6240标立方米/吨-原料=</w:t>
            </w:r>
            <w:r>
              <w:rPr>
                <w:rFonts w:hint="default" w:ascii="Times New Roman" w:hAnsi="Times New Roman" w:eastAsia="宋体" w:cs="Times New Roman"/>
                <w:color w:val="auto"/>
                <w:sz w:val="24"/>
                <w:szCs w:val="24"/>
                <w:highlight w:val="none"/>
                <w:lang w:val="en-US" w:eastAsia="zh-CN"/>
              </w:rPr>
              <w:t>13307673.6</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b w:val="0"/>
                <w:bCs w:val="0"/>
                <w:color w:val="auto"/>
                <w:sz w:val="24"/>
                <w:szCs w:val="24"/>
                <w:highlight w:val="none"/>
                <w:lang w:eastAsia="zh-CN"/>
              </w:rPr>
              <w:t>本项目年运行</w:t>
            </w:r>
            <w:r>
              <w:rPr>
                <w:rFonts w:hint="default" w:ascii="Times New Roman" w:hAnsi="Times New Roman" w:eastAsia="宋体" w:cs="Times New Roman"/>
                <w:b w:val="0"/>
                <w:bCs w:val="0"/>
                <w:color w:val="auto"/>
                <w:sz w:val="24"/>
                <w:szCs w:val="24"/>
                <w:highlight w:val="none"/>
                <w:lang w:val="en-US" w:eastAsia="zh-CN"/>
              </w:rPr>
              <w:t>1440h，则烟气量为9241.44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rPr>
              <w:t>。</w:t>
            </w:r>
          </w:p>
          <w:p w14:paraId="622EA04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2" w:firstLineChars="200"/>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（2）颗粒物</w:t>
            </w:r>
          </w:p>
          <w:p w14:paraId="063D0337">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Cs/>
                <w:color w:val="auto"/>
                <w:sz w:val="24"/>
                <w:highlight w:val="none"/>
              </w:rPr>
              <w:t>本项目</w:t>
            </w:r>
            <w:r>
              <w:rPr>
                <w:rFonts w:hint="default" w:ascii="Times New Roman" w:hAnsi="Times New Roman" w:eastAsia="宋体" w:cs="Times New Roman"/>
                <w:color w:val="auto"/>
                <w:sz w:val="24"/>
                <w:highlight w:val="none"/>
                <w:lang w:eastAsia="zh-CN"/>
              </w:rPr>
              <w:t>1台10t/h生物质蒸汽锅炉</w:t>
            </w:r>
            <w:r>
              <w:rPr>
                <w:rFonts w:hint="default" w:ascii="Times New Roman" w:hAnsi="Times New Roman" w:eastAsia="宋体" w:cs="Times New Roman"/>
                <w:color w:val="auto"/>
                <w:sz w:val="24"/>
                <w:szCs w:val="32"/>
                <w:highlight w:val="none"/>
              </w:rPr>
              <w:t>废气中</w:t>
            </w:r>
            <w:r>
              <w:rPr>
                <w:rFonts w:hint="default" w:ascii="Times New Roman" w:hAnsi="Times New Roman" w:eastAsia="宋体" w:cs="Times New Roman"/>
                <w:bCs/>
                <w:color w:val="auto"/>
                <w:sz w:val="24"/>
                <w:highlight w:val="none"/>
              </w:rPr>
              <w:t>颗粒物产生量</w:t>
            </w:r>
            <w:r>
              <w:rPr>
                <w:rFonts w:hint="default" w:ascii="Times New Roman" w:hAnsi="Times New Roman" w:eastAsia="宋体" w:cs="Times New Roman"/>
                <w:color w:val="auto"/>
                <w:kern w:val="0"/>
                <w:sz w:val="24"/>
                <w:highlight w:val="none"/>
              </w:rPr>
              <w:t>根据《污染源源强核算技术指南锅炉》（HJ991-2018）物料衡算法进行计算，公式如下：</w:t>
            </w:r>
          </w:p>
          <w:p w14:paraId="257C4DF8">
            <w:pPr>
              <w:spacing w:line="360" w:lineRule="auto"/>
              <w:jc w:val="center"/>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drawing>
                <wp:inline distT="0" distB="0" distL="114300" distR="114300">
                  <wp:extent cx="2879725" cy="1151255"/>
                  <wp:effectExtent l="0" t="0" r="15875" b="10795"/>
                  <wp:docPr id="33" name="图片 33" descr="162383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623832010"/>
                          <pic:cNvPicPr>
                            <a:picLocks noChangeAspect="1"/>
                          </pic:cNvPicPr>
                        </pic:nvPicPr>
                        <pic:blipFill>
                          <a:blip r:embed="rId16"/>
                          <a:srcRect l="44316" b="64610"/>
                          <a:stretch>
                            <a:fillRect/>
                          </a:stretch>
                        </pic:blipFill>
                        <pic:spPr>
                          <a:xfrm>
                            <a:off x="0" y="0"/>
                            <a:ext cx="2879725" cy="1151255"/>
                          </a:xfrm>
                          <a:prstGeom prst="rect">
                            <a:avLst/>
                          </a:prstGeom>
                        </pic:spPr>
                      </pic:pic>
                    </a:graphicData>
                  </a:graphic>
                </wp:inline>
              </w:drawing>
            </w:r>
          </w:p>
          <w:p w14:paraId="656331E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式中：E</w:t>
            </w:r>
            <w:r>
              <w:rPr>
                <w:rFonts w:hint="default" w:ascii="Times New Roman" w:hAnsi="Times New Roman" w:eastAsia="宋体" w:cs="Times New Roman"/>
                <w:color w:val="auto"/>
                <w:sz w:val="24"/>
                <w:highlight w:val="none"/>
                <w:vertAlign w:val="subscript"/>
              </w:rPr>
              <w:t>A</w:t>
            </w:r>
            <w:r>
              <w:rPr>
                <w:rFonts w:hint="default" w:ascii="Times New Roman" w:hAnsi="Times New Roman" w:eastAsia="宋体" w:cs="Times New Roman"/>
                <w:color w:val="auto"/>
                <w:sz w:val="24"/>
                <w:highlight w:val="none"/>
              </w:rPr>
              <w:t>—核算时段内颗粒物（烟尘）排放量，t；</w:t>
            </w:r>
          </w:p>
          <w:p w14:paraId="31C1FEA5">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R—核算时段内锅炉燃</w:t>
            </w:r>
            <w:r>
              <w:rPr>
                <w:rFonts w:hint="default" w:ascii="Times New Roman" w:hAnsi="Times New Roman" w:eastAsia="宋体" w:cs="Times New Roman"/>
                <w:color w:val="auto"/>
                <w:sz w:val="24"/>
                <w:highlight w:val="none"/>
                <w:lang w:eastAsia="zh-CN"/>
              </w:rPr>
              <w:t>料消</w:t>
            </w:r>
            <w:r>
              <w:rPr>
                <w:rFonts w:hint="default" w:ascii="Times New Roman" w:hAnsi="Times New Roman" w:eastAsia="宋体" w:cs="Times New Roman"/>
                <w:color w:val="auto"/>
                <w:sz w:val="24"/>
                <w:highlight w:val="none"/>
              </w:rPr>
              <w:t>耗量，t；</w:t>
            </w:r>
            <w:r>
              <w:rPr>
                <w:rFonts w:hint="default" w:ascii="Times New Roman" w:hAnsi="Times New Roman" w:eastAsia="宋体" w:cs="Times New Roman"/>
                <w:color w:val="auto"/>
                <w:kern w:val="0"/>
                <w:sz w:val="24"/>
                <w:highlight w:val="none"/>
              </w:rPr>
              <w:t>生物质成型燃料消耗量为</w:t>
            </w:r>
            <w:r>
              <w:rPr>
                <w:rFonts w:hint="default" w:ascii="Times New Roman" w:hAnsi="Times New Roman" w:eastAsia="宋体" w:cs="Times New Roman"/>
                <w:color w:val="auto"/>
                <w:sz w:val="24"/>
                <w:highlight w:val="none"/>
                <w:lang w:eastAsia="zh-CN"/>
              </w:rPr>
              <w:t>2132.64t</w:t>
            </w:r>
            <w:r>
              <w:rPr>
                <w:rFonts w:hint="default" w:ascii="Times New Roman" w:hAnsi="Times New Roman" w:eastAsia="宋体" w:cs="Times New Roman"/>
                <w:color w:val="auto"/>
                <w:sz w:val="24"/>
                <w:highlight w:val="none"/>
              </w:rPr>
              <w:t>/a；</w:t>
            </w:r>
          </w:p>
          <w:p w14:paraId="0B2D68E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ar</w:t>
            </w:r>
            <w:r>
              <w:rPr>
                <w:rFonts w:hint="default" w:ascii="Times New Roman" w:hAnsi="Times New Roman" w:eastAsia="宋体" w:cs="Times New Roman"/>
                <w:color w:val="auto"/>
                <w:sz w:val="24"/>
                <w:highlight w:val="none"/>
              </w:rPr>
              <w:t>—收到基灰分的质量分数，%；取</w:t>
            </w:r>
            <w:r>
              <w:rPr>
                <w:rFonts w:hint="eastAsia" w:ascii="Times New Roman" w:hAnsi="Times New Roman" w:eastAsia="宋体" w:cs="Times New Roman"/>
                <w:color w:val="auto"/>
                <w:sz w:val="24"/>
                <w:highlight w:val="none"/>
                <w:lang w:val="en-US" w:eastAsia="zh-CN"/>
              </w:rPr>
              <w:t>2.56</w:t>
            </w:r>
            <w:r>
              <w:rPr>
                <w:rFonts w:hint="default" w:ascii="Times New Roman" w:hAnsi="Times New Roman" w:eastAsia="宋体" w:cs="Times New Roman"/>
                <w:color w:val="auto"/>
                <w:sz w:val="24"/>
                <w:highlight w:val="none"/>
              </w:rPr>
              <w:t>%</w:t>
            </w:r>
          </w:p>
          <w:p w14:paraId="5729CD2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vertAlign w:val="subscript"/>
              </w:rPr>
              <w:t>fh</w:t>
            </w:r>
            <w:r>
              <w:rPr>
                <w:rFonts w:hint="default" w:ascii="Times New Roman" w:hAnsi="Times New Roman" w:eastAsia="宋体" w:cs="Times New Roman"/>
                <w:color w:val="auto"/>
                <w:sz w:val="24"/>
                <w:highlight w:val="none"/>
              </w:rPr>
              <w:t>—锅炉烟气带出的飞灰份额，%；根据</w:t>
            </w:r>
            <w:r>
              <w:rPr>
                <w:rFonts w:hint="default" w:ascii="Times New Roman" w:hAnsi="Times New Roman" w:eastAsia="宋体" w:cs="Times New Roman"/>
                <w:color w:val="auto"/>
                <w:kern w:val="0"/>
                <w:sz w:val="24"/>
                <w:highlight w:val="none"/>
              </w:rPr>
              <w:t>《污染源源强核算技术指南锅炉》（HJ991-2018）表B.2锅炉烟气带出飞灰份额的一般取值10</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20%，本次评价取</w:t>
            </w:r>
            <w:r>
              <w:rPr>
                <w:rFonts w:hint="default" w:ascii="Times New Roman" w:hAnsi="Times New Roman" w:eastAsia="宋体" w:cs="Times New Roman"/>
                <w:color w:val="auto"/>
                <w:kern w:val="0"/>
                <w:sz w:val="24"/>
                <w:highlight w:val="none"/>
                <w:lang w:val="en-US" w:eastAsia="zh-CN"/>
              </w:rPr>
              <w:t>20</w:t>
            </w:r>
            <w:r>
              <w:rPr>
                <w:rFonts w:hint="default" w:ascii="Times New Roman" w:hAnsi="Times New Roman" w:eastAsia="宋体" w:cs="Times New Roman"/>
                <w:color w:val="auto"/>
                <w:kern w:val="0"/>
                <w:sz w:val="24"/>
                <w:highlight w:val="none"/>
              </w:rPr>
              <w:t>%；</w:t>
            </w:r>
          </w:p>
          <w:p w14:paraId="6EE8BF1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η</w:t>
            </w:r>
            <w:r>
              <w:rPr>
                <w:rFonts w:hint="default" w:ascii="Times New Roman" w:hAnsi="Times New Roman" w:eastAsia="宋体" w:cs="Times New Roman"/>
                <w:color w:val="auto"/>
                <w:sz w:val="24"/>
                <w:highlight w:val="none"/>
                <w:vertAlign w:val="subscript"/>
              </w:rPr>
              <w:t>c</w:t>
            </w:r>
            <w:r>
              <w:rPr>
                <w:rFonts w:hint="default" w:ascii="Times New Roman" w:hAnsi="Times New Roman" w:eastAsia="宋体" w:cs="Times New Roman"/>
                <w:color w:val="auto"/>
                <w:sz w:val="24"/>
                <w:highlight w:val="none"/>
              </w:rPr>
              <w:t>—综合除尘效率，%；本项目</w:t>
            </w:r>
            <w:r>
              <w:rPr>
                <w:rFonts w:hint="default" w:ascii="Times New Roman" w:hAnsi="Times New Roman" w:eastAsia="宋体" w:cs="Times New Roman"/>
                <w:color w:val="auto"/>
                <w:sz w:val="24"/>
                <w:highlight w:val="none"/>
                <w:lang w:eastAsia="zh-CN"/>
              </w:rPr>
              <w:t>生物质蒸汽锅炉</w:t>
            </w:r>
            <w:r>
              <w:rPr>
                <w:rFonts w:hint="default" w:ascii="Times New Roman" w:hAnsi="Times New Roman" w:eastAsia="宋体" w:cs="Times New Roman"/>
                <w:color w:val="auto"/>
                <w:sz w:val="24"/>
                <w:highlight w:val="none"/>
              </w:rPr>
              <w:t>废气采用1台</w:t>
            </w:r>
            <w:r>
              <w:rPr>
                <w:rFonts w:hint="default" w:ascii="Times New Roman" w:hAnsi="Times New Roman" w:eastAsia="宋体" w:cs="Times New Roman"/>
                <w:color w:val="auto"/>
                <w:sz w:val="24"/>
                <w:highlight w:val="none"/>
                <w:lang w:eastAsia="zh-CN"/>
              </w:rPr>
              <w:t>旋风除尘器</w:t>
            </w:r>
            <w:r>
              <w:rPr>
                <w:rFonts w:hint="default" w:ascii="Times New Roman" w:hAnsi="Times New Roman" w:eastAsia="宋体" w:cs="Times New Roman"/>
                <w:color w:val="auto"/>
                <w:sz w:val="24"/>
                <w:highlight w:val="none"/>
              </w:rPr>
              <w:t>和1台</w:t>
            </w:r>
            <w:r>
              <w:rPr>
                <w:rFonts w:hint="default" w:ascii="Times New Roman" w:hAnsi="Times New Roman" w:eastAsia="宋体" w:cs="Times New Roman"/>
                <w:color w:val="auto"/>
                <w:sz w:val="24"/>
                <w:highlight w:val="none"/>
                <w:lang w:eastAsia="zh-CN"/>
              </w:rPr>
              <w:t>布袋除尘器</w:t>
            </w:r>
            <w:r>
              <w:rPr>
                <w:rFonts w:hint="default" w:ascii="Times New Roman" w:hAnsi="Times New Roman" w:eastAsia="宋体" w:cs="Times New Roman"/>
                <w:color w:val="auto"/>
                <w:sz w:val="24"/>
                <w:highlight w:val="none"/>
              </w:rPr>
              <w:t>进行处理，根据《排放源统计调查产排污核算方法和系数手册》（公告2021年第24号）--4430工业锅炉（热力供应）行业系数手册--生物质工业锅炉，</w:t>
            </w:r>
            <w:r>
              <w:rPr>
                <w:rFonts w:hint="default" w:ascii="Times New Roman" w:hAnsi="Times New Roman" w:eastAsia="宋体" w:cs="Times New Roman"/>
                <w:color w:val="auto"/>
                <w:sz w:val="24"/>
                <w:highlight w:val="none"/>
                <w:lang w:val="en-US" w:eastAsia="zh-CN"/>
              </w:rPr>
              <w:t>本次评价</w:t>
            </w:r>
            <w:r>
              <w:rPr>
                <w:rFonts w:hint="default" w:ascii="Times New Roman" w:hAnsi="Times New Roman" w:eastAsia="宋体" w:cs="Times New Roman"/>
                <w:color w:val="auto"/>
                <w:sz w:val="24"/>
                <w:highlight w:val="none"/>
                <w:lang w:eastAsia="zh-CN"/>
              </w:rPr>
              <w:t>布袋除尘器</w:t>
            </w:r>
            <w:r>
              <w:rPr>
                <w:rFonts w:hint="default" w:ascii="Times New Roman" w:hAnsi="Times New Roman" w:eastAsia="宋体" w:cs="Times New Roman"/>
                <w:color w:val="auto"/>
                <w:sz w:val="24"/>
                <w:highlight w:val="none"/>
              </w:rPr>
              <w:t>的去除效率</w:t>
            </w:r>
            <w:r>
              <w:rPr>
                <w:rFonts w:hint="default" w:ascii="Times New Roman" w:hAnsi="Times New Roman" w:eastAsia="宋体" w:cs="Times New Roman"/>
                <w:color w:val="auto"/>
                <w:sz w:val="24"/>
                <w:highlight w:val="none"/>
                <w:lang w:val="en-US" w:eastAsia="zh-CN"/>
              </w:rPr>
              <w:t>取99.7</w:t>
            </w:r>
            <w:r>
              <w:rPr>
                <w:rFonts w:hint="default" w:ascii="Times New Roman" w:hAnsi="Times New Roman" w:eastAsia="宋体" w:cs="Times New Roman"/>
                <w:color w:val="auto"/>
                <w:sz w:val="24"/>
                <w:highlight w:val="none"/>
              </w:rPr>
              <w:t>%、旋风除尘法去除效率</w:t>
            </w:r>
            <w:r>
              <w:rPr>
                <w:rFonts w:hint="default" w:ascii="Times New Roman" w:hAnsi="Times New Roman" w:eastAsia="宋体" w:cs="Times New Roman"/>
                <w:color w:val="auto"/>
                <w:sz w:val="24"/>
                <w:highlight w:val="none"/>
                <w:lang w:val="en-US" w:eastAsia="zh-CN"/>
              </w:rPr>
              <w:t>取7</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kern w:val="0"/>
                <w:sz w:val="24"/>
                <w:highlight w:val="none"/>
              </w:rPr>
              <w:t>。</w:t>
            </w:r>
          </w:p>
          <w:p w14:paraId="4B902C8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fh</w:t>
            </w:r>
            <w:r>
              <w:rPr>
                <w:rFonts w:hint="default" w:ascii="Times New Roman" w:hAnsi="Times New Roman" w:eastAsia="宋体" w:cs="Times New Roman"/>
                <w:color w:val="auto"/>
                <w:sz w:val="24"/>
                <w:highlight w:val="none"/>
              </w:rPr>
              <w:t>—飞灰中的可燃物含量，%；取1.86%。</w:t>
            </w:r>
          </w:p>
          <w:p w14:paraId="7717F3E0">
            <w:pPr>
              <w:spacing w:line="360" w:lineRule="auto"/>
              <w:ind w:firstLine="480" w:firstLineChars="20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color w:val="auto"/>
                <w:sz w:val="24"/>
                <w:highlight w:val="none"/>
                <w:lang w:val="en-US" w:eastAsia="zh-CN"/>
              </w:rPr>
              <w:t>则颗粒物产生量</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2132.64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2.56</w:t>
            </w:r>
            <w:r>
              <w:rPr>
                <w:rFonts w:hint="default" w:ascii="Times New Roman" w:hAnsi="Times New Roman" w:eastAsia="宋体" w:cs="Times New Roman"/>
                <w:color w:val="auto"/>
                <w:sz w:val="24"/>
                <w:highlight w:val="none"/>
              </w:rPr>
              <w:t>/100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val="en-US" w:eastAsia="zh-CN"/>
              </w:rPr>
              <w:t>10</w:t>
            </w:r>
            <w:r>
              <w:rPr>
                <w:rFonts w:hint="default" w:ascii="Times New Roman" w:hAnsi="Times New Roman" w:eastAsia="宋体" w:cs="Times New Roman"/>
                <w:color w:val="auto"/>
                <w:sz w:val="24"/>
                <w:highlight w:val="none"/>
              </w:rPr>
              <w:t>/100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/(1-1.86/100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5.563</w:t>
            </w:r>
            <w:r>
              <w:rPr>
                <w:rFonts w:hint="default" w:ascii="Times New Roman" w:hAnsi="Times New Roman" w:eastAsia="宋体" w:cs="Times New Roman"/>
                <w:color w:val="auto"/>
                <w:sz w:val="24"/>
                <w:highlight w:val="none"/>
              </w:rPr>
              <w:t>t/a</w:t>
            </w:r>
          </w:p>
          <w:p w14:paraId="02FB404E">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参考《排放源统计调查产排污核算方法和系数手册》（公告2021年第24号）--4430工业锅炉（热力生产和供应行业）产污系数表-生物质工业锅炉，旋风除尘法去除效率为70%、</w:t>
            </w:r>
            <w:r>
              <w:rPr>
                <w:rFonts w:hint="default" w:ascii="Times New Roman" w:hAnsi="Times New Roman" w:eastAsia="宋体" w:cs="Times New Roman"/>
                <w:color w:val="auto"/>
                <w:sz w:val="24"/>
                <w:highlight w:val="none"/>
                <w:lang w:eastAsia="zh-CN"/>
              </w:rPr>
              <w:t>袋式</w:t>
            </w:r>
            <w:r>
              <w:rPr>
                <w:rFonts w:hint="default" w:ascii="Times New Roman" w:hAnsi="Times New Roman" w:eastAsia="宋体" w:cs="Times New Roman"/>
                <w:color w:val="auto"/>
                <w:sz w:val="24"/>
                <w:highlight w:val="none"/>
              </w:rPr>
              <w:t>除尘法去除效率为99.7%。</w:t>
            </w:r>
          </w:p>
          <w:p w14:paraId="15E09D3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则颗粒物排放量=5.563</w:t>
            </w:r>
            <w:r>
              <w:rPr>
                <w:rFonts w:hint="default" w:ascii="Times New Roman" w:hAnsi="Times New Roman" w:eastAsia="宋体" w:cs="Times New Roman"/>
                <w:color w:val="auto"/>
                <w:sz w:val="24"/>
                <w:highlight w:val="none"/>
              </w:rPr>
              <w:t>t/a×(1-</w:t>
            </w:r>
            <w:r>
              <w:rPr>
                <w:rFonts w:hint="default" w:ascii="Times New Roman" w:hAnsi="Times New Roman" w:eastAsia="宋体" w:cs="Times New Roman"/>
                <w:color w:val="auto"/>
                <w:sz w:val="24"/>
                <w:highlight w:val="none"/>
                <w:lang w:val="en-US" w:eastAsia="zh-CN"/>
              </w:rPr>
              <w:t>70</w:t>
            </w:r>
            <w:r>
              <w:rPr>
                <w:rFonts w:hint="default" w:ascii="Times New Roman" w:hAnsi="Times New Roman" w:eastAsia="宋体" w:cs="Times New Roman"/>
                <w:color w:val="auto"/>
                <w:sz w:val="24"/>
                <w:highlight w:val="none"/>
              </w:rPr>
              <w:t>/100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99.7</w:t>
            </w:r>
            <w:r>
              <w:rPr>
                <w:rFonts w:hint="default" w:ascii="Times New Roman" w:hAnsi="Times New Roman" w:eastAsia="宋体" w:cs="Times New Roman"/>
                <w:color w:val="auto"/>
                <w:sz w:val="24"/>
                <w:highlight w:val="none"/>
              </w:rPr>
              <w:t>/100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=0.005</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本项目年运行1440h，则</w:t>
            </w:r>
            <w:r>
              <w:rPr>
                <w:rFonts w:hint="default" w:ascii="Times New Roman" w:hAnsi="Times New Roman" w:eastAsia="宋体" w:cs="Times New Roman"/>
                <w:b w:val="0"/>
                <w:bCs w:val="0"/>
                <w:color w:val="auto"/>
                <w:sz w:val="24"/>
                <w:highlight w:val="none"/>
                <w:lang w:val="en-US" w:eastAsia="zh-CN"/>
              </w:rPr>
              <w:t>颗粒物</w:t>
            </w:r>
            <w:r>
              <w:rPr>
                <w:rFonts w:hint="default" w:ascii="Times New Roman" w:hAnsi="Times New Roman" w:eastAsia="宋体" w:cs="Times New Roman"/>
                <w:color w:val="auto"/>
                <w:sz w:val="24"/>
                <w:szCs w:val="24"/>
                <w:highlight w:val="none"/>
                <w:lang w:val="en-US" w:eastAsia="zh-CN"/>
              </w:rPr>
              <w:t>排放速率为0.0035kg/h。</w:t>
            </w:r>
          </w:p>
          <w:p w14:paraId="085A8942">
            <w:pPr>
              <w:pStyle w:val="8"/>
              <w:keepNext w:val="0"/>
              <w:keepLines w:val="0"/>
              <w:pageBreakBefore w:val="0"/>
              <w:suppressLineNumbers w:val="0"/>
              <w:shd w:val="clear" w:color="auto" w:fill="auto"/>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）二氧化硫</w:t>
            </w:r>
          </w:p>
          <w:p w14:paraId="50776D72">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szCs w:val="24"/>
                <w:lang w:eastAsia="zh-CN"/>
              </w:rPr>
              <w:t>参考《排放源统计调查产排污核算方法和系数手册》（公告2021年第24号）-</w:t>
            </w:r>
            <w:r>
              <w:rPr>
                <w:rFonts w:hint="default" w:ascii="Times New Roman" w:hAnsi="Times New Roman" w:eastAsia="宋体" w:cs="Times New Roman"/>
                <w:color w:val="auto"/>
                <w:sz w:val="24"/>
                <w:szCs w:val="24"/>
                <w:lang w:val="en-US" w:eastAsia="zh-CN"/>
              </w:rPr>
              <w:t>-4430工业锅炉（热力生产和供应行业）产污系数表-生物质工业锅炉，</w:t>
            </w:r>
            <w:r>
              <w:rPr>
                <w:rFonts w:hint="default" w:ascii="Times New Roman" w:hAnsi="Times New Roman" w:eastAsia="宋体" w:cs="Times New Roman"/>
                <w:b w:val="0"/>
                <w:bCs w:val="0"/>
                <w:color w:val="auto"/>
                <w:kern w:val="0"/>
                <w:sz w:val="24"/>
                <w:szCs w:val="24"/>
                <w:lang w:val="en-US" w:eastAsia="zh-CN"/>
              </w:rPr>
              <w:t>二氧化硫产污系数按17S千克/吨-原料计算</w:t>
            </w:r>
            <w:r>
              <w:rPr>
                <w:rFonts w:hint="default" w:ascii="Times New Roman" w:hAnsi="Times New Roman" w:eastAsia="宋体" w:cs="Times New Roman"/>
                <w:color w:val="auto"/>
                <w:sz w:val="24"/>
                <w:szCs w:val="24"/>
              </w:rPr>
              <w:t>，本项目所用</w:t>
            </w:r>
            <w:r>
              <w:rPr>
                <w:rFonts w:hint="default" w:ascii="Times New Roman" w:hAnsi="Times New Roman" w:eastAsia="宋体" w:cs="Times New Roman"/>
                <w:color w:val="auto"/>
                <w:sz w:val="24"/>
                <w:szCs w:val="24"/>
                <w:lang w:val="en-US" w:eastAsia="zh-CN"/>
              </w:rPr>
              <w:t>生物质燃料</w:t>
            </w:r>
            <w:r>
              <w:rPr>
                <w:rFonts w:hint="default" w:ascii="Times New Roman" w:hAnsi="Times New Roman" w:eastAsia="宋体" w:cs="Times New Roman"/>
                <w:color w:val="auto"/>
                <w:sz w:val="24"/>
                <w:szCs w:val="24"/>
              </w:rPr>
              <w:t>的硫分含量为</w:t>
            </w:r>
            <w:r>
              <w:rPr>
                <w:rFonts w:hint="default" w:ascii="Times New Roman" w:hAnsi="Times New Roman" w:eastAsia="宋体" w:cs="Times New Roman"/>
                <w:color w:val="auto"/>
                <w:sz w:val="24"/>
                <w:szCs w:val="24"/>
                <w:lang w:eastAsia="zh-CN"/>
              </w:rPr>
              <w:t>0.</w:t>
            </w:r>
            <w:r>
              <w:rPr>
                <w:rFonts w:hint="default" w:ascii="Times New Roman" w:hAnsi="Times New Roman" w:eastAsia="宋体" w:cs="Times New Roman"/>
                <w:color w:val="auto"/>
                <w:sz w:val="24"/>
                <w:szCs w:val="24"/>
                <w:lang w:val="en-US" w:eastAsia="zh-CN"/>
              </w:rPr>
              <w:t>06</w:t>
            </w:r>
            <w:r>
              <w:rPr>
                <w:rFonts w:hint="default" w:ascii="Times New Roman" w:hAnsi="Times New Roman" w:eastAsia="宋体" w:cs="Times New Roman"/>
                <w:color w:val="auto"/>
                <w:sz w:val="24"/>
                <w:szCs w:val="24"/>
              </w:rPr>
              <w:t>%，则1台</w:t>
            </w:r>
            <w:r>
              <w:rPr>
                <w:rFonts w:hint="default" w:ascii="Times New Roman" w:hAnsi="Times New Roman" w:eastAsia="宋体" w:cs="Times New Roman"/>
                <w:color w:val="auto"/>
                <w:sz w:val="24"/>
                <w:szCs w:val="24"/>
                <w:lang w:val="en-US" w:eastAsia="zh-CN"/>
              </w:rPr>
              <w:t>10t/h生物质蒸汽锅炉</w:t>
            </w:r>
            <w:r>
              <w:rPr>
                <w:rFonts w:hint="default" w:ascii="Times New Roman" w:hAnsi="Times New Roman" w:eastAsia="宋体" w:cs="Times New Roman"/>
                <w:bCs/>
                <w:color w:val="auto"/>
                <w:sz w:val="24"/>
                <w:szCs w:val="24"/>
              </w:rPr>
              <w:t>二氧化硫</w:t>
            </w:r>
            <w:r>
              <w:rPr>
                <w:rFonts w:hint="default" w:ascii="Times New Roman" w:hAnsi="Times New Roman" w:eastAsia="宋体" w:cs="Times New Roman"/>
                <w:color w:val="auto"/>
                <w:sz w:val="24"/>
                <w:szCs w:val="24"/>
              </w:rPr>
              <w:t>产生</w:t>
            </w:r>
            <w:r>
              <w:rPr>
                <w:rFonts w:hint="default" w:ascii="Times New Roman" w:hAnsi="Times New Roman" w:eastAsia="宋体" w:cs="Times New Roman"/>
                <w:color w:val="auto"/>
                <w:sz w:val="24"/>
                <w:szCs w:val="24"/>
                <w:lang w:eastAsia="zh-CN"/>
              </w:rPr>
              <w:t>量</w:t>
            </w:r>
            <w:r>
              <w:rPr>
                <w:rFonts w:hint="default" w:ascii="Times New Roman" w:hAnsi="Times New Roman" w:eastAsia="宋体" w:cs="Times New Roman"/>
                <w:color w:val="auto"/>
                <w:sz w:val="24"/>
                <w:szCs w:val="24"/>
              </w:rPr>
              <w:t>为1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0.06</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2132.64t/a</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2.047t/a；</w:t>
            </w:r>
            <w:r>
              <w:rPr>
                <w:rFonts w:hint="default" w:ascii="Times New Roman" w:hAnsi="Times New Roman" w:eastAsia="宋体" w:cs="Times New Roman"/>
                <w:color w:val="auto"/>
                <w:sz w:val="24"/>
                <w:szCs w:val="24"/>
                <w:lang w:eastAsia="zh-CN"/>
              </w:rPr>
              <w:t>废气采用旋风除尘器+布袋除尘器进行处理，</w:t>
            </w:r>
            <w:r>
              <w:rPr>
                <w:rFonts w:hint="default" w:ascii="Times New Roman" w:hAnsi="Times New Roman" w:eastAsia="宋体" w:cs="Times New Roman"/>
                <w:b w:val="0"/>
                <w:bCs w:val="0"/>
                <w:color w:val="auto"/>
                <w:kern w:val="0"/>
                <w:sz w:val="24"/>
                <w:szCs w:val="24"/>
                <w:lang w:val="en-US" w:eastAsia="zh-CN"/>
              </w:rPr>
              <w:t>脱硫效率为0</w:t>
            </w:r>
            <w:r>
              <w:rPr>
                <w:rFonts w:hint="default" w:ascii="Times New Roman" w:hAnsi="Times New Roman" w:eastAsia="宋体" w:cs="Times New Roman"/>
                <w:color w:val="auto"/>
                <w:sz w:val="24"/>
                <w:szCs w:val="24"/>
                <w:lang w:val="en-US" w:eastAsia="zh-CN"/>
              </w:rPr>
              <w:t>。</w:t>
            </w:r>
          </w:p>
          <w:p w14:paraId="2B038D17">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则</w:t>
            </w:r>
            <w:r>
              <w:rPr>
                <w:rFonts w:hint="default" w:ascii="Times New Roman" w:hAnsi="Times New Roman" w:eastAsia="宋体" w:cs="Times New Roman"/>
                <w:bCs/>
                <w:color w:val="auto"/>
                <w:sz w:val="24"/>
                <w:szCs w:val="24"/>
              </w:rPr>
              <w:t>1台</w:t>
            </w:r>
            <w:r>
              <w:rPr>
                <w:rFonts w:hint="default" w:ascii="Times New Roman" w:hAnsi="Times New Roman" w:eastAsia="宋体" w:cs="Times New Roman"/>
                <w:color w:val="auto"/>
                <w:sz w:val="24"/>
                <w:szCs w:val="24"/>
                <w:lang w:val="en-US" w:eastAsia="zh-CN"/>
              </w:rPr>
              <w:t>10t/h生物质蒸汽锅炉</w:t>
            </w:r>
            <w:r>
              <w:rPr>
                <w:rFonts w:hint="default" w:ascii="Times New Roman" w:hAnsi="Times New Roman" w:eastAsia="宋体" w:cs="Times New Roman"/>
                <w:bCs/>
                <w:color w:val="auto"/>
                <w:sz w:val="24"/>
                <w:szCs w:val="24"/>
              </w:rPr>
              <w:t>二氧化硫</w:t>
            </w:r>
            <w:r>
              <w:rPr>
                <w:rFonts w:hint="default" w:ascii="Times New Roman" w:hAnsi="Times New Roman" w:eastAsia="宋体" w:cs="Times New Roman"/>
                <w:color w:val="auto"/>
                <w:sz w:val="24"/>
                <w:szCs w:val="24"/>
              </w:rPr>
              <w:t>排放量</w:t>
            </w:r>
            <w:r>
              <w:rPr>
                <w:rFonts w:hint="default" w:ascii="Times New Roman" w:hAnsi="Times New Roman" w:eastAsia="宋体" w:cs="Times New Roman"/>
                <w:color w:val="auto"/>
                <w:sz w:val="24"/>
                <w:szCs w:val="24"/>
                <w:lang w:val="en-US" w:eastAsia="zh-CN"/>
              </w:rPr>
              <w:t>为2.047t/a，本项目年运行1440h，则二氧化硫排放速率为1.422kg/h。</w:t>
            </w:r>
          </w:p>
          <w:p w14:paraId="7579DFAC">
            <w:pPr>
              <w:keepNext w:val="0"/>
              <w:keepLines w:val="0"/>
              <w:pageBreakBefore w:val="0"/>
              <w:suppressLineNumbers w:val="0"/>
              <w:shd w:val="clear" w:color="auto" w:fill="auto"/>
              <w:kinsoku/>
              <w:wordWrap/>
              <w:overflowPunct/>
              <w:topLinePunct w:val="0"/>
              <w:autoSpaceDE/>
              <w:autoSpaceDN/>
              <w:bidi w:val="0"/>
              <w:adjustRightInd/>
              <w:snapToGrid/>
              <w:spacing w:before="0" w:beforeAutospacing="0" w:afterAutospacing="0" w:line="360" w:lineRule="auto"/>
              <w:ind w:left="0" w:right="0" w:firstLine="482"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w:t>
            </w:r>
            <w:r>
              <w:rPr>
                <w:rFonts w:hint="default"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）氮氧化物</w:t>
            </w:r>
          </w:p>
          <w:p w14:paraId="105F0248">
            <w:pPr>
              <w:pStyle w:val="8"/>
              <w:keepNext w:val="0"/>
              <w:keepLines w:val="0"/>
              <w:pageBreakBefore w:val="0"/>
              <w:suppressLineNumbers w:val="0"/>
              <w:shd w:val="clear" w:color="auto" w:fill="auto"/>
              <w:tabs>
                <w:tab w:val="left" w:pos="0"/>
              </w:tabs>
              <w:kinsoku/>
              <w:wordWrap/>
              <w:overflowPunct/>
              <w:topLinePunct w:val="0"/>
              <w:autoSpaceDE/>
              <w:autoSpaceDN/>
              <w:bidi w:val="0"/>
              <w:adjustRightInd/>
              <w:snapToGrid/>
              <w:spacing w:before="0" w:beforeAutospacing="0" w:after="0" w:afterLines="0" w:afterAutospacing="0" w:line="360" w:lineRule="auto"/>
              <w:ind w:left="0" w:leftChars="0" w:right="0" w:firstLine="480" w:firstLineChars="200"/>
              <w:jc w:val="both"/>
              <w:textAlignment w:val="auto"/>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color w:val="auto"/>
                <w:sz w:val="24"/>
                <w:szCs w:val="24"/>
                <w:lang w:eastAsia="zh-CN"/>
              </w:rPr>
              <w:t>参考《排放源统计调查产排污核算方法和系数手册》（公告2021年第24号）-</w:t>
            </w:r>
            <w:r>
              <w:rPr>
                <w:rFonts w:hint="default" w:ascii="Times New Roman" w:hAnsi="Times New Roman" w:eastAsia="宋体" w:cs="Times New Roman"/>
                <w:color w:val="auto"/>
                <w:sz w:val="24"/>
                <w:szCs w:val="24"/>
                <w:lang w:val="en-US" w:eastAsia="zh-CN"/>
              </w:rPr>
              <w:t>-4430工业锅炉（热力生产和供应行业）产污系数表-生物质工业锅炉，</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color w:val="auto"/>
                <w:sz w:val="24"/>
                <w:szCs w:val="24"/>
              </w:rPr>
              <w:t>产污系数</w:t>
            </w:r>
            <w:r>
              <w:rPr>
                <w:rFonts w:hint="default" w:ascii="Times New Roman" w:hAnsi="Times New Roman" w:eastAsia="宋体" w:cs="Times New Roman"/>
                <w:color w:val="auto"/>
                <w:sz w:val="24"/>
                <w:szCs w:val="24"/>
                <w:lang w:val="en-US" w:eastAsia="zh-CN"/>
              </w:rPr>
              <w:t>1.02</w:t>
            </w:r>
            <w:r>
              <w:rPr>
                <w:rFonts w:hint="default" w:ascii="Times New Roman" w:hAnsi="Times New Roman" w:eastAsia="宋体" w:cs="Times New Roman"/>
                <w:b w:val="0"/>
                <w:bCs w:val="0"/>
                <w:color w:val="auto"/>
                <w:kern w:val="0"/>
                <w:sz w:val="24"/>
                <w:szCs w:val="24"/>
                <w:lang w:val="en-US" w:eastAsia="zh-CN"/>
              </w:rPr>
              <w:t>千克/吨-原料</w:t>
            </w:r>
            <w:r>
              <w:rPr>
                <w:rFonts w:hint="default" w:ascii="Times New Roman" w:hAnsi="Times New Roman" w:eastAsia="宋体" w:cs="Times New Roman"/>
                <w:color w:val="auto"/>
                <w:sz w:val="24"/>
                <w:szCs w:val="24"/>
              </w:rPr>
              <w:t>，则1台</w:t>
            </w:r>
            <w:r>
              <w:rPr>
                <w:rFonts w:hint="default" w:ascii="Times New Roman" w:hAnsi="Times New Roman" w:eastAsia="宋体" w:cs="Times New Roman"/>
                <w:color w:val="auto"/>
                <w:sz w:val="24"/>
                <w:szCs w:val="24"/>
                <w:lang w:val="en-US" w:eastAsia="zh-CN"/>
              </w:rPr>
              <w:t>10t/h生物质蒸汽锅炉</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color w:val="auto"/>
                <w:sz w:val="24"/>
                <w:szCs w:val="24"/>
              </w:rPr>
              <w:t>产生</w:t>
            </w:r>
            <w:r>
              <w:rPr>
                <w:rFonts w:hint="default" w:ascii="Times New Roman" w:hAnsi="Times New Roman" w:eastAsia="宋体" w:cs="Times New Roman"/>
                <w:color w:val="auto"/>
                <w:sz w:val="24"/>
                <w:szCs w:val="24"/>
                <w:lang w:eastAsia="zh-CN"/>
              </w:rPr>
              <w:t>量</w:t>
            </w:r>
            <w:r>
              <w:rPr>
                <w:rFonts w:hint="default" w:ascii="Times New Roman" w:hAnsi="Times New Roman" w:eastAsia="宋体" w:cs="Times New Roman"/>
                <w:color w:val="auto"/>
                <w:sz w:val="24"/>
                <w:szCs w:val="24"/>
              </w:rPr>
              <w:t>为</w:t>
            </w:r>
            <w:r>
              <w:rPr>
                <w:rFonts w:hint="default" w:ascii="Times New Roman" w:hAnsi="Times New Roman" w:eastAsia="宋体" w:cs="Times New Roman"/>
                <w:color w:val="auto"/>
                <w:sz w:val="24"/>
                <w:szCs w:val="24"/>
                <w:lang w:val="en-US" w:eastAsia="zh-CN"/>
              </w:rPr>
              <w:t>1.02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2132.64</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2.175t/a；</w:t>
            </w:r>
            <w:r>
              <w:rPr>
                <w:rFonts w:hint="default" w:ascii="Times New Roman" w:hAnsi="Times New Roman" w:eastAsia="宋体" w:cs="Times New Roman"/>
                <w:color w:val="auto"/>
                <w:sz w:val="24"/>
                <w:szCs w:val="24"/>
                <w:lang w:eastAsia="zh-CN"/>
              </w:rPr>
              <w:t>废气采用旋风除尘器+布袋除尘器进行处理，</w:t>
            </w:r>
            <w:r>
              <w:rPr>
                <w:rFonts w:hint="default" w:ascii="Times New Roman" w:hAnsi="Times New Roman" w:eastAsia="宋体" w:cs="Times New Roman"/>
                <w:b w:val="0"/>
                <w:bCs w:val="0"/>
                <w:color w:val="auto"/>
                <w:kern w:val="0"/>
                <w:sz w:val="24"/>
                <w:szCs w:val="24"/>
                <w:lang w:val="en-US" w:eastAsia="zh-CN"/>
              </w:rPr>
              <w:t>脱氮效率为0</w:t>
            </w:r>
            <w:r>
              <w:rPr>
                <w:rFonts w:hint="default" w:ascii="Times New Roman" w:hAnsi="Times New Roman" w:eastAsia="宋体" w:cs="Times New Roman"/>
                <w:bCs/>
                <w:color w:val="auto"/>
                <w:sz w:val="24"/>
                <w:szCs w:val="24"/>
                <w:lang w:eastAsia="zh-CN"/>
              </w:rPr>
              <w:t>。</w:t>
            </w:r>
          </w:p>
          <w:p w14:paraId="15D9C8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color w:val="auto"/>
                <w:sz w:val="24"/>
                <w:szCs w:val="24"/>
                <w:lang w:val="en-US" w:eastAsia="zh-CN"/>
              </w:rPr>
              <w:t>则</w:t>
            </w:r>
            <w:r>
              <w:rPr>
                <w:rFonts w:hint="default" w:ascii="Times New Roman" w:hAnsi="Times New Roman" w:eastAsia="宋体" w:cs="Times New Roman"/>
                <w:bCs/>
                <w:color w:val="auto"/>
                <w:sz w:val="24"/>
                <w:szCs w:val="24"/>
              </w:rPr>
              <w:t>1台</w:t>
            </w:r>
            <w:r>
              <w:rPr>
                <w:rFonts w:hint="default" w:ascii="Times New Roman" w:hAnsi="Times New Roman" w:eastAsia="宋体" w:cs="Times New Roman"/>
                <w:bCs/>
                <w:color w:val="auto"/>
                <w:sz w:val="24"/>
                <w:szCs w:val="24"/>
                <w:lang w:val="en-US" w:eastAsia="zh-CN"/>
              </w:rPr>
              <w:t>10t/h生物质蒸汽锅炉</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color w:val="auto"/>
                <w:sz w:val="24"/>
                <w:szCs w:val="24"/>
              </w:rPr>
              <w:t>排放量为</w:t>
            </w:r>
            <w:r>
              <w:rPr>
                <w:rFonts w:hint="default" w:ascii="Times New Roman" w:hAnsi="Times New Roman" w:eastAsia="宋体" w:cs="Times New Roman"/>
                <w:color w:val="auto"/>
                <w:sz w:val="24"/>
                <w:szCs w:val="24"/>
                <w:lang w:val="en-US" w:eastAsia="zh-CN"/>
              </w:rPr>
              <w:t>2.175t/a，本项目年运行1440h，则</w:t>
            </w:r>
            <w:r>
              <w:rPr>
                <w:rFonts w:hint="default" w:ascii="Times New Roman" w:hAnsi="Times New Roman" w:eastAsia="宋体" w:cs="Times New Roman"/>
                <w:bCs/>
                <w:color w:val="auto"/>
                <w:sz w:val="24"/>
                <w:szCs w:val="24"/>
              </w:rPr>
              <w:t>氮氧化物</w:t>
            </w:r>
            <w:r>
              <w:rPr>
                <w:rFonts w:hint="default" w:ascii="Times New Roman" w:hAnsi="Times New Roman" w:eastAsia="宋体" w:cs="Times New Roman"/>
                <w:color w:val="auto"/>
                <w:sz w:val="24"/>
                <w:szCs w:val="24"/>
                <w:lang w:val="en-US" w:eastAsia="zh-CN"/>
              </w:rPr>
              <w:t>排放速率为1.510kg/h。</w:t>
            </w:r>
          </w:p>
          <w:p w14:paraId="650A8309">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（5）汞及其化合物</w:t>
            </w:r>
          </w:p>
          <w:p w14:paraId="74C52C5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根据《污染源源强核算技术指南锅炉》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HJ991-2018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汞及其化合物排放量采用物料衡算法计算，计算公式：</w:t>
            </w:r>
          </w:p>
          <w:p w14:paraId="7BAAEE39">
            <w:pPr>
              <w:spacing w:line="360" w:lineRule="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255895" cy="2051050"/>
                  <wp:effectExtent l="0" t="0" r="1905" b="635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17"/>
                          <a:stretch>
                            <a:fillRect/>
                          </a:stretch>
                        </pic:blipFill>
                        <pic:spPr>
                          <a:xfrm>
                            <a:off x="0" y="0"/>
                            <a:ext cx="5255895" cy="2051050"/>
                          </a:xfrm>
                          <a:prstGeom prst="rect">
                            <a:avLst/>
                          </a:prstGeom>
                          <a:noFill/>
                          <a:ln>
                            <a:noFill/>
                          </a:ln>
                        </pic:spPr>
                      </pic:pic>
                    </a:graphicData>
                  </a:graphic>
                </wp:inline>
              </w:drawing>
            </w:r>
          </w:p>
          <w:p w14:paraId="78B0DC9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查阅相关文献《中国农村地区生物质成型燃料燃烧的汞排放研究》，生物质成型燃料汞及其化合物的平均含量为11.60ng/g。</w:t>
            </w:r>
          </w:p>
          <w:p w14:paraId="4672645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本项目生物质成型燃料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kern w:val="0"/>
                <w:sz w:val="24"/>
                <w:szCs w:val="24"/>
                <w:highlight w:val="none"/>
                <w:lang w:val="en-US" w:eastAsia="zh-CN"/>
              </w:rPr>
              <w:t>则1台10t/h生物质蒸汽锅炉</w:t>
            </w:r>
            <w:r>
              <w:rPr>
                <w:rFonts w:hint="default" w:ascii="Times New Roman" w:hAnsi="Times New Roman" w:eastAsia="宋体" w:cs="Times New Roman"/>
                <w:color w:val="auto"/>
                <w:sz w:val="24"/>
                <w:szCs w:val="24"/>
                <w:highlight w:val="none"/>
              </w:rPr>
              <w:t>汞及其化合物产生量=</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val="en-US" w:eastAsia="zh-CN"/>
              </w:rPr>
              <w:t>11.60ng</w:t>
            </w:r>
            <w:r>
              <w:rPr>
                <w:rFonts w:hint="default" w:ascii="Times New Roman" w:hAnsi="Times New Roman" w:eastAsia="宋体" w:cs="Times New Roman"/>
                <w:color w:val="auto"/>
                <w:sz w:val="24"/>
                <w:szCs w:val="24"/>
                <w:highlight w:val="none"/>
              </w:rPr>
              <w:t>/g×</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0.000025t/a</w:t>
            </w:r>
            <w:r>
              <w:rPr>
                <w:rFonts w:hint="default" w:ascii="Times New Roman" w:hAnsi="Times New Roman" w:eastAsia="宋体" w:cs="Times New Roman"/>
                <w:color w:val="auto"/>
                <w:sz w:val="24"/>
                <w:szCs w:val="24"/>
                <w:highlight w:val="none"/>
              </w:rPr>
              <w:t>。</w:t>
            </w:r>
          </w:p>
          <w:p w14:paraId="0A7AAA8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本项目生物质蒸汽锅炉废气</w:t>
            </w:r>
            <w:r>
              <w:rPr>
                <w:rFonts w:hint="default" w:ascii="Times New Roman" w:hAnsi="Times New Roman" w:eastAsia="宋体" w:cs="Times New Roman"/>
                <w:color w:val="auto"/>
                <w:sz w:val="24"/>
                <w:szCs w:val="24"/>
                <w:highlight w:val="none"/>
              </w:rPr>
              <w:t>采用</w:t>
            </w:r>
            <w:r>
              <w:rPr>
                <w:rFonts w:hint="default" w:ascii="Times New Roman" w:hAnsi="Times New Roman" w:eastAsia="宋体" w:cs="Times New Roman"/>
                <w:color w:val="auto"/>
                <w:sz w:val="24"/>
                <w:szCs w:val="24"/>
                <w:highlight w:val="none"/>
                <w:lang w:val="en-US" w:eastAsia="zh-CN"/>
              </w:rPr>
              <w:t>1台旋风除尘器和</w:t>
            </w: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布袋除尘器</w:t>
            </w:r>
            <w:r>
              <w:rPr>
                <w:rFonts w:hint="default" w:ascii="Times New Roman" w:hAnsi="Times New Roman" w:eastAsia="宋体" w:cs="Times New Roman"/>
                <w:color w:val="auto"/>
                <w:sz w:val="24"/>
                <w:szCs w:val="24"/>
                <w:highlight w:val="none"/>
              </w:rPr>
              <w:t>进行处理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根据《污染源源强核算技术指南锅炉》（HJ991-2018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烟气SCR脱硝，除尘和湿法脱硫等污染防治对汞及其化合物具有协同脱出效果，脱除效率约为70%，本次评价对汞及其化合物的处理效率按30%计算。</w:t>
            </w:r>
          </w:p>
          <w:p w14:paraId="61BA9EF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则1台</w:t>
            </w:r>
            <w:r>
              <w:rPr>
                <w:rFonts w:hint="default" w:ascii="Times New Roman" w:hAnsi="Times New Roman" w:eastAsia="宋体" w:cs="Times New Roman"/>
                <w:color w:val="auto"/>
                <w:sz w:val="24"/>
                <w:szCs w:val="24"/>
                <w:highlight w:val="none"/>
                <w:lang w:eastAsia="zh-CN"/>
              </w:rPr>
              <w:t>10t/h生物质蒸汽锅炉</w:t>
            </w:r>
            <w:r>
              <w:rPr>
                <w:rFonts w:hint="default" w:ascii="Times New Roman" w:hAnsi="Times New Roman" w:eastAsia="宋体" w:cs="Times New Roman"/>
                <w:color w:val="auto"/>
                <w:sz w:val="24"/>
                <w:szCs w:val="24"/>
                <w:highlight w:val="none"/>
              </w:rPr>
              <w:t>汞及其化合物</w:t>
            </w:r>
            <w:r>
              <w:rPr>
                <w:rFonts w:hint="default" w:ascii="Times New Roman" w:hAnsi="Times New Roman" w:eastAsia="宋体" w:cs="Times New Roman"/>
                <w:color w:val="auto"/>
                <w:sz w:val="24"/>
                <w:szCs w:val="24"/>
                <w:highlight w:val="none"/>
                <w:lang w:eastAsia="zh-CN"/>
              </w:rPr>
              <w:t>排放</w:t>
            </w:r>
            <w:r>
              <w:rPr>
                <w:rFonts w:hint="default" w:ascii="Times New Roman" w:hAnsi="Times New Roman" w:eastAsia="宋体" w:cs="Times New Roman"/>
                <w:color w:val="auto"/>
                <w:sz w:val="24"/>
                <w:szCs w:val="24"/>
                <w:highlight w:val="none"/>
              </w:rPr>
              <w:t>量=</w:t>
            </w:r>
            <w:r>
              <w:rPr>
                <w:rFonts w:hint="default" w:ascii="Times New Roman" w:hAnsi="Times New Roman" w:eastAsia="宋体" w:cs="Times New Roman"/>
                <w:color w:val="auto"/>
                <w:sz w:val="24"/>
                <w:szCs w:val="24"/>
                <w:highlight w:val="none"/>
                <w:lang w:eastAsia="zh-CN"/>
              </w:rPr>
              <w:t>2132.64</w:t>
            </w:r>
            <w:r>
              <w:rPr>
                <w:rFonts w:hint="default" w:ascii="Times New Roman" w:hAnsi="Times New Roman" w:eastAsia="宋体" w:cs="Times New Roman"/>
                <w:color w:val="auto"/>
                <w:sz w:val="24"/>
                <w:szCs w:val="24"/>
                <w:highlight w:val="none"/>
              </w:rPr>
              <w:t>t/a×11.60×10</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4"/>
                <w:szCs w:val="24"/>
                <w:highlight w:val="none"/>
              </w:rPr>
              <w:t>g/g×（1</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30%）×10</w:t>
            </w:r>
            <w:r>
              <w:rPr>
                <w:rFonts w:hint="default" w:ascii="Times New Roman" w:hAnsi="Times New Roman" w:eastAsia="宋体" w:cs="Times New Roman"/>
                <w:color w:val="auto"/>
                <w:sz w:val="24"/>
                <w:szCs w:val="24"/>
                <w:highlight w:val="none"/>
                <w:vertAlign w:val="superscript"/>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0.000018t/a</w:t>
            </w:r>
            <w:r>
              <w:rPr>
                <w:rFonts w:hint="default" w:ascii="Times New Roman" w:hAnsi="Times New Roman" w:eastAsia="宋体" w:cs="Times New Roman"/>
                <w:color w:val="auto"/>
                <w:sz w:val="24"/>
                <w:szCs w:val="24"/>
                <w:lang w:val="en-US" w:eastAsia="zh-CN"/>
              </w:rPr>
              <w:t>，本项目年运行1440h，则汞及其化合物排放速率为0.000013 kg/h。</w:t>
            </w:r>
          </w:p>
          <w:p w14:paraId="5BAFF8F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w:t>
            </w: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10t/h生物质蒸汽锅炉</w:t>
            </w:r>
            <w:r>
              <w:rPr>
                <w:rFonts w:hint="default" w:ascii="Times New Roman" w:hAnsi="Times New Roman" w:eastAsia="宋体" w:cs="Times New Roman"/>
                <w:color w:val="auto"/>
                <w:sz w:val="24"/>
                <w:szCs w:val="24"/>
                <w:highlight w:val="none"/>
              </w:rPr>
              <w:t>废气产排情况如下表4-</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p>
          <w:p w14:paraId="3AA8F27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表4-</w:t>
            </w:r>
            <w:r>
              <w:rPr>
                <w:rFonts w:hint="default" w:ascii="Times New Roman" w:hAnsi="Times New Roman" w:eastAsia="宋体" w:cs="Times New Roman"/>
                <w:b/>
                <w:bCs/>
                <w:color w:val="auto"/>
                <w:sz w:val="24"/>
                <w:szCs w:val="24"/>
                <w:highlight w:val="none"/>
                <w:lang w:val="en-US" w:eastAsia="zh-CN"/>
              </w:rPr>
              <w:t xml:space="preserve">1  </w:t>
            </w:r>
            <w:r>
              <w:rPr>
                <w:rFonts w:hint="default" w:ascii="Times New Roman" w:hAnsi="Times New Roman" w:eastAsia="宋体" w:cs="Times New Roman"/>
                <w:b/>
                <w:bCs/>
                <w:color w:val="auto"/>
                <w:sz w:val="24"/>
                <w:szCs w:val="24"/>
                <w:highlight w:val="none"/>
              </w:rPr>
              <w:t>本项目废气产生及排放情况</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742"/>
              <w:gridCol w:w="810"/>
              <w:gridCol w:w="810"/>
              <w:gridCol w:w="810"/>
              <w:gridCol w:w="1248"/>
              <w:gridCol w:w="810"/>
              <w:gridCol w:w="810"/>
              <w:gridCol w:w="810"/>
              <w:gridCol w:w="685"/>
            </w:tblGrid>
            <w:tr w14:paraId="3CD2B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Merge w:val="restart"/>
                  <w:vAlign w:val="center"/>
                </w:tcPr>
                <w:p w14:paraId="124520BE">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污染物</w:t>
                  </w:r>
                </w:p>
              </w:tc>
              <w:tc>
                <w:tcPr>
                  <w:tcW w:w="742" w:type="dxa"/>
                  <w:vMerge w:val="restart"/>
                  <w:vAlign w:val="center"/>
                </w:tcPr>
                <w:p w14:paraId="36BE03B7">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废气量m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p>
              </w:tc>
              <w:tc>
                <w:tcPr>
                  <w:tcW w:w="2430" w:type="dxa"/>
                  <w:gridSpan w:val="3"/>
                  <w:vAlign w:val="center"/>
                </w:tcPr>
                <w:p w14:paraId="1544C052">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产生</w:t>
                  </w:r>
                </w:p>
              </w:tc>
              <w:tc>
                <w:tcPr>
                  <w:tcW w:w="1248" w:type="dxa"/>
                  <w:vMerge w:val="restart"/>
                  <w:vAlign w:val="center"/>
                </w:tcPr>
                <w:p w14:paraId="54799DF0">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治理措施</w:t>
                  </w:r>
                </w:p>
              </w:tc>
              <w:tc>
                <w:tcPr>
                  <w:tcW w:w="2430" w:type="dxa"/>
                  <w:gridSpan w:val="3"/>
                  <w:vAlign w:val="center"/>
                </w:tcPr>
                <w:p w14:paraId="75DD0EA5">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排放</w:t>
                  </w:r>
                </w:p>
              </w:tc>
              <w:tc>
                <w:tcPr>
                  <w:tcW w:w="685" w:type="dxa"/>
                  <w:vMerge w:val="restart"/>
                  <w:vAlign w:val="center"/>
                </w:tcPr>
                <w:p w14:paraId="7A52814E">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排放限值mg/m</w:t>
                  </w:r>
                  <w:r>
                    <w:rPr>
                      <w:rFonts w:hint="default" w:ascii="Times New Roman" w:hAnsi="Times New Roman" w:eastAsia="宋体" w:cs="Times New Roman"/>
                      <w:color w:val="auto"/>
                      <w:highlight w:val="none"/>
                      <w:vertAlign w:val="superscript"/>
                    </w:rPr>
                    <w:t>3</w:t>
                  </w:r>
                </w:p>
              </w:tc>
            </w:tr>
            <w:tr w14:paraId="48E4A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Merge w:val="continue"/>
                  <w:vAlign w:val="center"/>
                </w:tcPr>
                <w:p w14:paraId="77E2D4D9">
                  <w:pPr>
                    <w:pStyle w:val="7"/>
                    <w:ind w:firstLine="0" w:firstLineChars="0"/>
                    <w:jc w:val="center"/>
                    <w:rPr>
                      <w:rFonts w:hint="default" w:ascii="Times New Roman" w:hAnsi="Times New Roman" w:eastAsia="宋体" w:cs="Times New Roman"/>
                      <w:color w:val="auto"/>
                      <w:sz w:val="21"/>
                      <w:szCs w:val="21"/>
                      <w:highlight w:val="none"/>
                    </w:rPr>
                  </w:pPr>
                </w:p>
              </w:tc>
              <w:tc>
                <w:tcPr>
                  <w:tcW w:w="742" w:type="dxa"/>
                  <w:vMerge w:val="continue"/>
                  <w:vAlign w:val="center"/>
                </w:tcPr>
                <w:p w14:paraId="3AFCBC41">
                  <w:pPr>
                    <w:pStyle w:val="7"/>
                    <w:ind w:firstLine="0" w:firstLineChars="0"/>
                    <w:jc w:val="center"/>
                    <w:rPr>
                      <w:rFonts w:hint="default" w:ascii="Times New Roman" w:hAnsi="Times New Roman" w:eastAsia="宋体" w:cs="Times New Roman"/>
                      <w:color w:val="auto"/>
                      <w:sz w:val="21"/>
                      <w:szCs w:val="21"/>
                      <w:highlight w:val="none"/>
                    </w:rPr>
                  </w:pPr>
                </w:p>
              </w:tc>
              <w:tc>
                <w:tcPr>
                  <w:tcW w:w="810" w:type="dxa"/>
                  <w:vAlign w:val="center"/>
                </w:tcPr>
                <w:p w14:paraId="2B6B869A">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产生浓度mg/m</w:t>
                  </w:r>
                  <w:r>
                    <w:rPr>
                      <w:rFonts w:hint="default" w:ascii="Times New Roman" w:hAnsi="Times New Roman" w:eastAsia="宋体" w:cs="Times New Roman"/>
                      <w:color w:val="auto"/>
                      <w:highlight w:val="none"/>
                      <w:vertAlign w:val="superscript"/>
                    </w:rPr>
                    <w:t>3</w:t>
                  </w:r>
                </w:p>
              </w:tc>
              <w:tc>
                <w:tcPr>
                  <w:tcW w:w="810" w:type="dxa"/>
                  <w:vAlign w:val="center"/>
                </w:tcPr>
                <w:p w14:paraId="1A683D24">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产生速率kg/h</w:t>
                  </w:r>
                </w:p>
              </w:tc>
              <w:tc>
                <w:tcPr>
                  <w:tcW w:w="810" w:type="dxa"/>
                  <w:vAlign w:val="center"/>
                </w:tcPr>
                <w:p w14:paraId="6823400C">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产生量t/a</w:t>
                  </w:r>
                </w:p>
              </w:tc>
              <w:tc>
                <w:tcPr>
                  <w:tcW w:w="1248" w:type="dxa"/>
                  <w:vMerge w:val="continue"/>
                  <w:vAlign w:val="center"/>
                </w:tcPr>
                <w:p w14:paraId="739226EE">
                  <w:pPr>
                    <w:pStyle w:val="7"/>
                    <w:ind w:firstLine="0" w:firstLineChars="0"/>
                    <w:jc w:val="center"/>
                    <w:rPr>
                      <w:rFonts w:hint="default" w:ascii="Times New Roman" w:hAnsi="Times New Roman" w:eastAsia="宋体" w:cs="Times New Roman"/>
                      <w:color w:val="auto"/>
                      <w:sz w:val="21"/>
                      <w:szCs w:val="21"/>
                      <w:highlight w:val="none"/>
                    </w:rPr>
                  </w:pPr>
                </w:p>
              </w:tc>
              <w:tc>
                <w:tcPr>
                  <w:tcW w:w="810" w:type="dxa"/>
                  <w:vAlign w:val="center"/>
                </w:tcPr>
                <w:p w14:paraId="0538564C">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排放浓度mg/m</w:t>
                  </w:r>
                  <w:r>
                    <w:rPr>
                      <w:rFonts w:hint="default" w:ascii="Times New Roman" w:hAnsi="Times New Roman" w:eastAsia="宋体" w:cs="Times New Roman"/>
                      <w:color w:val="auto"/>
                      <w:highlight w:val="none"/>
                      <w:vertAlign w:val="superscript"/>
                    </w:rPr>
                    <w:t>3</w:t>
                  </w:r>
                </w:p>
              </w:tc>
              <w:tc>
                <w:tcPr>
                  <w:tcW w:w="810" w:type="dxa"/>
                  <w:vAlign w:val="center"/>
                </w:tcPr>
                <w:p w14:paraId="03C3FA25">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排放速率kg/h</w:t>
                  </w:r>
                </w:p>
              </w:tc>
              <w:tc>
                <w:tcPr>
                  <w:tcW w:w="810" w:type="dxa"/>
                  <w:vAlign w:val="center"/>
                </w:tcPr>
                <w:p w14:paraId="44133237">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排放量t/a</w:t>
                  </w:r>
                </w:p>
              </w:tc>
              <w:tc>
                <w:tcPr>
                  <w:tcW w:w="685" w:type="dxa"/>
                  <w:vMerge w:val="continue"/>
                  <w:vAlign w:val="center"/>
                </w:tcPr>
                <w:p w14:paraId="46367262">
                  <w:pPr>
                    <w:pStyle w:val="7"/>
                    <w:ind w:firstLine="0" w:firstLineChars="0"/>
                    <w:jc w:val="center"/>
                    <w:rPr>
                      <w:rFonts w:hint="default" w:ascii="Times New Roman" w:hAnsi="Times New Roman" w:eastAsia="宋体" w:cs="Times New Roman"/>
                      <w:color w:val="auto"/>
                      <w:sz w:val="21"/>
                      <w:szCs w:val="21"/>
                      <w:highlight w:val="none"/>
                    </w:rPr>
                  </w:pPr>
                </w:p>
              </w:tc>
            </w:tr>
            <w:tr w14:paraId="2FFDA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Align w:val="center"/>
                </w:tcPr>
                <w:p w14:paraId="167968D5">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颗粒物</w:t>
                  </w:r>
                </w:p>
              </w:tc>
              <w:tc>
                <w:tcPr>
                  <w:tcW w:w="742" w:type="dxa"/>
                  <w:vMerge w:val="restart"/>
                  <w:vAlign w:val="center"/>
                </w:tcPr>
                <w:p w14:paraId="5A827D99">
                  <w:pPr>
                    <w:bidi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highlight w:val="none"/>
                      <w:lang w:eastAsia="zh-CN"/>
                    </w:rPr>
                    <w:t>9241.44</w:t>
                  </w:r>
                </w:p>
              </w:tc>
              <w:tc>
                <w:tcPr>
                  <w:tcW w:w="810" w:type="dxa"/>
                  <w:vAlign w:val="center"/>
                </w:tcPr>
                <w:p w14:paraId="1AB617B7">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418.0</w:t>
                  </w:r>
                </w:p>
              </w:tc>
              <w:tc>
                <w:tcPr>
                  <w:tcW w:w="810" w:type="dxa"/>
                  <w:vAlign w:val="center"/>
                </w:tcPr>
                <w:p w14:paraId="175091A3">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3.863</w:t>
                  </w:r>
                </w:p>
              </w:tc>
              <w:tc>
                <w:tcPr>
                  <w:tcW w:w="810" w:type="dxa"/>
                  <w:vAlign w:val="center"/>
                </w:tcPr>
                <w:p w14:paraId="6E4F51E3">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5.563</w:t>
                  </w:r>
                </w:p>
              </w:tc>
              <w:tc>
                <w:tcPr>
                  <w:tcW w:w="1248" w:type="dxa"/>
                  <w:vAlign w:val="center"/>
                </w:tcPr>
                <w:p w14:paraId="100A6921">
                  <w:pPr>
                    <w:bidi w:val="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1台旋风除尘器（去除效率为</w:t>
                  </w:r>
                  <w:r>
                    <w:rPr>
                      <w:rFonts w:hint="eastAsia" w:ascii="Times New Roman" w:hAnsi="Times New Roman" w:eastAsia="宋体" w:cs="Times New Roman"/>
                      <w:b w:val="0"/>
                      <w:bCs w:val="0"/>
                      <w:color w:val="auto"/>
                      <w:kern w:val="2"/>
                      <w:sz w:val="21"/>
                      <w:szCs w:val="21"/>
                      <w:highlight w:val="none"/>
                      <w:lang w:val="en-US" w:eastAsia="zh-CN" w:bidi="ar-SA"/>
                    </w:rPr>
                    <w:t>7</w:t>
                  </w:r>
                  <w:r>
                    <w:rPr>
                      <w:rFonts w:hint="default" w:ascii="Times New Roman" w:hAnsi="Times New Roman" w:eastAsia="宋体" w:cs="Times New Roman"/>
                      <w:b w:val="0"/>
                      <w:bCs w:val="0"/>
                      <w:color w:val="auto"/>
                      <w:kern w:val="2"/>
                      <w:sz w:val="21"/>
                      <w:szCs w:val="21"/>
                      <w:highlight w:val="none"/>
                      <w:lang w:val="en-US" w:eastAsia="zh-CN" w:bidi="ar-SA"/>
                    </w:rPr>
                    <w:t>0%）和1台布袋除尘器（去除效率为99</w:t>
                  </w:r>
                  <w:r>
                    <w:rPr>
                      <w:rFonts w:hint="eastAsia" w:ascii="Times New Roman" w:hAnsi="Times New Roman" w:eastAsia="宋体" w:cs="Times New Roman"/>
                      <w:b w:val="0"/>
                      <w:bCs w:val="0"/>
                      <w:color w:val="auto"/>
                      <w:kern w:val="2"/>
                      <w:sz w:val="21"/>
                      <w:szCs w:val="21"/>
                      <w:highlight w:val="none"/>
                      <w:lang w:val="en-US" w:eastAsia="zh-CN" w:bidi="ar-SA"/>
                    </w:rPr>
                    <w:t>.7</w:t>
                  </w:r>
                  <w:r>
                    <w:rPr>
                      <w:rFonts w:hint="default" w:ascii="Times New Roman" w:hAnsi="Times New Roman" w:eastAsia="宋体" w:cs="Times New Roman"/>
                      <w:b w:val="0"/>
                      <w:bCs w:val="0"/>
                      <w:color w:val="auto"/>
                      <w:kern w:val="2"/>
                      <w:sz w:val="21"/>
                      <w:szCs w:val="21"/>
                      <w:highlight w:val="none"/>
                      <w:lang w:val="en-US" w:eastAsia="zh-CN" w:bidi="ar-SA"/>
                    </w:rPr>
                    <w:t>%）</w:t>
                  </w:r>
                </w:p>
              </w:tc>
              <w:tc>
                <w:tcPr>
                  <w:tcW w:w="810" w:type="dxa"/>
                  <w:vAlign w:val="center"/>
                </w:tcPr>
                <w:p w14:paraId="35987111">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0.4 </w:t>
                  </w:r>
                </w:p>
              </w:tc>
              <w:tc>
                <w:tcPr>
                  <w:tcW w:w="810" w:type="dxa"/>
                  <w:vAlign w:val="center"/>
                </w:tcPr>
                <w:p w14:paraId="7B9B182D">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0.0035 </w:t>
                  </w:r>
                </w:p>
              </w:tc>
              <w:tc>
                <w:tcPr>
                  <w:tcW w:w="810" w:type="dxa"/>
                  <w:vAlign w:val="center"/>
                </w:tcPr>
                <w:p w14:paraId="257A3242">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0.005</w:t>
                  </w:r>
                </w:p>
              </w:tc>
              <w:tc>
                <w:tcPr>
                  <w:tcW w:w="685" w:type="dxa"/>
                  <w:vAlign w:val="center"/>
                </w:tcPr>
                <w:p w14:paraId="3B61AA46">
                  <w:pPr>
                    <w:snapToGrid/>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50</w:t>
                  </w:r>
                </w:p>
              </w:tc>
            </w:tr>
            <w:tr w14:paraId="2A016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Align w:val="center"/>
                </w:tcPr>
                <w:p w14:paraId="02269C06">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二氧化硫</w:t>
                  </w:r>
                </w:p>
              </w:tc>
              <w:tc>
                <w:tcPr>
                  <w:tcW w:w="742" w:type="dxa"/>
                  <w:vMerge w:val="continue"/>
                  <w:vAlign w:val="center"/>
                </w:tcPr>
                <w:p w14:paraId="53430AC8">
                  <w:pPr>
                    <w:pStyle w:val="7"/>
                    <w:ind w:firstLine="0" w:firstLineChars="0"/>
                    <w:jc w:val="center"/>
                    <w:rPr>
                      <w:rFonts w:hint="default" w:ascii="Times New Roman" w:hAnsi="Times New Roman" w:eastAsia="宋体" w:cs="Times New Roman"/>
                      <w:color w:val="auto"/>
                      <w:sz w:val="21"/>
                      <w:szCs w:val="21"/>
                      <w:highlight w:val="none"/>
                    </w:rPr>
                  </w:pPr>
                </w:p>
              </w:tc>
              <w:tc>
                <w:tcPr>
                  <w:tcW w:w="810" w:type="dxa"/>
                  <w:vAlign w:val="center"/>
                </w:tcPr>
                <w:p w14:paraId="176AE7CA">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153.9 </w:t>
                  </w:r>
                </w:p>
              </w:tc>
              <w:tc>
                <w:tcPr>
                  <w:tcW w:w="810" w:type="dxa"/>
                  <w:vAlign w:val="center"/>
                </w:tcPr>
                <w:p w14:paraId="49D426B7">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1.422 </w:t>
                  </w:r>
                </w:p>
              </w:tc>
              <w:tc>
                <w:tcPr>
                  <w:tcW w:w="810" w:type="dxa"/>
                  <w:vAlign w:val="center"/>
                </w:tcPr>
                <w:p w14:paraId="490DD5ED">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2.047</w:t>
                  </w:r>
                </w:p>
              </w:tc>
              <w:tc>
                <w:tcPr>
                  <w:tcW w:w="1248" w:type="dxa"/>
                  <w:vAlign w:val="center"/>
                </w:tcPr>
                <w:p w14:paraId="32088C0B">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810" w:type="dxa"/>
                  <w:vAlign w:val="center"/>
                </w:tcPr>
                <w:p w14:paraId="60FB9987">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153.9 </w:t>
                  </w:r>
                </w:p>
              </w:tc>
              <w:tc>
                <w:tcPr>
                  <w:tcW w:w="810" w:type="dxa"/>
                  <w:shd w:val="clear" w:color="auto" w:fill="auto"/>
                  <w:vAlign w:val="center"/>
                </w:tcPr>
                <w:p w14:paraId="1FFE29AF">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1.422 </w:t>
                  </w:r>
                </w:p>
              </w:tc>
              <w:tc>
                <w:tcPr>
                  <w:tcW w:w="810" w:type="dxa"/>
                  <w:shd w:val="clear" w:color="auto" w:fill="auto"/>
                  <w:vAlign w:val="center"/>
                </w:tcPr>
                <w:p w14:paraId="10D0BF18">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2.047</w:t>
                  </w:r>
                </w:p>
              </w:tc>
              <w:tc>
                <w:tcPr>
                  <w:tcW w:w="685" w:type="dxa"/>
                  <w:vAlign w:val="center"/>
                </w:tcPr>
                <w:p w14:paraId="422B0DD9">
                  <w:pPr>
                    <w:snapToGrid/>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300</w:t>
                  </w:r>
                </w:p>
              </w:tc>
            </w:tr>
            <w:tr w14:paraId="31D2A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Align w:val="center"/>
                </w:tcPr>
                <w:p w14:paraId="3B79A9E0">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氮氧化物</w:t>
                  </w:r>
                </w:p>
              </w:tc>
              <w:tc>
                <w:tcPr>
                  <w:tcW w:w="742" w:type="dxa"/>
                  <w:vMerge w:val="continue"/>
                  <w:vAlign w:val="center"/>
                </w:tcPr>
                <w:p w14:paraId="2D25B782">
                  <w:pPr>
                    <w:pStyle w:val="7"/>
                    <w:ind w:firstLine="0" w:firstLineChars="0"/>
                    <w:jc w:val="center"/>
                    <w:rPr>
                      <w:rFonts w:hint="default" w:ascii="Times New Roman" w:hAnsi="Times New Roman" w:eastAsia="宋体" w:cs="Times New Roman"/>
                      <w:color w:val="auto"/>
                      <w:sz w:val="21"/>
                      <w:szCs w:val="21"/>
                      <w:highlight w:val="none"/>
                    </w:rPr>
                  </w:pPr>
                </w:p>
              </w:tc>
              <w:tc>
                <w:tcPr>
                  <w:tcW w:w="810" w:type="dxa"/>
                  <w:vAlign w:val="center"/>
                </w:tcPr>
                <w:p w14:paraId="528ECD51">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163.4 </w:t>
                  </w:r>
                </w:p>
              </w:tc>
              <w:tc>
                <w:tcPr>
                  <w:tcW w:w="810" w:type="dxa"/>
                  <w:vAlign w:val="center"/>
                </w:tcPr>
                <w:p w14:paraId="3F4C50C8">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1.510 </w:t>
                  </w:r>
                </w:p>
              </w:tc>
              <w:tc>
                <w:tcPr>
                  <w:tcW w:w="810" w:type="dxa"/>
                  <w:vAlign w:val="center"/>
                </w:tcPr>
                <w:p w14:paraId="5AAAFF40">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2.175</w:t>
                  </w:r>
                </w:p>
              </w:tc>
              <w:tc>
                <w:tcPr>
                  <w:tcW w:w="1248" w:type="dxa"/>
                  <w:vAlign w:val="center"/>
                </w:tcPr>
                <w:p w14:paraId="37AA00A3">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810" w:type="dxa"/>
                  <w:vAlign w:val="center"/>
                </w:tcPr>
                <w:p w14:paraId="311D0124">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163.4 </w:t>
                  </w:r>
                </w:p>
              </w:tc>
              <w:tc>
                <w:tcPr>
                  <w:tcW w:w="810" w:type="dxa"/>
                  <w:shd w:val="clear" w:color="auto" w:fill="auto"/>
                  <w:vAlign w:val="center"/>
                </w:tcPr>
                <w:p w14:paraId="0EAFDCA0">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1.510 </w:t>
                  </w:r>
                </w:p>
              </w:tc>
              <w:tc>
                <w:tcPr>
                  <w:tcW w:w="810" w:type="dxa"/>
                  <w:shd w:val="clear" w:color="auto" w:fill="auto"/>
                  <w:vAlign w:val="center"/>
                </w:tcPr>
                <w:p w14:paraId="32413DD0">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2.175</w:t>
                  </w:r>
                </w:p>
              </w:tc>
              <w:tc>
                <w:tcPr>
                  <w:tcW w:w="685" w:type="dxa"/>
                  <w:vAlign w:val="center"/>
                </w:tcPr>
                <w:p w14:paraId="3CBDAB0C">
                  <w:pPr>
                    <w:snapToGrid/>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300</w:t>
                  </w:r>
                </w:p>
              </w:tc>
            </w:tr>
            <w:tr w14:paraId="47664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2" w:type="dxa"/>
                  <w:vAlign w:val="center"/>
                </w:tcPr>
                <w:p w14:paraId="4C977364">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汞及其化合物</w:t>
                  </w:r>
                </w:p>
              </w:tc>
              <w:tc>
                <w:tcPr>
                  <w:tcW w:w="742" w:type="dxa"/>
                  <w:vMerge w:val="continue"/>
                  <w:vAlign w:val="center"/>
                </w:tcPr>
                <w:p w14:paraId="5CE6E91B">
                  <w:pPr>
                    <w:pStyle w:val="7"/>
                    <w:ind w:firstLine="0" w:firstLineChars="0"/>
                    <w:jc w:val="center"/>
                    <w:rPr>
                      <w:rFonts w:hint="default" w:ascii="Times New Roman" w:hAnsi="Times New Roman" w:eastAsia="宋体" w:cs="Times New Roman"/>
                      <w:color w:val="auto"/>
                      <w:sz w:val="21"/>
                      <w:szCs w:val="21"/>
                      <w:highlight w:val="none"/>
                    </w:rPr>
                  </w:pPr>
                </w:p>
              </w:tc>
              <w:tc>
                <w:tcPr>
                  <w:tcW w:w="810" w:type="dxa"/>
                  <w:vAlign w:val="center"/>
                </w:tcPr>
                <w:p w14:paraId="7D47B917">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0.0018</w:t>
                  </w:r>
                </w:p>
              </w:tc>
              <w:tc>
                <w:tcPr>
                  <w:tcW w:w="810" w:type="dxa"/>
                  <w:vAlign w:val="center"/>
                </w:tcPr>
                <w:p w14:paraId="79653AB0">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0.000017 </w:t>
                  </w:r>
                </w:p>
              </w:tc>
              <w:tc>
                <w:tcPr>
                  <w:tcW w:w="810" w:type="dxa"/>
                  <w:vAlign w:val="center"/>
                </w:tcPr>
                <w:p w14:paraId="1022F25C">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0.000025</w:t>
                  </w:r>
                </w:p>
              </w:tc>
              <w:tc>
                <w:tcPr>
                  <w:tcW w:w="1248" w:type="dxa"/>
                  <w:vAlign w:val="center"/>
                </w:tcPr>
                <w:p w14:paraId="1B99DB69">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（去除效率为30%）</w:t>
                  </w:r>
                </w:p>
              </w:tc>
              <w:tc>
                <w:tcPr>
                  <w:tcW w:w="810" w:type="dxa"/>
                  <w:vAlign w:val="center"/>
                </w:tcPr>
                <w:p w14:paraId="29BA0883">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0.0014</w:t>
                  </w:r>
                </w:p>
              </w:tc>
              <w:tc>
                <w:tcPr>
                  <w:tcW w:w="810" w:type="dxa"/>
                  <w:vAlign w:val="center"/>
                </w:tcPr>
                <w:p w14:paraId="3C5C2248">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0.000013 </w:t>
                  </w:r>
                </w:p>
              </w:tc>
              <w:tc>
                <w:tcPr>
                  <w:tcW w:w="810" w:type="dxa"/>
                  <w:vAlign w:val="center"/>
                </w:tcPr>
                <w:p w14:paraId="50C700F3">
                  <w:pPr>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0.000018</w:t>
                  </w:r>
                </w:p>
              </w:tc>
              <w:tc>
                <w:tcPr>
                  <w:tcW w:w="685" w:type="dxa"/>
                  <w:vAlign w:val="center"/>
                </w:tcPr>
                <w:p w14:paraId="156D1FEF">
                  <w:pPr>
                    <w:snapToGrid/>
                    <w:jc w:val="center"/>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0.05</w:t>
                  </w:r>
                </w:p>
              </w:tc>
            </w:tr>
          </w:tbl>
          <w:p w14:paraId="40F4658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由表4-</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得知，本项目1台</w:t>
            </w:r>
            <w:r>
              <w:rPr>
                <w:rFonts w:hint="default" w:ascii="Times New Roman" w:hAnsi="Times New Roman" w:eastAsia="宋体" w:cs="Times New Roman"/>
                <w:color w:val="auto"/>
                <w:sz w:val="24"/>
                <w:highlight w:val="none"/>
                <w:lang w:eastAsia="zh-CN"/>
              </w:rPr>
              <w:t>10t/h</w:t>
            </w:r>
            <w:r>
              <w:rPr>
                <w:rFonts w:hint="default" w:ascii="Times New Roman" w:hAnsi="Times New Roman" w:eastAsia="宋体" w:cs="Times New Roman"/>
                <w:color w:val="auto"/>
                <w:sz w:val="24"/>
                <w:szCs w:val="32"/>
                <w:highlight w:val="none"/>
                <w:lang w:eastAsia="zh-CN"/>
              </w:rPr>
              <w:t>生物质蒸汽锅炉</w:t>
            </w:r>
            <w:r>
              <w:rPr>
                <w:rFonts w:hint="default" w:ascii="Times New Roman" w:hAnsi="Times New Roman" w:eastAsia="宋体" w:cs="Times New Roman"/>
                <w:color w:val="auto"/>
                <w:sz w:val="24"/>
                <w:highlight w:val="none"/>
              </w:rPr>
              <w:t>废气污染物颗粒物、SO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、NO</w:t>
            </w:r>
            <w:r>
              <w:rPr>
                <w:rFonts w:hint="default" w:ascii="Times New Roman" w:hAnsi="Times New Roman" w:eastAsia="宋体" w:cs="Times New Roman"/>
                <w:color w:val="auto"/>
                <w:sz w:val="24"/>
                <w:highlight w:val="none"/>
                <w:vertAlign w:val="subscript"/>
              </w:rPr>
              <w:t>x</w:t>
            </w:r>
            <w:r>
              <w:rPr>
                <w:rFonts w:hint="default" w:ascii="Times New Roman" w:hAnsi="Times New Roman" w:eastAsia="宋体" w:cs="Times New Roman"/>
                <w:color w:val="auto"/>
                <w:sz w:val="24"/>
                <w:highlight w:val="none"/>
              </w:rPr>
              <w:t>、汞及其化合物排放浓度均符合</w:t>
            </w:r>
            <w:r>
              <w:rPr>
                <w:rFonts w:hint="default" w:ascii="Times New Roman" w:hAnsi="Times New Roman" w:eastAsia="宋体" w:cs="Times New Roman"/>
                <w:bCs/>
                <w:color w:val="auto"/>
                <w:sz w:val="24"/>
                <w:highlight w:val="none"/>
              </w:rPr>
              <w:t>《锅炉大气污染物排放标准》（GB13271-2014）表2新建锅炉大气污染物排放浓度限值中燃煤锅炉的排放浓度限值</w:t>
            </w:r>
            <w:r>
              <w:rPr>
                <w:rFonts w:hint="default" w:ascii="Times New Roman" w:hAnsi="Times New Roman" w:eastAsia="宋体" w:cs="Times New Roman"/>
                <w:color w:val="auto"/>
                <w:sz w:val="24"/>
                <w:highlight w:val="none"/>
              </w:rPr>
              <w:t>。</w:t>
            </w:r>
          </w:p>
          <w:p w14:paraId="599011E4">
            <w:pPr>
              <w:spacing w:line="360" w:lineRule="auto"/>
              <w:ind w:firstLine="482" w:firstLineChars="200"/>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1.1.2</w:t>
            </w:r>
            <w:r>
              <w:rPr>
                <w:rFonts w:hint="default" w:ascii="Times New Roman" w:hAnsi="Times New Roman" w:eastAsia="宋体" w:cs="Times New Roman"/>
                <w:b/>
                <w:bCs/>
                <w:color w:val="auto"/>
                <w:sz w:val="24"/>
                <w:highlight w:val="none"/>
                <w:lang w:eastAsia="zh-CN"/>
              </w:rPr>
              <w:t>灰渣库废气</w:t>
            </w:r>
          </w:p>
          <w:p w14:paraId="2703768E">
            <w:pPr>
              <w:widowControl/>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szCs w:val="32"/>
                <w:highlight w:val="none"/>
              </w:rPr>
              <w:t>锅炉灰渣</w:t>
            </w:r>
            <w:r>
              <w:rPr>
                <w:rFonts w:hint="default" w:ascii="Times New Roman" w:hAnsi="Times New Roman" w:eastAsia="宋体" w:cs="Times New Roman"/>
                <w:color w:val="auto"/>
                <w:sz w:val="24"/>
                <w:szCs w:val="32"/>
                <w:highlight w:val="none"/>
                <w:lang w:val="en-US" w:eastAsia="zh-CN"/>
              </w:rPr>
              <w:t>产生量为113.153t/a，除尘灰收集量为5.558t/a，</w:t>
            </w:r>
            <w:r>
              <w:rPr>
                <w:rFonts w:hint="default" w:ascii="Times New Roman" w:hAnsi="Times New Roman" w:eastAsia="宋体" w:cs="Times New Roman"/>
                <w:color w:val="auto"/>
                <w:sz w:val="24"/>
                <w:highlight w:val="none"/>
                <w:lang w:val="en-US" w:eastAsia="zh-CN"/>
              </w:rPr>
              <w:t>均</w:t>
            </w:r>
            <w:r>
              <w:rPr>
                <w:rFonts w:hint="default" w:ascii="Times New Roman" w:hAnsi="Times New Roman" w:eastAsia="宋体" w:cs="Times New Roman"/>
                <w:color w:val="auto"/>
                <w:sz w:val="24"/>
                <w:highlight w:val="none"/>
              </w:rPr>
              <w:t>暂存于全封闭</w:t>
            </w:r>
            <w:r>
              <w:rPr>
                <w:rFonts w:hint="default" w:ascii="Times New Roman" w:hAnsi="Times New Roman" w:eastAsia="宋体" w:cs="Times New Roman"/>
                <w:color w:val="auto"/>
                <w:sz w:val="24"/>
                <w:highlight w:val="none"/>
                <w:lang w:eastAsia="zh-CN"/>
              </w:rPr>
              <w:t>灰渣库</w:t>
            </w:r>
            <w:r>
              <w:rPr>
                <w:rFonts w:hint="default" w:ascii="Times New Roman" w:hAnsi="Times New Roman" w:eastAsia="宋体" w:cs="Times New Roman"/>
                <w:color w:val="auto"/>
                <w:sz w:val="24"/>
                <w:highlight w:val="none"/>
              </w:rPr>
              <w:t>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装卸过程中会产生粉尘，参照《逸散性工业粉尘控制技术》“卸料”按0.0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kg/t（卸料）计算，则</w:t>
            </w:r>
            <w:r>
              <w:rPr>
                <w:rFonts w:hint="default" w:ascii="Times New Roman" w:hAnsi="Times New Roman" w:eastAsia="宋体" w:cs="Times New Roman"/>
                <w:color w:val="auto"/>
                <w:sz w:val="24"/>
                <w:highlight w:val="none"/>
                <w:lang w:eastAsia="zh-CN"/>
              </w:rPr>
              <w:t>灰渣库废气</w:t>
            </w:r>
            <w:r>
              <w:rPr>
                <w:rFonts w:hint="default" w:ascii="Times New Roman" w:hAnsi="Times New Roman" w:eastAsia="宋体" w:cs="Times New Roman"/>
                <w:color w:val="auto"/>
                <w:sz w:val="24"/>
                <w:highlight w:val="none"/>
              </w:rPr>
              <w:t>产生量为0.0</w:t>
            </w:r>
            <w:r>
              <w:rPr>
                <w:rFonts w:hint="default" w:ascii="Times New Roman" w:hAnsi="Times New Roman" w:eastAsia="宋体" w:cs="Times New Roman"/>
                <w:color w:val="auto"/>
                <w:sz w:val="24"/>
                <w:highlight w:val="none"/>
                <w:lang w:val="en-US" w:eastAsia="zh-CN"/>
              </w:rPr>
              <w:t>02</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bCs/>
                <w:color w:val="auto"/>
                <w:sz w:val="24"/>
                <w:highlight w:val="none"/>
              </w:rPr>
              <w:t>灰渣</w:t>
            </w:r>
            <w:r>
              <w:rPr>
                <w:rFonts w:hint="default" w:ascii="Times New Roman" w:hAnsi="Times New Roman" w:eastAsia="宋体" w:cs="Times New Roman"/>
                <w:color w:val="auto"/>
                <w:sz w:val="24"/>
                <w:highlight w:val="none"/>
              </w:rPr>
              <w:t>卸载</w:t>
            </w:r>
            <w:r>
              <w:rPr>
                <w:rFonts w:hint="default" w:ascii="Times New Roman" w:hAnsi="Times New Roman" w:eastAsia="宋体" w:cs="Times New Roman"/>
                <w:bCs/>
                <w:color w:val="auto"/>
                <w:sz w:val="24"/>
                <w:highlight w:val="none"/>
              </w:rPr>
              <w:t>过程中均在全封闭</w:t>
            </w:r>
            <w:r>
              <w:rPr>
                <w:rFonts w:hint="default" w:ascii="Times New Roman" w:hAnsi="Times New Roman" w:eastAsia="宋体" w:cs="Times New Roman"/>
                <w:bCs/>
                <w:color w:val="auto"/>
                <w:sz w:val="24"/>
                <w:highlight w:val="none"/>
                <w:lang w:eastAsia="zh-CN"/>
              </w:rPr>
              <w:t>灰渣库</w:t>
            </w:r>
            <w:r>
              <w:rPr>
                <w:rFonts w:hint="default" w:ascii="Times New Roman" w:hAnsi="Times New Roman" w:eastAsia="宋体" w:cs="Times New Roman"/>
                <w:bCs/>
                <w:color w:val="auto"/>
                <w:sz w:val="24"/>
                <w:highlight w:val="none"/>
              </w:rPr>
              <w:t>内进行，</w:t>
            </w:r>
            <w:r>
              <w:rPr>
                <w:rFonts w:hint="default" w:ascii="Times New Roman" w:hAnsi="Times New Roman" w:eastAsia="宋体" w:cs="Times New Roman"/>
                <w:color w:val="auto"/>
                <w:sz w:val="24"/>
                <w:highlight w:val="none"/>
              </w:rPr>
              <w:t>抑尘率按</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0%计，则</w:t>
            </w:r>
            <w:r>
              <w:rPr>
                <w:rFonts w:hint="default" w:ascii="Times New Roman" w:hAnsi="Times New Roman" w:eastAsia="宋体" w:cs="Times New Roman"/>
                <w:color w:val="auto"/>
                <w:sz w:val="24"/>
                <w:highlight w:val="none"/>
                <w:lang w:eastAsia="zh-CN"/>
              </w:rPr>
              <w:t>灰渣库废气</w:t>
            </w:r>
            <w:r>
              <w:rPr>
                <w:rFonts w:hint="default" w:ascii="Times New Roman" w:hAnsi="Times New Roman" w:eastAsia="宋体" w:cs="Times New Roman"/>
                <w:color w:val="auto"/>
                <w:sz w:val="24"/>
                <w:highlight w:val="none"/>
              </w:rPr>
              <w:t>排放量为0.00</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t/a；同时企业加强卸料环节作业管理，及时清理散落的粉尘，防止造成二次污染。</w:t>
            </w:r>
          </w:p>
          <w:p w14:paraId="768E6F74">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1.1.</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大气污染物产生和排放情况</w:t>
            </w:r>
          </w:p>
          <w:p w14:paraId="6B04FB1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本项目大气污染源治理情况汇总表见表4-</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14:paraId="275A1EE0">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default" w:ascii="Times New Roman" w:hAnsi="Times New Roman" w:eastAsia="宋体" w:cs="Times New Roman"/>
                <w:b/>
                <w:bCs/>
                <w:color w:val="auto"/>
                <w:sz w:val="24"/>
                <w:highlight w:val="none"/>
                <w:lang w:val="en-US" w:eastAsia="zh-CN"/>
              </w:rPr>
              <w:t xml:space="preserve">2  </w:t>
            </w:r>
            <w:r>
              <w:rPr>
                <w:rFonts w:hint="default" w:ascii="Times New Roman" w:hAnsi="Times New Roman" w:eastAsia="宋体" w:cs="Times New Roman"/>
                <w:b/>
                <w:bCs/>
                <w:color w:val="auto"/>
                <w:sz w:val="24"/>
                <w:highlight w:val="none"/>
              </w:rPr>
              <w:t>大气污染物产生、排放、治理情况汇总表</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0"/>
              <w:gridCol w:w="571"/>
              <w:gridCol w:w="717"/>
              <w:gridCol w:w="706"/>
              <w:gridCol w:w="1041"/>
              <w:gridCol w:w="1074"/>
              <w:gridCol w:w="751"/>
              <w:gridCol w:w="940"/>
              <w:gridCol w:w="786"/>
              <w:gridCol w:w="1141"/>
            </w:tblGrid>
            <w:tr w14:paraId="16983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restart"/>
                  <w:tcMar>
                    <w:left w:w="28" w:type="dxa"/>
                    <w:right w:w="28" w:type="dxa"/>
                  </w:tcMar>
                  <w:vAlign w:val="center"/>
                </w:tcPr>
                <w:p w14:paraId="4E4592B6">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571" w:type="dxa"/>
                  <w:vMerge w:val="restart"/>
                  <w:tcMar>
                    <w:left w:w="28" w:type="dxa"/>
                    <w:right w:w="28" w:type="dxa"/>
                  </w:tcMar>
                  <w:vAlign w:val="center"/>
                </w:tcPr>
                <w:p w14:paraId="26666DBB">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717" w:type="dxa"/>
                  <w:vMerge w:val="restart"/>
                  <w:tcMar>
                    <w:left w:w="28" w:type="dxa"/>
                    <w:right w:w="28" w:type="dxa"/>
                  </w:tcMar>
                  <w:vAlign w:val="center"/>
                </w:tcPr>
                <w:p w14:paraId="6FA48A91">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1747" w:type="dxa"/>
                  <w:gridSpan w:val="2"/>
                  <w:tcMar>
                    <w:left w:w="28" w:type="dxa"/>
                    <w:right w:w="28" w:type="dxa"/>
                  </w:tcMar>
                  <w:vAlign w:val="center"/>
                </w:tcPr>
                <w:p w14:paraId="1D9CA532">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1074" w:type="dxa"/>
                  <w:vMerge w:val="restart"/>
                  <w:tcMar>
                    <w:left w:w="28" w:type="dxa"/>
                    <w:right w:w="28" w:type="dxa"/>
                  </w:tcMar>
                  <w:vAlign w:val="center"/>
                </w:tcPr>
                <w:p w14:paraId="4CFDB5B6">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691" w:type="dxa"/>
                  <w:gridSpan w:val="2"/>
                  <w:tcMar>
                    <w:left w:w="28" w:type="dxa"/>
                    <w:right w:w="28" w:type="dxa"/>
                  </w:tcMar>
                  <w:vAlign w:val="center"/>
                </w:tcPr>
                <w:p w14:paraId="456EA945">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786" w:type="dxa"/>
                  <w:vMerge w:val="restart"/>
                  <w:tcMar>
                    <w:left w:w="28" w:type="dxa"/>
                    <w:right w:w="28" w:type="dxa"/>
                  </w:tcMar>
                  <w:vAlign w:val="center"/>
                </w:tcPr>
                <w:p w14:paraId="72721A0E">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运行时间h/a</w:t>
                  </w:r>
                </w:p>
              </w:tc>
              <w:tc>
                <w:tcPr>
                  <w:tcW w:w="1141" w:type="dxa"/>
                  <w:vMerge w:val="restart"/>
                  <w:tcMar>
                    <w:left w:w="28" w:type="dxa"/>
                    <w:right w:w="28" w:type="dxa"/>
                  </w:tcMar>
                  <w:vAlign w:val="center"/>
                </w:tcPr>
                <w:p w14:paraId="13B330B4">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14:paraId="2C137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continue"/>
                  <w:tcMar>
                    <w:left w:w="28" w:type="dxa"/>
                    <w:right w:w="28" w:type="dxa"/>
                  </w:tcMar>
                  <w:vAlign w:val="center"/>
                </w:tcPr>
                <w:p w14:paraId="7C6B1AB9">
                  <w:pPr>
                    <w:snapToGrid w:val="0"/>
                    <w:jc w:val="center"/>
                    <w:rPr>
                      <w:rFonts w:hint="default" w:ascii="Times New Roman" w:hAnsi="Times New Roman" w:eastAsia="宋体" w:cs="Times New Roman"/>
                      <w:color w:val="auto"/>
                      <w:sz w:val="21"/>
                      <w:szCs w:val="21"/>
                      <w:highlight w:val="none"/>
                    </w:rPr>
                  </w:pPr>
                </w:p>
              </w:tc>
              <w:tc>
                <w:tcPr>
                  <w:tcW w:w="571" w:type="dxa"/>
                  <w:vMerge w:val="continue"/>
                  <w:tcMar>
                    <w:left w:w="28" w:type="dxa"/>
                    <w:right w:w="28" w:type="dxa"/>
                  </w:tcMar>
                  <w:vAlign w:val="center"/>
                </w:tcPr>
                <w:p w14:paraId="764752BE">
                  <w:pPr>
                    <w:snapToGrid w:val="0"/>
                    <w:jc w:val="center"/>
                    <w:rPr>
                      <w:rFonts w:hint="default" w:ascii="Times New Roman" w:hAnsi="Times New Roman" w:eastAsia="宋体" w:cs="Times New Roman"/>
                      <w:color w:val="auto"/>
                      <w:sz w:val="21"/>
                      <w:szCs w:val="21"/>
                      <w:highlight w:val="none"/>
                    </w:rPr>
                  </w:pPr>
                </w:p>
              </w:tc>
              <w:tc>
                <w:tcPr>
                  <w:tcW w:w="717" w:type="dxa"/>
                  <w:vMerge w:val="continue"/>
                  <w:tcMar>
                    <w:left w:w="28" w:type="dxa"/>
                    <w:right w:w="28" w:type="dxa"/>
                  </w:tcMar>
                  <w:vAlign w:val="center"/>
                </w:tcPr>
                <w:p w14:paraId="77E70A9A">
                  <w:pPr>
                    <w:snapToGrid w:val="0"/>
                    <w:jc w:val="center"/>
                    <w:rPr>
                      <w:rFonts w:hint="default" w:ascii="Times New Roman" w:hAnsi="Times New Roman" w:eastAsia="宋体" w:cs="Times New Roman"/>
                      <w:color w:val="auto"/>
                      <w:sz w:val="21"/>
                      <w:szCs w:val="21"/>
                      <w:highlight w:val="none"/>
                    </w:rPr>
                  </w:pPr>
                </w:p>
              </w:tc>
              <w:tc>
                <w:tcPr>
                  <w:tcW w:w="706" w:type="dxa"/>
                  <w:tcMar>
                    <w:left w:w="28" w:type="dxa"/>
                    <w:right w:w="28" w:type="dxa"/>
                  </w:tcMar>
                  <w:vAlign w:val="center"/>
                </w:tcPr>
                <w:p w14:paraId="26BEA64B">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1041" w:type="dxa"/>
                  <w:tcMar>
                    <w:left w:w="28" w:type="dxa"/>
                    <w:right w:w="28" w:type="dxa"/>
                  </w:tcMar>
                  <w:vAlign w:val="center"/>
                </w:tcPr>
                <w:p w14:paraId="5E450BE6">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074" w:type="dxa"/>
                  <w:vMerge w:val="continue"/>
                  <w:tcMar>
                    <w:left w:w="28" w:type="dxa"/>
                    <w:right w:w="28" w:type="dxa"/>
                  </w:tcMar>
                  <w:vAlign w:val="center"/>
                </w:tcPr>
                <w:p w14:paraId="2AABC669">
                  <w:pPr>
                    <w:snapToGrid w:val="0"/>
                    <w:jc w:val="center"/>
                    <w:rPr>
                      <w:rFonts w:hint="default" w:ascii="Times New Roman" w:hAnsi="Times New Roman" w:eastAsia="宋体" w:cs="Times New Roman"/>
                      <w:color w:val="auto"/>
                      <w:sz w:val="21"/>
                      <w:szCs w:val="21"/>
                      <w:highlight w:val="none"/>
                    </w:rPr>
                  </w:pPr>
                </w:p>
              </w:tc>
              <w:tc>
                <w:tcPr>
                  <w:tcW w:w="751" w:type="dxa"/>
                  <w:tcMar>
                    <w:left w:w="28" w:type="dxa"/>
                    <w:right w:w="28" w:type="dxa"/>
                  </w:tcMar>
                  <w:vAlign w:val="center"/>
                </w:tcPr>
                <w:p w14:paraId="3B8F2B8D">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940" w:type="dxa"/>
                  <w:tcMar>
                    <w:left w:w="28" w:type="dxa"/>
                    <w:right w:w="28" w:type="dxa"/>
                  </w:tcMar>
                  <w:vAlign w:val="center"/>
                </w:tcPr>
                <w:p w14:paraId="4F0BD46F">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786" w:type="dxa"/>
                  <w:vMerge w:val="continue"/>
                  <w:tcMar>
                    <w:left w:w="28" w:type="dxa"/>
                    <w:right w:w="28" w:type="dxa"/>
                  </w:tcMar>
                  <w:vAlign w:val="center"/>
                </w:tcPr>
                <w:p w14:paraId="0EE3F21D">
                  <w:pPr>
                    <w:snapToGrid w:val="0"/>
                    <w:jc w:val="center"/>
                    <w:rPr>
                      <w:rFonts w:hint="default" w:ascii="Times New Roman" w:hAnsi="Times New Roman" w:eastAsia="宋体" w:cs="Times New Roman"/>
                      <w:color w:val="auto"/>
                      <w:sz w:val="21"/>
                      <w:szCs w:val="21"/>
                      <w:highlight w:val="none"/>
                    </w:rPr>
                  </w:pPr>
                </w:p>
              </w:tc>
              <w:tc>
                <w:tcPr>
                  <w:tcW w:w="1141" w:type="dxa"/>
                  <w:vMerge w:val="continue"/>
                  <w:tcMar>
                    <w:left w:w="28" w:type="dxa"/>
                    <w:right w:w="28" w:type="dxa"/>
                  </w:tcMar>
                  <w:vAlign w:val="center"/>
                </w:tcPr>
                <w:p w14:paraId="2AC3E335">
                  <w:pPr>
                    <w:snapToGrid w:val="0"/>
                    <w:jc w:val="center"/>
                    <w:rPr>
                      <w:rFonts w:hint="default" w:ascii="Times New Roman" w:hAnsi="Times New Roman" w:eastAsia="宋体" w:cs="Times New Roman"/>
                      <w:color w:val="auto"/>
                      <w:sz w:val="21"/>
                      <w:szCs w:val="21"/>
                      <w:highlight w:val="none"/>
                    </w:rPr>
                  </w:pPr>
                </w:p>
              </w:tc>
            </w:tr>
            <w:tr w14:paraId="5B4AB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restart"/>
                  <w:tcMar>
                    <w:left w:w="28" w:type="dxa"/>
                    <w:right w:w="28" w:type="dxa"/>
                  </w:tcMar>
                  <w:vAlign w:val="center"/>
                </w:tcPr>
                <w:p w14:paraId="33871612">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10t/h生物质蒸汽锅炉</w:t>
                  </w:r>
                </w:p>
              </w:tc>
              <w:tc>
                <w:tcPr>
                  <w:tcW w:w="571" w:type="dxa"/>
                  <w:vMerge w:val="restart"/>
                  <w:tcMar>
                    <w:left w:w="28" w:type="dxa"/>
                    <w:right w:w="28" w:type="dxa"/>
                  </w:tcMar>
                  <w:vAlign w:val="center"/>
                </w:tcPr>
                <w:p w14:paraId="6404A9F2">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有组织排放</w:t>
                  </w:r>
                </w:p>
              </w:tc>
              <w:tc>
                <w:tcPr>
                  <w:tcW w:w="717" w:type="dxa"/>
                  <w:tcMar>
                    <w:left w:w="28" w:type="dxa"/>
                    <w:right w:w="28" w:type="dxa"/>
                  </w:tcMar>
                  <w:vAlign w:val="center"/>
                </w:tcPr>
                <w:p w14:paraId="0710698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06" w:type="dxa"/>
                  <w:shd w:val="clear" w:color="auto" w:fill="auto"/>
                  <w:tcMar>
                    <w:left w:w="28" w:type="dxa"/>
                    <w:right w:w="28" w:type="dxa"/>
                  </w:tcMar>
                  <w:vAlign w:val="center"/>
                </w:tcPr>
                <w:p w14:paraId="75775E29">
                  <w:pPr>
                    <w:bidi w:val="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418.0</w:t>
                  </w:r>
                </w:p>
              </w:tc>
              <w:tc>
                <w:tcPr>
                  <w:tcW w:w="1041" w:type="dxa"/>
                  <w:shd w:val="clear" w:color="auto" w:fill="auto"/>
                  <w:tcMar>
                    <w:left w:w="28" w:type="dxa"/>
                    <w:right w:w="28" w:type="dxa"/>
                  </w:tcMar>
                  <w:vAlign w:val="center"/>
                </w:tcPr>
                <w:p w14:paraId="1E1F27AD">
                  <w:pPr>
                    <w:bidi w:val="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lang w:val="en-US" w:eastAsia="zh-CN"/>
                    </w:rPr>
                    <w:t>5.563</w:t>
                  </w:r>
                </w:p>
              </w:tc>
              <w:tc>
                <w:tcPr>
                  <w:tcW w:w="1074" w:type="dxa"/>
                  <w:tcMar>
                    <w:left w:w="28" w:type="dxa"/>
                    <w:right w:w="28" w:type="dxa"/>
                  </w:tcMar>
                  <w:vAlign w:val="center"/>
                </w:tcPr>
                <w:p w14:paraId="7CC9502F">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kern w:val="2"/>
                      <w:sz w:val="21"/>
                      <w:szCs w:val="21"/>
                      <w:highlight w:val="none"/>
                      <w:lang w:val="en-US" w:eastAsia="zh-CN" w:bidi="ar-SA"/>
                    </w:rPr>
                    <w:t>1台旋风除尘器（去除效率为</w:t>
                  </w:r>
                  <w:r>
                    <w:rPr>
                      <w:rFonts w:hint="eastAsia" w:ascii="Times New Roman" w:hAnsi="Times New Roman" w:eastAsia="宋体" w:cs="Times New Roman"/>
                      <w:b w:val="0"/>
                      <w:bCs w:val="0"/>
                      <w:color w:val="auto"/>
                      <w:kern w:val="2"/>
                      <w:sz w:val="21"/>
                      <w:szCs w:val="21"/>
                      <w:highlight w:val="none"/>
                      <w:lang w:val="en-US" w:eastAsia="zh-CN" w:bidi="ar-SA"/>
                    </w:rPr>
                    <w:t>7</w:t>
                  </w:r>
                  <w:r>
                    <w:rPr>
                      <w:rFonts w:hint="default" w:ascii="Times New Roman" w:hAnsi="Times New Roman" w:eastAsia="宋体" w:cs="Times New Roman"/>
                      <w:b w:val="0"/>
                      <w:bCs w:val="0"/>
                      <w:color w:val="auto"/>
                      <w:kern w:val="2"/>
                      <w:sz w:val="21"/>
                      <w:szCs w:val="21"/>
                      <w:highlight w:val="none"/>
                      <w:lang w:val="en-US" w:eastAsia="zh-CN" w:bidi="ar-SA"/>
                    </w:rPr>
                    <w:t>0%）和1台布袋除尘器（去除效率为99</w:t>
                  </w:r>
                  <w:r>
                    <w:rPr>
                      <w:rFonts w:hint="eastAsia" w:ascii="Times New Roman" w:hAnsi="Times New Roman" w:eastAsia="宋体" w:cs="Times New Roman"/>
                      <w:b w:val="0"/>
                      <w:bCs w:val="0"/>
                      <w:color w:val="auto"/>
                      <w:kern w:val="2"/>
                      <w:sz w:val="21"/>
                      <w:szCs w:val="21"/>
                      <w:highlight w:val="none"/>
                      <w:lang w:val="en-US" w:eastAsia="zh-CN" w:bidi="ar-SA"/>
                    </w:rPr>
                    <w:t>.7</w:t>
                  </w:r>
                  <w:r>
                    <w:rPr>
                      <w:rFonts w:hint="default" w:ascii="Times New Roman" w:hAnsi="Times New Roman" w:eastAsia="宋体" w:cs="Times New Roman"/>
                      <w:b w:val="0"/>
                      <w:bCs w:val="0"/>
                      <w:color w:val="auto"/>
                      <w:kern w:val="2"/>
                      <w:sz w:val="21"/>
                      <w:szCs w:val="21"/>
                      <w:highlight w:val="none"/>
                      <w:lang w:val="en-US" w:eastAsia="zh-CN" w:bidi="ar-SA"/>
                    </w:rPr>
                    <w:t>%）</w:t>
                  </w:r>
                </w:p>
              </w:tc>
              <w:tc>
                <w:tcPr>
                  <w:tcW w:w="751" w:type="dxa"/>
                  <w:shd w:val="clear" w:color="auto" w:fill="auto"/>
                  <w:tcMar>
                    <w:left w:w="28" w:type="dxa"/>
                    <w:right w:w="28" w:type="dxa"/>
                  </w:tcMar>
                  <w:vAlign w:val="center"/>
                </w:tcPr>
                <w:p w14:paraId="5F9978D7">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0.4 </w:t>
                  </w:r>
                </w:p>
              </w:tc>
              <w:tc>
                <w:tcPr>
                  <w:tcW w:w="940" w:type="dxa"/>
                  <w:shd w:val="clear" w:color="auto" w:fill="auto"/>
                  <w:tcMar>
                    <w:left w:w="28" w:type="dxa"/>
                    <w:right w:w="28" w:type="dxa"/>
                  </w:tcMar>
                  <w:vAlign w:val="center"/>
                </w:tcPr>
                <w:p w14:paraId="207BC0A8">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0.005</w:t>
                  </w:r>
                </w:p>
              </w:tc>
              <w:tc>
                <w:tcPr>
                  <w:tcW w:w="786" w:type="dxa"/>
                  <w:vMerge w:val="restart"/>
                  <w:tcMar>
                    <w:left w:w="28" w:type="dxa"/>
                    <w:right w:w="28" w:type="dxa"/>
                  </w:tcMar>
                  <w:vAlign w:val="center"/>
                </w:tcPr>
                <w:p w14:paraId="64DC65DE">
                  <w:pPr>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1440</w:t>
                  </w:r>
                </w:p>
              </w:tc>
              <w:tc>
                <w:tcPr>
                  <w:tcW w:w="1141" w:type="dxa"/>
                  <w:vMerge w:val="restart"/>
                  <w:tcMar>
                    <w:left w:w="28" w:type="dxa"/>
                    <w:right w:w="28" w:type="dxa"/>
                  </w:tcMar>
                  <w:vAlign w:val="center"/>
                </w:tcPr>
                <w:p w14:paraId="278900E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《锅炉大气污染物排放标准》（GB13271-2014）表2新建锅炉大气污染物排放浓度限值中燃煤锅炉的排放浓度限值</w:t>
                  </w:r>
                </w:p>
              </w:tc>
            </w:tr>
            <w:tr w14:paraId="2E890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continue"/>
                  <w:tcMar>
                    <w:left w:w="28" w:type="dxa"/>
                    <w:right w:w="28" w:type="dxa"/>
                  </w:tcMar>
                  <w:vAlign w:val="center"/>
                </w:tcPr>
                <w:p w14:paraId="1BA5B635">
                  <w:pPr>
                    <w:jc w:val="center"/>
                    <w:rPr>
                      <w:rFonts w:hint="default" w:ascii="Times New Roman" w:hAnsi="Times New Roman" w:eastAsia="宋体" w:cs="Times New Roman"/>
                      <w:color w:val="auto"/>
                      <w:sz w:val="21"/>
                      <w:szCs w:val="21"/>
                      <w:highlight w:val="none"/>
                    </w:rPr>
                  </w:pPr>
                </w:p>
              </w:tc>
              <w:tc>
                <w:tcPr>
                  <w:tcW w:w="571" w:type="dxa"/>
                  <w:vMerge w:val="continue"/>
                  <w:tcMar>
                    <w:left w:w="28" w:type="dxa"/>
                    <w:right w:w="28" w:type="dxa"/>
                  </w:tcMar>
                  <w:vAlign w:val="center"/>
                </w:tcPr>
                <w:p w14:paraId="1EAFC93A">
                  <w:pPr>
                    <w:snapToGrid w:val="0"/>
                    <w:jc w:val="center"/>
                    <w:rPr>
                      <w:rFonts w:hint="default" w:ascii="Times New Roman" w:hAnsi="Times New Roman" w:eastAsia="宋体" w:cs="Times New Roman"/>
                      <w:color w:val="auto"/>
                      <w:sz w:val="21"/>
                      <w:szCs w:val="21"/>
                      <w:highlight w:val="none"/>
                    </w:rPr>
                  </w:pPr>
                </w:p>
              </w:tc>
              <w:tc>
                <w:tcPr>
                  <w:tcW w:w="717" w:type="dxa"/>
                  <w:tcMar>
                    <w:left w:w="28" w:type="dxa"/>
                    <w:right w:w="28" w:type="dxa"/>
                  </w:tcMar>
                  <w:vAlign w:val="center"/>
                </w:tcPr>
                <w:p w14:paraId="2F1CB433">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706" w:type="dxa"/>
                  <w:shd w:val="clear" w:color="auto" w:fill="auto"/>
                  <w:tcMar>
                    <w:left w:w="28" w:type="dxa"/>
                    <w:right w:w="28" w:type="dxa"/>
                  </w:tcMar>
                  <w:vAlign w:val="center"/>
                </w:tcPr>
                <w:p w14:paraId="3CF96770">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153.9 </w:t>
                  </w:r>
                </w:p>
              </w:tc>
              <w:tc>
                <w:tcPr>
                  <w:tcW w:w="1041" w:type="dxa"/>
                  <w:shd w:val="clear" w:color="auto" w:fill="auto"/>
                  <w:tcMar>
                    <w:left w:w="28" w:type="dxa"/>
                    <w:right w:w="28" w:type="dxa"/>
                  </w:tcMar>
                  <w:vAlign w:val="center"/>
                </w:tcPr>
                <w:p w14:paraId="18B5860E">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2.047</w:t>
                  </w:r>
                </w:p>
              </w:tc>
              <w:tc>
                <w:tcPr>
                  <w:tcW w:w="1074" w:type="dxa"/>
                  <w:tcMar>
                    <w:left w:w="28" w:type="dxa"/>
                    <w:right w:w="28" w:type="dxa"/>
                  </w:tcMar>
                  <w:vAlign w:val="center"/>
                </w:tcPr>
                <w:p w14:paraId="252C03E2">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1" w:type="dxa"/>
                  <w:shd w:val="clear" w:color="auto" w:fill="auto"/>
                  <w:tcMar>
                    <w:left w:w="28" w:type="dxa"/>
                    <w:right w:w="28" w:type="dxa"/>
                  </w:tcMar>
                  <w:vAlign w:val="center"/>
                </w:tcPr>
                <w:p w14:paraId="3F77F30D">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153.9 </w:t>
                  </w:r>
                </w:p>
              </w:tc>
              <w:tc>
                <w:tcPr>
                  <w:tcW w:w="940" w:type="dxa"/>
                  <w:shd w:val="clear" w:color="auto" w:fill="auto"/>
                  <w:tcMar>
                    <w:left w:w="28" w:type="dxa"/>
                    <w:right w:w="28" w:type="dxa"/>
                  </w:tcMar>
                  <w:vAlign w:val="center"/>
                </w:tcPr>
                <w:p w14:paraId="0ED8EA5C">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2.047</w:t>
                  </w:r>
                </w:p>
              </w:tc>
              <w:tc>
                <w:tcPr>
                  <w:tcW w:w="786" w:type="dxa"/>
                  <w:vMerge w:val="continue"/>
                  <w:tcMar>
                    <w:left w:w="28" w:type="dxa"/>
                    <w:right w:w="28" w:type="dxa"/>
                  </w:tcMar>
                  <w:vAlign w:val="center"/>
                </w:tcPr>
                <w:p w14:paraId="43E8DEC5">
                  <w:pPr>
                    <w:snapToGrid w:val="0"/>
                    <w:jc w:val="center"/>
                    <w:rPr>
                      <w:rFonts w:hint="default" w:ascii="Times New Roman" w:hAnsi="Times New Roman" w:eastAsia="宋体" w:cs="Times New Roman"/>
                      <w:color w:val="auto"/>
                      <w:sz w:val="21"/>
                      <w:szCs w:val="21"/>
                      <w:highlight w:val="none"/>
                    </w:rPr>
                  </w:pPr>
                </w:p>
              </w:tc>
              <w:tc>
                <w:tcPr>
                  <w:tcW w:w="1141" w:type="dxa"/>
                  <w:vMerge w:val="continue"/>
                  <w:tcMar>
                    <w:left w:w="28" w:type="dxa"/>
                    <w:right w:w="28" w:type="dxa"/>
                  </w:tcMar>
                  <w:vAlign w:val="center"/>
                </w:tcPr>
                <w:p w14:paraId="3B2462CE">
                  <w:pPr>
                    <w:jc w:val="center"/>
                    <w:rPr>
                      <w:rFonts w:hint="default" w:ascii="Times New Roman" w:hAnsi="Times New Roman" w:eastAsia="宋体" w:cs="Times New Roman"/>
                      <w:color w:val="auto"/>
                      <w:sz w:val="21"/>
                      <w:szCs w:val="21"/>
                      <w:highlight w:val="none"/>
                    </w:rPr>
                  </w:pPr>
                </w:p>
              </w:tc>
            </w:tr>
            <w:tr w14:paraId="471D7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continue"/>
                  <w:tcMar>
                    <w:left w:w="28" w:type="dxa"/>
                    <w:right w:w="28" w:type="dxa"/>
                  </w:tcMar>
                  <w:vAlign w:val="center"/>
                </w:tcPr>
                <w:p w14:paraId="0A62BAF4">
                  <w:pPr>
                    <w:jc w:val="center"/>
                    <w:rPr>
                      <w:rFonts w:hint="default" w:ascii="Times New Roman" w:hAnsi="Times New Roman" w:eastAsia="宋体" w:cs="Times New Roman"/>
                      <w:color w:val="auto"/>
                      <w:sz w:val="21"/>
                      <w:szCs w:val="21"/>
                      <w:highlight w:val="none"/>
                    </w:rPr>
                  </w:pPr>
                </w:p>
              </w:tc>
              <w:tc>
                <w:tcPr>
                  <w:tcW w:w="571" w:type="dxa"/>
                  <w:vMerge w:val="continue"/>
                  <w:tcMar>
                    <w:left w:w="28" w:type="dxa"/>
                    <w:right w:w="28" w:type="dxa"/>
                  </w:tcMar>
                  <w:vAlign w:val="center"/>
                </w:tcPr>
                <w:p w14:paraId="4318939D">
                  <w:pPr>
                    <w:snapToGrid w:val="0"/>
                    <w:jc w:val="center"/>
                    <w:rPr>
                      <w:rFonts w:hint="default" w:ascii="Times New Roman" w:hAnsi="Times New Roman" w:eastAsia="宋体" w:cs="Times New Roman"/>
                      <w:color w:val="auto"/>
                      <w:sz w:val="21"/>
                      <w:szCs w:val="21"/>
                      <w:highlight w:val="none"/>
                    </w:rPr>
                  </w:pPr>
                </w:p>
              </w:tc>
              <w:tc>
                <w:tcPr>
                  <w:tcW w:w="717" w:type="dxa"/>
                  <w:tcMar>
                    <w:left w:w="28" w:type="dxa"/>
                    <w:right w:w="28" w:type="dxa"/>
                  </w:tcMar>
                  <w:vAlign w:val="center"/>
                </w:tcPr>
                <w:p w14:paraId="047F224F">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706" w:type="dxa"/>
                  <w:shd w:val="clear" w:color="auto" w:fill="auto"/>
                  <w:tcMar>
                    <w:left w:w="28" w:type="dxa"/>
                    <w:right w:w="28" w:type="dxa"/>
                  </w:tcMar>
                  <w:vAlign w:val="center"/>
                </w:tcPr>
                <w:p w14:paraId="13575E13">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163.4 </w:t>
                  </w:r>
                </w:p>
              </w:tc>
              <w:tc>
                <w:tcPr>
                  <w:tcW w:w="1041" w:type="dxa"/>
                  <w:shd w:val="clear" w:color="auto" w:fill="auto"/>
                  <w:tcMar>
                    <w:left w:w="28" w:type="dxa"/>
                    <w:right w:w="28" w:type="dxa"/>
                  </w:tcMar>
                  <w:vAlign w:val="center"/>
                </w:tcPr>
                <w:p w14:paraId="2DDDF0B0">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2.175</w:t>
                  </w:r>
                </w:p>
              </w:tc>
              <w:tc>
                <w:tcPr>
                  <w:tcW w:w="1074" w:type="dxa"/>
                  <w:tcMar>
                    <w:left w:w="28" w:type="dxa"/>
                    <w:right w:w="28" w:type="dxa"/>
                  </w:tcMar>
                  <w:vAlign w:val="center"/>
                </w:tcPr>
                <w:p w14:paraId="4C97D869">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1" w:type="dxa"/>
                  <w:shd w:val="clear" w:color="auto" w:fill="auto"/>
                  <w:tcMar>
                    <w:left w:w="28" w:type="dxa"/>
                    <w:right w:w="28" w:type="dxa"/>
                  </w:tcMar>
                  <w:vAlign w:val="center"/>
                </w:tcPr>
                <w:p w14:paraId="09B5FCF5">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 xml:space="preserve">163.4 </w:t>
                  </w:r>
                </w:p>
              </w:tc>
              <w:tc>
                <w:tcPr>
                  <w:tcW w:w="940" w:type="dxa"/>
                  <w:shd w:val="clear" w:color="auto" w:fill="auto"/>
                  <w:tcMar>
                    <w:left w:w="28" w:type="dxa"/>
                    <w:right w:w="28" w:type="dxa"/>
                  </w:tcMar>
                  <w:vAlign w:val="center"/>
                </w:tcPr>
                <w:p w14:paraId="7E5144CE">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2.175</w:t>
                  </w:r>
                </w:p>
              </w:tc>
              <w:tc>
                <w:tcPr>
                  <w:tcW w:w="786" w:type="dxa"/>
                  <w:vMerge w:val="continue"/>
                  <w:tcMar>
                    <w:left w:w="28" w:type="dxa"/>
                    <w:right w:w="28" w:type="dxa"/>
                  </w:tcMar>
                  <w:vAlign w:val="center"/>
                </w:tcPr>
                <w:p w14:paraId="7AEFE22D">
                  <w:pPr>
                    <w:snapToGrid w:val="0"/>
                    <w:jc w:val="center"/>
                    <w:rPr>
                      <w:rFonts w:hint="default" w:ascii="Times New Roman" w:hAnsi="Times New Roman" w:eastAsia="宋体" w:cs="Times New Roman"/>
                      <w:color w:val="auto"/>
                      <w:sz w:val="21"/>
                      <w:szCs w:val="21"/>
                      <w:highlight w:val="none"/>
                    </w:rPr>
                  </w:pPr>
                </w:p>
              </w:tc>
              <w:tc>
                <w:tcPr>
                  <w:tcW w:w="1141" w:type="dxa"/>
                  <w:vMerge w:val="continue"/>
                  <w:tcMar>
                    <w:left w:w="28" w:type="dxa"/>
                    <w:right w:w="28" w:type="dxa"/>
                  </w:tcMar>
                  <w:vAlign w:val="center"/>
                </w:tcPr>
                <w:p w14:paraId="2DB7DA19">
                  <w:pPr>
                    <w:jc w:val="center"/>
                    <w:rPr>
                      <w:rFonts w:hint="default" w:ascii="Times New Roman" w:hAnsi="Times New Roman" w:eastAsia="宋体" w:cs="Times New Roman"/>
                      <w:color w:val="auto"/>
                      <w:sz w:val="21"/>
                      <w:szCs w:val="21"/>
                      <w:highlight w:val="none"/>
                    </w:rPr>
                  </w:pPr>
                </w:p>
              </w:tc>
            </w:tr>
            <w:tr w14:paraId="4E526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vMerge w:val="continue"/>
                  <w:tcMar>
                    <w:left w:w="28" w:type="dxa"/>
                    <w:right w:w="28" w:type="dxa"/>
                  </w:tcMar>
                  <w:vAlign w:val="center"/>
                </w:tcPr>
                <w:p w14:paraId="40869EDF">
                  <w:pPr>
                    <w:jc w:val="center"/>
                    <w:rPr>
                      <w:rFonts w:hint="default" w:ascii="Times New Roman" w:hAnsi="Times New Roman" w:eastAsia="宋体" w:cs="Times New Roman"/>
                      <w:color w:val="auto"/>
                      <w:sz w:val="21"/>
                      <w:szCs w:val="21"/>
                      <w:highlight w:val="none"/>
                    </w:rPr>
                  </w:pPr>
                </w:p>
              </w:tc>
              <w:tc>
                <w:tcPr>
                  <w:tcW w:w="571" w:type="dxa"/>
                  <w:vMerge w:val="continue"/>
                  <w:tcMar>
                    <w:left w:w="28" w:type="dxa"/>
                    <w:right w:w="28" w:type="dxa"/>
                  </w:tcMar>
                  <w:vAlign w:val="center"/>
                </w:tcPr>
                <w:p w14:paraId="44582960">
                  <w:pPr>
                    <w:snapToGrid w:val="0"/>
                    <w:jc w:val="center"/>
                    <w:rPr>
                      <w:rFonts w:hint="default" w:ascii="Times New Roman" w:hAnsi="Times New Roman" w:eastAsia="宋体" w:cs="Times New Roman"/>
                      <w:color w:val="auto"/>
                      <w:sz w:val="21"/>
                      <w:szCs w:val="21"/>
                      <w:highlight w:val="none"/>
                    </w:rPr>
                  </w:pPr>
                </w:p>
              </w:tc>
              <w:tc>
                <w:tcPr>
                  <w:tcW w:w="717" w:type="dxa"/>
                  <w:tcMar>
                    <w:left w:w="28" w:type="dxa"/>
                    <w:right w:w="28" w:type="dxa"/>
                  </w:tcMar>
                  <w:vAlign w:val="center"/>
                </w:tcPr>
                <w:p w14:paraId="6A42805D">
                  <w:pPr>
                    <w:bidi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汞及其化合物</w:t>
                  </w:r>
                </w:p>
              </w:tc>
              <w:tc>
                <w:tcPr>
                  <w:tcW w:w="706" w:type="dxa"/>
                  <w:shd w:val="clear" w:color="auto" w:fill="auto"/>
                  <w:tcMar>
                    <w:left w:w="28" w:type="dxa"/>
                    <w:right w:w="28" w:type="dxa"/>
                  </w:tcMar>
                  <w:vAlign w:val="center"/>
                </w:tcPr>
                <w:p w14:paraId="39664F06">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0.0018</w:t>
                  </w:r>
                </w:p>
              </w:tc>
              <w:tc>
                <w:tcPr>
                  <w:tcW w:w="1041" w:type="dxa"/>
                  <w:shd w:val="clear" w:color="auto" w:fill="auto"/>
                  <w:tcMar>
                    <w:left w:w="28" w:type="dxa"/>
                    <w:right w:w="28" w:type="dxa"/>
                  </w:tcMar>
                  <w:vAlign w:val="center"/>
                </w:tcPr>
                <w:p w14:paraId="06258E5E">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0.000025</w:t>
                  </w:r>
                </w:p>
              </w:tc>
              <w:tc>
                <w:tcPr>
                  <w:tcW w:w="1074" w:type="dxa"/>
                  <w:tcMar>
                    <w:left w:w="28" w:type="dxa"/>
                    <w:right w:w="28" w:type="dxa"/>
                  </w:tcMar>
                  <w:vAlign w:val="center"/>
                </w:tcPr>
                <w:p w14:paraId="39693F7F">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（去除效率为</w:t>
                  </w:r>
                  <w:r>
                    <w:rPr>
                      <w:rFonts w:hint="default" w:ascii="Times New Roman" w:hAnsi="Times New Roman" w:eastAsia="宋体" w:cs="Times New Roman"/>
                      <w:color w:val="auto"/>
                      <w:sz w:val="21"/>
                      <w:szCs w:val="21"/>
                      <w:highlight w:val="none"/>
                      <w:lang w:val="en-US" w:eastAsia="zh-CN"/>
                    </w:rPr>
                    <w:t>30</w:t>
                  </w:r>
                  <w:r>
                    <w:rPr>
                      <w:rFonts w:hint="default" w:ascii="Times New Roman" w:hAnsi="Times New Roman" w:eastAsia="宋体" w:cs="Times New Roman"/>
                      <w:color w:val="auto"/>
                      <w:sz w:val="21"/>
                      <w:szCs w:val="21"/>
                      <w:highlight w:val="none"/>
                      <w:lang w:eastAsia="zh-CN"/>
                    </w:rPr>
                    <w:t>%）</w:t>
                  </w:r>
                </w:p>
              </w:tc>
              <w:tc>
                <w:tcPr>
                  <w:tcW w:w="751" w:type="dxa"/>
                  <w:shd w:val="clear" w:color="auto" w:fill="auto"/>
                  <w:tcMar>
                    <w:left w:w="28" w:type="dxa"/>
                    <w:right w:w="28" w:type="dxa"/>
                  </w:tcMar>
                  <w:vAlign w:val="center"/>
                </w:tcPr>
                <w:p w14:paraId="09161768">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0.0014</w:t>
                  </w:r>
                </w:p>
              </w:tc>
              <w:tc>
                <w:tcPr>
                  <w:tcW w:w="940" w:type="dxa"/>
                  <w:shd w:val="clear" w:color="auto" w:fill="auto"/>
                  <w:tcMar>
                    <w:left w:w="28" w:type="dxa"/>
                    <w:right w:w="28" w:type="dxa"/>
                  </w:tcMar>
                  <w:vAlign w:val="center"/>
                </w:tcPr>
                <w:p w14:paraId="0833809C">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0.000018</w:t>
                  </w:r>
                </w:p>
              </w:tc>
              <w:tc>
                <w:tcPr>
                  <w:tcW w:w="786" w:type="dxa"/>
                  <w:vMerge w:val="continue"/>
                  <w:tcMar>
                    <w:left w:w="28" w:type="dxa"/>
                    <w:right w:w="28" w:type="dxa"/>
                  </w:tcMar>
                  <w:vAlign w:val="center"/>
                </w:tcPr>
                <w:p w14:paraId="09EEFC79">
                  <w:pPr>
                    <w:snapToGrid w:val="0"/>
                    <w:jc w:val="center"/>
                    <w:rPr>
                      <w:rFonts w:hint="default" w:ascii="Times New Roman" w:hAnsi="Times New Roman" w:eastAsia="宋体" w:cs="Times New Roman"/>
                      <w:color w:val="auto"/>
                      <w:sz w:val="21"/>
                      <w:szCs w:val="21"/>
                      <w:highlight w:val="none"/>
                    </w:rPr>
                  </w:pPr>
                </w:p>
              </w:tc>
              <w:tc>
                <w:tcPr>
                  <w:tcW w:w="1141" w:type="dxa"/>
                  <w:vMerge w:val="continue"/>
                  <w:tcMar>
                    <w:left w:w="28" w:type="dxa"/>
                    <w:right w:w="28" w:type="dxa"/>
                  </w:tcMar>
                  <w:vAlign w:val="center"/>
                </w:tcPr>
                <w:p w14:paraId="61B266F6">
                  <w:pPr>
                    <w:jc w:val="center"/>
                    <w:rPr>
                      <w:rFonts w:hint="default" w:ascii="Times New Roman" w:hAnsi="Times New Roman" w:eastAsia="宋体" w:cs="Times New Roman"/>
                      <w:color w:val="auto"/>
                      <w:sz w:val="21"/>
                      <w:szCs w:val="21"/>
                      <w:highlight w:val="none"/>
                    </w:rPr>
                  </w:pPr>
                </w:p>
              </w:tc>
            </w:tr>
            <w:tr w14:paraId="1F973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0" w:type="dxa"/>
                  <w:tcMar>
                    <w:left w:w="28" w:type="dxa"/>
                    <w:right w:w="28" w:type="dxa"/>
                  </w:tcMar>
                  <w:vAlign w:val="center"/>
                </w:tcPr>
                <w:p w14:paraId="2D72B8C5">
                  <w:pPr>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灰渣库</w:t>
                  </w:r>
                </w:p>
              </w:tc>
              <w:tc>
                <w:tcPr>
                  <w:tcW w:w="571" w:type="dxa"/>
                  <w:tcMar>
                    <w:left w:w="28" w:type="dxa"/>
                    <w:right w:w="28" w:type="dxa"/>
                  </w:tcMar>
                  <w:vAlign w:val="center"/>
                </w:tcPr>
                <w:p w14:paraId="3C05320A">
                  <w:pPr>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无组织排放</w:t>
                  </w:r>
                </w:p>
              </w:tc>
              <w:tc>
                <w:tcPr>
                  <w:tcW w:w="717" w:type="dxa"/>
                  <w:tcMar>
                    <w:left w:w="28" w:type="dxa"/>
                    <w:right w:w="28" w:type="dxa"/>
                  </w:tcMar>
                  <w:vAlign w:val="center"/>
                </w:tcPr>
                <w:p w14:paraId="7AF5C08A">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颗粒物</w:t>
                  </w:r>
                </w:p>
              </w:tc>
              <w:tc>
                <w:tcPr>
                  <w:tcW w:w="706" w:type="dxa"/>
                  <w:tcMar>
                    <w:left w:w="28" w:type="dxa"/>
                    <w:right w:w="28" w:type="dxa"/>
                  </w:tcMar>
                  <w:vAlign w:val="center"/>
                </w:tcPr>
                <w:p w14:paraId="21F0245D">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w:t>
                  </w:r>
                </w:p>
              </w:tc>
              <w:tc>
                <w:tcPr>
                  <w:tcW w:w="1041" w:type="dxa"/>
                  <w:tcMar>
                    <w:left w:w="28" w:type="dxa"/>
                    <w:right w:w="28" w:type="dxa"/>
                  </w:tcMar>
                  <w:vAlign w:val="center"/>
                </w:tcPr>
                <w:p w14:paraId="5DDFDF89">
                  <w:pPr>
                    <w:bidi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highlight w:val="none"/>
                    </w:rPr>
                    <w:t>0.0</w:t>
                  </w:r>
                  <w:r>
                    <w:rPr>
                      <w:rFonts w:hint="default" w:ascii="Times New Roman" w:hAnsi="Times New Roman" w:eastAsia="宋体" w:cs="Times New Roman"/>
                      <w:color w:val="auto"/>
                      <w:highlight w:val="none"/>
                      <w:lang w:val="en-US" w:eastAsia="zh-CN"/>
                    </w:rPr>
                    <w:t>02</w:t>
                  </w:r>
                </w:p>
              </w:tc>
              <w:tc>
                <w:tcPr>
                  <w:tcW w:w="1074" w:type="dxa"/>
                  <w:tcMar>
                    <w:left w:w="28" w:type="dxa"/>
                    <w:right w:w="28" w:type="dxa"/>
                  </w:tcMar>
                  <w:vAlign w:val="center"/>
                </w:tcPr>
                <w:p w14:paraId="4242118E">
                  <w:pPr>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全封闭灰渣库</w:t>
                  </w:r>
                </w:p>
              </w:tc>
              <w:tc>
                <w:tcPr>
                  <w:tcW w:w="751" w:type="dxa"/>
                  <w:tcMar>
                    <w:left w:w="28" w:type="dxa"/>
                    <w:right w:w="28" w:type="dxa"/>
                  </w:tcMar>
                  <w:vAlign w:val="center"/>
                </w:tcPr>
                <w:p w14:paraId="0588A62D">
                  <w:pPr>
                    <w:bidi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w:t>
                  </w:r>
                </w:p>
              </w:tc>
              <w:tc>
                <w:tcPr>
                  <w:tcW w:w="940" w:type="dxa"/>
                  <w:tcMar>
                    <w:left w:w="28" w:type="dxa"/>
                    <w:right w:w="28" w:type="dxa"/>
                  </w:tcMar>
                  <w:vAlign w:val="center"/>
                </w:tcPr>
                <w:p w14:paraId="5519F3AB">
                  <w:pPr>
                    <w:bidi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highlight w:val="none"/>
                    </w:rPr>
                    <w:t>0.00</w:t>
                  </w:r>
                  <w:r>
                    <w:rPr>
                      <w:rFonts w:hint="default" w:ascii="Times New Roman" w:hAnsi="Times New Roman" w:eastAsia="宋体" w:cs="Times New Roman"/>
                      <w:color w:val="auto"/>
                      <w:highlight w:val="none"/>
                      <w:lang w:val="en-US" w:eastAsia="zh-CN"/>
                    </w:rPr>
                    <w:t>1</w:t>
                  </w:r>
                </w:p>
              </w:tc>
              <w:tc>
                <w:tcPr>
                  <w:tcW w:w="786" w:type="dxa"/>
                  <w:tcMar>
                    <w:left w:w="28" w:type="dxa"/>
                    <w:right w:w="28" w:type="dxa"/>
                  </w:tcMar>
                  <w:vAlign w:val="center"/>
                </w:tcPr>
                <w:p w14:paraId="36DFE59A">
                  <w:pPr>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90</w:t>
                  </w:r>
                </w:p>
              </w:tc>
              <w:tc>
                <w:tcPr>
                  <w:tcW w:w="1141" w:type="dxa"/>
                  <w:tcMar>
                    <w:left w:w="28" w:type="dxa"/>
                    <w:right w:w="28" w:type="dxa"/>
                  </w:tcMar>
                  <w:vAlign w:val="center"/>
                </w:tcPr>
                <w:p w14:paraId="692E1AF4">
                  <w:pPr>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《大气污染物综合排放标准》（GB16297-1996）表2新污染源大气污染物排放限值中“无组织排放监控浓度限值”1.0mg/m</w:t>
                  </w:r>
                  <w:r>
                    <w:rPr>
                      <w:rFonts w:hint="default" w:ascii="Times New Roman" w:hAnsi="Times New Roman" w:eastAsia="宋体" w:cs="Times New Roman"/>
                      <w:color w:val="auto"/>
                      <w:szCs w:val="21"/>
                      <w:highlight w:val="none"/>
                      <w:vertAlign w:val="superscript"/>
                    </w:rPr>
                    <w:t>3</w:t>
                  </w:r>
                </w:p>
              </w:tc>
            </w:tr>
          </w:tbl>
          <w:p w14:paraId="38D84308">
            <w:pPr>
              <w:keepNext w:val="0"/>
              <w:keepLines w:val="0"/>
              <w:pageBreakBefore w:val="0"/>
              <w:widowControl w:val="0"/>
              <w:kinsoku/>
              <w:wordWrap/>
              <w:overflowPunct/>
              <w:topLinePunct w:val="0"/>
              <w:autoSpaceDE/>
              <w:autoSpaceDN/>
              <w:bidi w:val="0"/>
              <w:adjustRightInd/>
              <w:snapToGrid/>
              <w:spacing w:before="0" w:after="0" w:line="360" w:lineRule="auto"/>
              <w:ind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表4-3  有组织排放口情况</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798"/>
              <w:gridCol w:w="1262"/>
              <w:gridCol w:w="1008"/>
              <w:gridCol w:w="1286"/>
              <w:gridCol w:w="2639"/>
            </w:tblGrid>
            <w:tr w14:paraId="720AC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tcBorders>
                    <w:tl2br w:val="nil"/>
                    <w:tr2bl w:val="nil"/>
                  </w:tcBorders>
                  <w:noWrap w:val="0"/>
                  <w:vAlign w:val="center"/>
                </w:tcPr>
                <w:p w14:paraId="4DCED377">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编号及名称</w:t>
                  </w:r>
                </w:p>
              </w:tc>
              <w:tc>
                <w:tcPr>
                  <w:tcW w:w="486" w:type="pct"/>
                  <w:tcBorders>
                    <w:tl2br w:val="nil"/>
                    <w:tr2bl w:val="nil"/>
                  </w:tcBorders>
                  <w:noWrap w:val="0"/>
                  <w:vAlign w:val="center"/>
                </w:tcPr>
                <w:p w14:paraId="490B6457">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高度m</w:t>
                  </w:r>
                </w:p>
              </w:tc>
              <w:tc>
                <w:tcPr>
                  <w:tcW w:w="768" w:type="pct"/>
                  <w:tcBorders>
                    <w:tl2br w:val="nil"/>
                    <w:tr2bl w:val="nil"/>
                  </w:tcBorders>
                  <w:noWrap w:val="0"/>
                  <w:vAlign w:val="center"/>
                </w:tcPr>
                <w:p w14:paraId="780E7471">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排气筒内径m</w:t>
                  </w:r>
                </w:p>
              </w:tc>
              <w:tc>
                <w:tcPr>
                  <w:tcW w:w="614" w:type="pct"/>
                  <w:tcBorders>
                    <w:tl2br w:val="nil"/>
                    <w:tr2bl w:val="nil"/>
                  </w:tcBorders>
                  <w:noWrap w:val="0"/>
                  <w:vAlign w:val="center"/>
                </w:tcPr>
                <w:p w14:paraId="386A5A96">
                  <w:pPr>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温度℃</w:t>
                  </w:r>
                </w:p>
              </w:tc>
              <w:tc>
                <w:tcPr>
                  <w:tcW w:w="783" w:type="pct"/>
                  <w:tcBorders>
                    <w:tl2br w:val="nil"/>
                    <w:tr2bl w:val="nil"/>
                  </w:tcBorders>
                  <w:noWrap w:val="0"/>
                  <w:vAlign w:val="center"/>
                </w:tcPr>
                <w:p w14:paraId="1F23099C">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排放口类型</w:t>
                  </w:r>
                </w:p>
              </w:tc>
              <w:tc>
                <w:tcPr>
                  <w:tcW w:w="1607" w:type="pct"/>
                  <w:tcBorders>
                    <w:tl2br w:val="nil"/>
                    <w:tr2bl w:val="nil"/>
                  </w:tcBorders>
                  <w:noWrap w:val="0"/>
                  <w:vAlign w:val="center"/>
                </w:tcPr>
                <w:p w14:paraId="4CB6ED34">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坐标</w:t>
                  </w:r>
                </w:p>
              </w:tc>
            </w:tr>
            <w:tr w14:paraId="1568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pct"/>
                  <w:tcBorders>
                    <w:tl2br w:val="nil"/>
                    <w:tr2bl w:val="nil"/>
                  </w:tcBorders>
                  <w:noWrap w:val="0"/>
                  <w:vAlign w:val="center"/>
                </w:tcPr>
                <w:p w14:paraId="5BDDDC30">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DA010</w:t>
                  </w:r>
                </w:p>
              </w:tc>
              <w:tc>
                <w:tcPr>
                  <w:tcW w:w="486" w:type="pct"/>
                  <w:tcBorders>
                    <w:tl2br w:val="nil"/>
                    <w:tr2bl w:val="nil"/>
                  </w:tcBorders>
                  <w:noWrap w:val="0"/>
                  <w:vAlign w:val="center"/>
                </w:tcPr>
                <w:p w14:paraId="6FE3F265">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768" w:type="pct"/>
                  <w:tcBorders>
                    <w:tl2br w:val="nil"/>
                    <w:tr2bl w:val="nil"/>
                  </w:tcBorders>
                  <w:noWrap w:val="0"/>
                  <w:vAlign w:val="center"/>
                </w:tcPr>
                <w:p w14:paraId="2100DEF6">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c>
                <w:tcPr>
                  <w:tcW w:w="614" w:type="pct"/>
                  <w:tcBorders>
                    <w:tl2br w:val="nil"/>
                    <w:tr2bl w:val="nil"/>
                  </w:tcBorders>
                  <w:noWrap w:val="0"/>
                  <w:vAlign w:val="center"/>
                </w:tcPr>
                <w:p w14:paraId="161AEBE2">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783" w:type="pct"/>
                  <w:tcBorders>
                    <w:tl2br w:val="nil"/>
                    <w:tr2bl w:val="nil"/>
                  </w:tcBorders>
                  <w:noWrap w:val="0"/>
                  <w:vAlign w:val="center"/>
                </w:tcPr>
                <w:p w14:paraId="119CECBF">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一般排放口</w:t>
                  </w:r>
                </w:p>
              </w:tc>
              <w:tc>
                <w:tcPr>
                  <w:tcW w:w="1607" w:type="pct"/>
                  <w:tcBorders>
                    <w:tl2br w:val="nil"/>
                    <w:tr2bl w:val="nil"/>
                  </w:tcBorders>
                  <w:noWrap w:val="0"/>
                  <w:vAlign w:val="center"/>
                </w:tcPr>
                <w:p w14:paraId="6A2A5AE4">
                  <w:pPr>
                    <w:pStyle w:val="11"/>
                    <w:keepNext w:val="0"/>
                    <w:keepLines w:val="0"/>
                    <w:pageBreakBefore w:val="0"/>
                    <w:widowControl w:val="0"/>
                    <w:kinsoku/>
                    <w:wordWrap/>
                    <w:overflowPunct/>
                    <w:topLinePunct w:val="0"/>
                    <w:autoSpaceDE/>
                    <w:autoSpaceDN/>
                    <w:bidi w:val="0"/>
                    <w:adjustRightInd/>
                    <w:spacing w:before="0" w:beforeLines="0"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E107.00114°、N40.37687°</w:t>
                  </w:r>
                </w:p>
              </w:tc>
            </w:tr>
          </w:tbl>
          <w:p w14:paraId="612347ED">
            <w:pPr>
              <w:widowControl w:val="0"/>
              <w:snapToGrid/>
              <w:spacing w:line="360" w:lineRule="auto"/>
              <w:ind w:firstLine="482"/>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1.2</w:t>
            </w:r>
            <w:r>
              <w:rPr>
                <w:rFonts w:hint="default" w:ascii="Times New Roman" w:hAnsi="Times New Roman" w:eastAsia="宋体" w:cs="Times New Roman"/>
                <w:b/>
                <w:bCs/>
                <w:color w:val="auto"/>
                <w:sz w:val="24"/>
                <w:szCs w:val="24"/>
                <w:highlight w:val="none"/>
                <w:lang w:val="en-US" w:eastAsia="zh-CN"/>
              </w:rPr>
              <w:t>污染防治可行技术要求</w:t>
            </w:r>
          </w:p>
          <w:p w14:paraId="35353891">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default" w:ascii="Times New Roman" w:hAnsi="Times New Roman" w:eastAsia="宋体" w:cs="Times New Roman"/>
                <w:b/>
                <w:bCs/>
                <w:color w:val="auto"/>
                <w:sz w:val="24"/>
                <w:highlight w:val="none"/>
                <w:lang w:val="en-US" w:eastAsia="zh-CN"/>
              </w:rPr>
              <w:t>4  锅炉烟气</w:t>
            </w:r>
            <w:r>
              <w:rPr>
                <w:rFonts w:hint="default" w:ascii="Times New Roman" w:hAnsi="Times New Roman" w:eastAsia="宋体" w:cs="Times New Roman"/>
                <w:b/>
                <w:bCs/>
                <w:color w:val="auto"/>
                <w:sz w:val="24"/>
                <w:highlight w:val="none"/>
              </w:rPr>
              <w:t>污染防治可行技术参考表</w:t>
            </w:r>
          </w:p>
          <w:tbl>
            <w:tblPr>
              <w:tblStyle w:val="26"/>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940"/>
              <w:gridCol w:w="1372"/>
            </w:tblGrid>
            <w:tr w14:paraId="64735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65" w:type="dxa"/>
                  <w:gridSpan w:val="3"/>
                  <w:vAlign w:val="center"/>
                </w:tcPr>
                <w:p w14:paraId="1FF31A19">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《排污许可证申请与核发技术规范锅炉》（HJ953-2018</w:t>
                  </w:r>
                  <w:r>
                    <w:rPr>
                      <w:rFonts w:hint="default" w:ascii="Times New Roman" w:hAnsi="Times New Roman" w:eastAsia="宋体" w:cs="Times New Roman"/>
                      <w:b/>
                      <w:bCs/>
                      <w:color w:val="auto"/>
                      <w:szCs w:val="21"/>
                      <w:highlight w:val="none"/>
                      <w:lang w:eastAsia="zh-CN"/>
                    </w:rPr>
                    <w:t>）</w:t>
                  </w:r>
                  <w:r>
                    <w:rPr>
                      <w:rFonts w:hint="default" w:ascii="Times New Roman" w:hAnsi="Times New Roman" w:eastAsia="宋体" w:cs="Times New Roman"/>
                      <w:b/>
                      <w:bCs/>
                      <w:color w:val="auto"/>
                      <w:szCs w:val="21"/>
                      <w:highlight w:val="none"/>
                    </w:rPr>
                    <w:t>要求</w:t>
                  </w:r>
                </w:p>
              </w:tc>
              <w:tc>
                <w:tcPr>
                  <w:tcW w:w="3312" w:type="dxa"/>
                  <w:gridSpan w:val="2"/>
                  <w:vAlign w:val="center"/>
                </w:tcPr>
                <w:p w14:paraId="3FE7E85D">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本项目设计情况</w:t>
                  </w:r>
                </w:p>
              </w:tc>
            </w:tr>
            <w:tr w14:paraId="48A63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4" w:type="dxa"/>
                  <w:vAlign w:val="center"/>
                </w:tcPr>
                <w:p w14:paraId="50B8670B">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炉型</w:t>
                  </w:r>
                </w:p>
              </w:tc>
              <w:tc>
                <w:tcPr>
                  <w:tcW w:w="1655" w:type="dxa"/>
                  <w:vAlign w:val="center"/>
                </w:tcPr>
                <w:p w14:paraId="3741CA4B">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污染物</w:t>
                  </w:r>
                </w:p>
              </w:tc>
              <w:tc>
                <w:tcPr>
                  <w:tcW w:w="1656" w:type="dxa"/>
                  <w:vAlign w:val="center"/>
                </w:tcPr>
                <w:p w14:paraId="6CC60D6A">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可行技术</w:t>
                  </w:r>
                </w:p>
              </w:tc>
              <w:tc>
                <w:tcPr>
                  <w:tcW w:w="1940" w:type="dxa"/>
                  <w:vAlign w:val="center"/>
                </w:tcPr>
                <w:p w14:paraId="640A0810">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本项目采取措施</w:t>
                  </w:r>
                </w:p>
              </w:tc>
              <w:tc>
                <w:tcPr>
                  <w:tcW w:w="1372" w:type="dxa"/>
                  <w:vAlign w:val="center"/>
                </w:tcPr>
                <w:p w14:paraId="0181E6EC">
                  <w:pPr>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符合性</w:t>
                  </w:r>
                </w:p>
              </w:tc>
            </w:tr>
            <w:tr w14:paraId="18140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4" w:type="dxa"/>
                  <w:vAlign w:val="center"/>
                </w:tcPr>
                <w:p w14:paraId="44633D52">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生物质蒸汽锅炉</w:t>
                  </w:r>
                </w:p>
              </w:tc>
              <w:tc>
                <w:tcPr>
                  <w:tcW w:w="1655" w:type="dxa"/>
                  <w:vAlign w:val="center"/>
                </w:tcPr>
                <w:p w14:paraId="1D5F456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颗粒物</w:t>
                  </w:r>
                </w:p>
              </w:tc>
              <w:tc>
                <w:tcPr>
                  <w:tcW w:w="1656" w:type="dxa"/>
                  <w:vAlign w:val="center"/>
                </w:tcPr>
                <w:p w14:paraId="5A86304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旋风除尘和袋式除尘组合技术</w:t>
                  </w:r>
                </w:p>
              </w:tc>
              <w:tc>
                <w:tcPr>
                  <w:tcW w:w="1940" w:type="dxa"/>
                  <w:vAlign w:val="center"/>
                </w:tcPr>
                <w:p w14:paraId="4647823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1台旋风</w:t>
                  </w:r>
                  <w:r>
                    <w:rPr>
                      <w:rFonts w:hint="default" w:ascii="Times New Roman" w:hAnsi="Times New Roman" w:eastAsia="宋体" w:cs="Times New Roman"/>
                      <w:color w:val="auto"/>
                      <w:szCs w:val="21"/>
                      <w:highlight w:val="none"/>
                      <w:lang w:eastAsia="zh-CN"/>
                    </w:rPr>
                    <w:t>除尘器</w:t>
                  </w:r>
                  <w:r>
                    <w:rPr>
                      <w:rFonts w:hint="default" w:ascii="Times New Roman" w:hAnsi="Times New Roman" w:eastAsia="宋体" w:cs="Times New Roman"/>
                      <w:color w:val="auto"/>
                      <w:szCs w:val="21"/>
                      <w:highlight w:val="none"/>
                    </w:rPr>
                    <w:t>和1台布袋除尘器</w:t>
                  </w:r>
                </w:p>
              </w:tc>
              <w:tc>
                <w:tcPr>
                  <w:tcW w:w="1372" w:type="dxa"/>
                  <w:vAlign w:val="center"/>
                </w:tcPr>
                <w:p w14:paraId="0D55C0D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可行技术</w:t>
                  </w:r>
                </w:p>
              </w:tc>
            </w:tr>
          </w:tbl>
          <w:p w14:paraId="2AED62CD">
            <w:pPr>
              <w:spacing w:line="360" w:lineRule="auto"/>
              <w:ind w:firstLine="480" w:firstLineChars="200"/>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color w:val="auto"/>
                <w:sz w:val="24"/>
                <w:highlight w:val="none"/>
              </w:rPr>
              <w:t>因此，本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废气治理措施可行。</w:t>
            </w:r>
          </w:p>
          <w:p w14:paraId="62823E3B">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2、废水产排情况及治理措施可行性分析</w:t>
            </w:r>
          </w:p>
          <w:p w14:paraId="4FF41C7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本项目运营期废水主要为软水制备废水、锅炉定期排污水。</w:t>
            </w:r>
          </w:p>
          <w:p w14:paraId="56901FC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（1）锅炉定期排污水</w:t>
            </w:r>
          </w:p>
          <w:p w14:paraId="2F5521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本项目1台</w:t>
            </w:r>
            <w:r>
              <w:rPr>
                <w:rFonts w:hint="default" w:ascii="Times New Roman" w:hAnsi="Times New Roman" w:eastAsia="宋体" w:cs="Times New Roman"/>
                <w:color w:val="auto"/>
                <w:sz w:val="24"/>
                <w:szCs w:val="32"/>
                <w:highlight w:val="none"/>
                <w:lang w:eastAsia="zh-CN"/>
              </w:rPr>
              <w:t>10t/h生物质蒸汽锅炉</w:t>
            </w:r>
            <w:r>
              <w:rPr>
                <w:rFonts w:hint="default" w:ascii="Times New Roman" w:hAnsi="Times New Roman" w:eastAsia="宋体" w:cs="Times New Roman"/>
                <w:color w:val="auto"/>
                <w:sz w:val="24"/>
                <w:szCs w:val="32"/>
                <w:highlight w:val="none"/>
              </w:rPr>
              <w:t>排污水按循环水量的2%计算，则锅炉排污水排放量为</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288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用于厂区运输道路和物料堆场降尘洒水</w:t>
            </w:r>
            <w:r>
              <w:rPr>
                <w:rFonts w:hint="default" w:ascii="Times New Roman" w:hAnsi="Times New Roman" w:eastAsia="宋体" w:cs="Times New Roman"/>
                <w:color w:val="auto"/>
                <w:sz w:val="24"/>
                <w:szCs w:val="32"/>
                <w:highlight w:val="none"/>
              </w:rPr>
              <w:t>，不外排。</w:t>
            </w:r>
          </w:p>
          <w:p w14:paraId="7A13C91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）软水制备废水</w:t>
            </w:r>
          </w:p>
          <w:p w14:paraId="5A1FE8B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本项目软水制备</w:t>
            </w:r>
            <w:r>
              <w:rPr>
                <w:rFonts w:hint="default" w:ascii="Times New Roman" w:hAnsi="Times New Roman" w:eastAsia="宋体" w:cs="Times New Roman"/>
                <w:color w:val="auto"/>
                <w:sz w:val="24"/>
                <w:highlight w:val="none"/>
                <w:lang w:eastAsia="zh-CN"/>
              </w:rPr>
              <w:t>废水</w:t>
            </w:r>
            <w:r>
              <w:rPr>
                <w:rFonts w:hint="default" w:ascii="Times New Roman" w:hAnsi="Times New Roman" w:eastAsia="宋体" w:cs="Times New Roman"/>
                <w:color w:val="auto"/>
                <w:sz w:val="24"/>
                <w:highlight w:val="none"/>
              </w:rPr>
              <w:t>排</w:t>
            </w:r>
            <w:r>
              <w:rPr>
                <w:rFonts w:hint="default" w:ascii="Times New Roman" w:hAnsi="Times New Roman" w:eastAsia="宋体" w:cs="Times New Roman"/>
                <w:color w:val="auto"/>
                <w:sz w:val="24"/>
                <w:highlight w:val="none"/>
                <w:lang w:eastAsia="zh-CN"/>
              </w:rPr>
              <w:t>放</w:t>
            </w:r>
            <w:r>
              <w:rPr>
                <w:rFonts w:hint="default" w:ascii="Times New Roman" w:hAnsi="Times New Roman" w:eastAsia="宋体" w:cs="Times New Roman"/>
                <w:color w:val="auto"/>
                <w:sz w:val="24"/>
                <w:highlight w:val="none"/>
              </w:rPr>
              <w:t>量为</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1080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用于厂区运输道路和物料堆场降尘洒水</w:t>
            </w:r>
            <w:r>
              <w:rPr>
                <w:rFonts w:hint="default" w:ascii="Times New Roman" w:hAnsi="Times New Roman" w:eastAsia="宋体" w:cs="Times New Roman"/>
                <w:color w:val="auto"/>
                <w:sz w:val="24"/>
                <w:szCs w:val="24"/>
                <w:highlight w:val="none"/>
              </w:rPr>
              <w:t>，不外排</w:t>
            </w:r>
            <w:r>
              <w:rPr>
                <w:rFonts w:hint="default" w:ascii="Times New Roman" w:hAnsi="Times New Roman" w:eastAsia="宋体" w:cs="Times New Roman"/>
                <w:color w:val="auto"/>
                <w:sz w:val="24"/>
                <w:highlight w:val="none"/>
              </w:rPr>
              <w:t>。</w:t>
            </w:r>
          </w:p>
          <w:p w14:paraId="7F28AF2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综上，</w:t>
            </w:r>
            <w:r>
              <w:rPr>
                <w:rFonts w:hint="default" w:ascii="Times New Roman" w:hAnsi="Times New Roman" w:eastAsia="宋体" w:cs="Times New Roman"/>
                <w:color w:val="auto"/>
                <w:sz w:val="24"/>
                <w:highlight w:val="none"/>
              </w:rPr>
              <w:t>本项目生产废水均不外排，对周围水环境无影响。</w:t>
            </w:r>
          </w:p>
          <w:p w14:paraId="0A9255C4">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3、噪声环境影响分析及防治措施</w:t>
            </w:r>
          </w:p>
          <w:p w14:paraId="0F10776A">
            <w:pPr>
              <w:spacing w:line="360" w:lineRule="auto"/>
              <w:ind w:firstLine="482" w:firstLineChars="200"/>
              <w:rPr>
                <w:rFonts w:hint="default" w:ascii="Times New Roman" w:hAnsi="Times New Roman" w:eastAsia="宋体" w:cs="Times New Roman"/>
                <w:b/>
                <w:bCs/>
                <w:snapToGrid w:val="0"/>
                <w:color w:val="auto"/>
                <w:kern w:val="0"/>
                <w:sz w:val="24"/>
                <w:highlight w:val="none"/>
              </w:rPr>
            </w:pPr>
            <w:r>
              <w:rPr>
                <w:rFonts w:hint="default" w:ascii="Times New Roman" w:hAnsi="Times New Roman" w:eastAsia="宋体" w:cs="Times New Roman"/>
                <w:b/>
                <w:bCs/>
                <w:snapToGrid w:val="0"/>
                <w:color w:val="auto"/>
                <w:kern w:val="0"/>
                <w:sz w:val="24"/>
                <w:highlight w:val="none"/>
              </w:rPr>
              <w:t>3.1噪声源强分析</w:t>
            </w:r>
          </w:p>
          <w:p w14:paraId="51EA3EE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8"/>
                <w:highlight w:val="none"/>
              </w:rPr>
              <w:t>本项目运营期产生的主要声源为给水泵、</w:t>
            </w:r>
            <w:r>
              <w:rPr>
                <w:rFonts w:hint="default" w:ascii="Times New Roman" w:hAnsi="Times New Roman" w:eastAsia="宋体" w:cs="Times New Roman"/>
                <w:color w:val="auto"/>
                <w:sz w:val="24"/>
                <w:szCs w:val="28"/>
                <w:highlight w:val="none"/>
                <w:lang w:eastAsia="zh-CN"/>
              </w:rPr>
              <w:t>循环水</w:t>
            </w:r>
            <w:r>
              <w:rPr>
                <w:rFonts w:hint="default" w:ascii="Times New Roman" w:hAnsi="Times New Roman" w:eastAsia="宋体" w:cs="Times New Roman"/>
                <w:color w:val="auto"/>
                <w:sz w:val="24"/>
                <w:szCs w:val="28"/>
                <w:highlight w:val="none"/>
              </w:rPr>
              <w:t>泵、风机设备噪声，该类设备运行时噪声源强参照《污染源源强核算技术指南</w:t>
            </w:r>
            <w:r>
              <w:rPr>
                <w:rFonts w:hint="default" w:ascii="Times New Roman" w:hAnsi="Times New Roman" w:eastAsia="宋体" w:cs="Times New Roman"/>
                <w:color w:val="auto"/>
                <w:sz w:val="24"/>
                <w:szCs w:val="28"/>
                <w:highlight w:val="none"/>
                <w:lang w:val="en-US" w:eastAsia="zh-CN"/>
              </w:rPr>
              <w:t xml:space="preserve"> </w:t>
            </w:r>
            <w:r>
              <w:rPr>
                <w:rFonts w:hint="default" w:ascii="Times New Roman" w:hAnsi="Times New Roman" w:eastAsia="宋体" w:cs="Times New Roman"/>
                <w:color w:val="auto"/>
                <w:sz w:val="24"/>
                <w:szCs w:val="28"/>
                <w:highlight w:val="none"/>
              </w:rPr>
              <w:t>锅炉》（HJ991-2018）中“附录D锅炉相关设备噪声源声压级及常见降噪措施一览表”可知，本项目设备源强在70-90dB</w:t>
            </w: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A</w:t>
            </w:r>
            <w:r>
              <w:rPr>
                <w:rFonts w:hint="default" w:ascii="Times New Roman" w:hAnsi="Times New Roman" w:eastAsia="宋体"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左右</w:t>
            </w:r>
            <w:r>
              <w:rPr>
                <w:rFonts w:hint="default" w:ascii="Times New Roman" w:hAnsi="Times New Roman" w:eastAsia="宋体" w:cs="Times New Roman"/>
                <w:snapToGrid w:val="0"/>
                <w:color w:val="auto"/>
                <w:kern w:val="0"/>
                <w:sz w:val="24"/>
                <w:highlight w:val="none"/>
              </w:rPr>
              <w:t>。为使项目运营期噪声影响降到最低，项目锅炉设备均设于室内，做全</w:t>
            </w:r>
            <w:r>
              <w:rPr>
                <w:rFonts w:hint="eastAsia" w:ascii="Times New Roman" w:hAnsi="Times New Roman" w:eastAsia="宋体" w:cs="Times New Roman"/>
                <w:snapToGrid w:val="0"/>
                <w:color w:val="auto"/>
                <w:kern w:val="0"/>
                <w:sz w:val="24"/>
                <w:highlight w:val="none"/>
                <w:lang w:eastAsia="zh-CN"/>
              </w:rPr>
              <w:t>隔声</w:t>
            </w:r>
            <w:r>
              <w:rPr>
                <w:rFonts w:hint="default" w:ascii="Times New Roman" w:hAnsi="Times New Roman" w:eastAsia="宋体" w:cs="Times New Roman"/>
                <w:snapToGrid w:val="0"/>
                <w:color w:val="auto"/>
                <w:kern w:val="0"/>
                <w:sz w:val="24"/>
                <w:highlight w:val="none"/>
              </w:rPr>
              <w:t>同时进行减振处理，降噪值可达25dB（A）以上</w:t>
            </w:r>
            <w:r>
              <w:rPr>
                <w:rFonts w:hint="default" w:ascii="Times New Roman" w:hAnsi="Times New Roman" w:eastAsia="宋体" w:cs="Times New Roman"/>
                <w:color w:val="auto"/>
                <w:sz w:val="24"/>
                <w:highlight w:val="none"/>
              </w:rPr>
              <w:t>，设备噪声源值见表4-</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w:t>
            </w:r>
          </w:p>
          <w:p w14:paraId="3A257938">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default" w:ascii="Times New Roman" w:hAnsi="Times New Roman" w:eastAsia="宋体" w:cs="Times New Roman"/>
                <w:b/>
                <w:bCs/>
                <w:color w:val="auto"/>
                <w:sz w:val="24"/>
                <w:highlight w:val="none"/>
                <w:lang w:val="en-US" w:eastAsia="zh-CN"/>
              </w:rPr>
              <w:t xml:space="preserve">5  </w:t>
            </w:r>
            <w:r>
              <w:rPr>
                <w:rFonts w:hint="default" w:ascii="Times New Roman" w:hAnsi="Times New Roman" w:eastAsia="宋体" w:cs="Times New Roman"/>
                <w:b/>
                <w:bCs/>
                <w:color w:val="auto"/>
                <w:sz w:val="24"/>
                <w:highlight w:val="none"/>
              </w:rPr>
              <w:t>设备噪声源值表</w:t>
            </w:r>
          </w:p>
          <w:tbl>
            <w:tblPr>
              <w:tblStyle w:val="25"/>
              <w:tblW w:w="8277" w:type="dxa"/>
              <w:jc w:val="center"/>
              <w:tblLayout w:type="fixed"/>
              <w:tblCellMar>
                <w:top w:w="0" w:type="dxa"/>
                <w:left w:w="15" w:type="dxa"/>
                <w:bottom w:w="0" w:type="dxa"/>
                <w:right w:w="15" w:type="dxa"/>
              </w:tblCellMar>
            </w:tblPr>
            <w:tblGrid>
              <w:gridCol w:w="505"/>
              <w:gridCol w:w="1936"/>
              <w:gridCol w:w="640"/>
              <w:gridCol w:w="1056"/>
              <w:gridCol w:w="1649"/>
              <w:gridCol w:w="1117"/>
              <w:gridCol w:w="1374"/>
            </w:tblGrid>
            <w:tr w14:paraId="631646EA">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04CAA8C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936" w:type="dxa"/>
                  <w:tcBorders>
                    <w:top w:val="single" w:color="000000" w:sz="4" w:space="0"/>
                    <w:left w:val="single" w:color="000000" w:sz="4" w:space="0"/>
                    <w:bottom w:val="single" w:color="000000" w:sz="4" w:space="0"/>
                    <w:right w:val="single" w:color="000000" w:sz="4" w:space="0"/>
                  </w:tcBorders>
                  <w:vAlign w:val="center"/>
                </w:tcPr>
                <w:p w14:paraId="4E483B8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名称及型号</w:t>
                  </w:r>
                </w:p>
              </w:tc>
              <w:tc>
                <w:tcPr>
                  <w:tcW w:w="640" w:type="dxa"/>
                  <w:tcBorders>
                    <w:top w:val="single" w:color="000000" w:sz="4" w:space="0"/>
                    <w:left w:val="single" w:color="000000" w:sz="4" w:space="0"/>
                    <w:bottom w:val="single" w:color="auto" w:sz="4" w:space="0"/>
                    <w:right w:val="single" w:color="000000" w:sz="4" w:space="0"/>
                  </w:tcBorders>
                  <w:vAlign w:val="center"/>
                </w:tcPr>
                <w:p w14:paraId="6885F83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c>
                <w:tcPr>
                  <w:tcW w:w="1056" w:type="dxa"/>
                  <w:tcBorders>
                    <w:top w:val="single" w:color="000000" w:sz="4" w:space="0"/>
                    <w:left w:val="single" w:color="000000" w:sz="4" w:space="0"/>
                    <w:bottom w:val="single" w:color="auto" w:sz="4" w:space="0"/>
                    <w:right w:val="single" w:color="000000" w:sz="4" w:space="0"/>
                  </w:tcBorders>
                  <w:vAlign w:val="center"/>
                </w:tcPr>
                <w:p w14:paraId="4ACA0235">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噪声值dB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p>
              </w:tc>
              <w:tc>
                <w:tcPr>
                  <w:tcW w:w="1649" w:type="dxa"/>
                  <w:tcBorders>
                    <w:top w:val="single" w:color="000000" w:sz="4" w:space="0"/>
                    <w:left w:val="single" w:color="000000" w:sz="4" w:space="0"/>
                    <w:bottom w:val="single" w:color="auto" w:sz="4" w:space="0"/>
                    <w:right w:val="single" w:color="000000" w:sz="4" w:space="0"/>
                  </w:tcBorders>
                  <w:vAlign w:val="center"/>
                </w:tcPr>
                <w:p w14:paraId="31E2364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防护措施</w:t>
                  </w:r>
                </w:p>
              </w:tc>
              <w:tc>
                <w:tcPr>
                  <w:tcW w:w="1117" w:type="dxa"/>
                  <w:tcBorders>
                    <w:top w:val="single" w:color="000000" w:sz="4" w:space="0"/>
                    <w:left w:val="single" w:color="000000" w:sz="4" w:space="0"/>
                    <w:bottom w:val="single" w:color="auto" w:sz="4" w:space="0"/>
                    <w:right w:val="single" w:color="000000" w:sz="4" w:space="0"/>
                  </w:tcBorders>
                  <w:vAlign w:val="center"/>
                </w:tcPr>
                <w:p w14:paraId="23593CA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减噪数值dB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p>
              </w:tc>
              <w:tc>
                <w:tcPr>
                  <w:tcW w:w="1374" w:type="dxa"/>
                  <w:tcBorders>
                    <w:top w:val="single" w:color="000000" w:sz="4" w:space="0"/>
                    <w:left w:val="single" w:color="000000" w:sz="4" w:space="0"/>
                    <w:bottom w:val="single" w:color="auto" w:sz="4" w:space="0"/>
                    <w:right w:val="single" w:color="000000" w:sz="4" w:space="0"/>
                  </w:tcBorders>
                  <w:vAlign w:val="center"/>
                </w:tcPr>
                <w:p w14:paraId="4CD00DCA">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采取环保措施的噪声值dB</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A</w:t>
                  </w:r>
                  <w:r>
                    <w:rPr>
                      <w:rFonts w:hint="default" w:ascii="Times New Roman" w:hAnsi="Times New Roman" w:eastAsia="宋体" w:cs="Times New Roman"/>
                      <w:color w:val="auto"/>
                      <w:szCs w:val="21"/>
                      <w:highlight w:val="none"/>
                      <w:lang w:eastAsia="zh-CN"/>
                    </w:rPr>
                    <w:t>）</w:t>
                  </w:r>
                </w:p>
              </w:tc>
            </w:tr>
            <w:tr w14:paraId="61D030B1">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000000" w:sz="4" w:space="0"/>
                  </w:tcBorders>
                  <w:vAlign w:val="center"/>
                </w:tcPr>
                <w:p w14:paraId="197B0CE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1</w:t>
                  </w:r>
                </w:p>
              </w:tc>
              <w:tc>
                <w:tcPr>
                  <w:tcW w:w="1936" w:type="dxa"/>
                  <w:tcBorders>
                    <w:top w:val="single" w:color="000000" w:sz="4" w:space="0"/>
                    <w:left w:val="single" w:color="000000" w:sz="4" w:space="0"/>
                    <w:bottom w:val="single" w:color="000000" w:sz="4" w:space="0"/>
                    <w:right w:val="single" w:color="000000" w:sz="4" w:space="0"/>
                  </w:tcBorders>
                  <w:vAlign w:val="center"/>
                </w:tcPr>
                <w:p w14:paraId="327ADC3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给水泵</w:t>
                  </w:r>
                </w:p>
              </w:tc>
              <w:tc>
                <w:tcPr>
                  <w:tcW w:w="640" w:type="dxa"/>
                  <w:tcBorders>
                    <w:top w:val="single" w:color="000000" w:sz="4" w:space="0"/>
                    <w:left w:val="single" w:color="000000" w:sz="4" w:space="0"/>
                    <w:bottom w:val="single" w:color="auto" w:sz="4" w:space="0"/>
                    <w:right w:val="single" w:color="000000" w:sz="4" w:space="0"/>
                  </w:tcBorders>
                  <w:vAlign w:val="center"/>
                </w:tcPr>
                <w:p w14:paraId="16892EE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56" w:type="dxa"/>
                  <w:tcBorders>
                    <w:top w:val="single" w:color="000000" w:sz="4" w:space="0"/>
                    <w:left w:val="single" w:color="000000" w:sz="4" w:space="0"/>
                    <w:bottom w:val="single" w:color="auto" w:sz="4" w:space="0"/>
                    <w:right w:val="single" w:color="000000" w:sz="4" w:space="0"/>
                  </w:tcBorders>
                  <w:vAlign w:val="center"/>
                </w:tcPr>
                <w:p w14:paraId="5D51F02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snapToGrid w:val="0"/>
                      <w:color w:val="auto"/>
                      <w:kern w:val="0"/>
                      <w:szCs w:val="21"/>
                      <w:highlight w:val="none"/>
                    </w:rPr>
                    <w:t>90</w:t>
                  </w:r>
                </w:p>
              </w:tc>
              <w:tc>
                <w:tcPr>
                  <w:tcW w:w="1649" w:type="dxa"/>
                  <w:tcBorders>
                    <w:top w:val="single" w:color="000000" w:sz="4" w:space="0"/>
                    <w:left w:val="single" w:color="000000" w:sz="4" w:space="0"/>
                    <w:bottom w:val="single" w:color="auto" w:sz="4" w:space="0"/>
                    <w:right w:val="single" w:color="000000" w:sz="4" w:space="0"/>
                  </w:tcBorders>
                  <w:vAlign w:val="center"/>
                </w:tcPr>
                <w:p w14:paraId="7A98510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eastAsia="zh-CN"/>
                    </w:rPr>
                    <w:t>隔声</w:t>
                  </w:r>
                  <w:r>
                    <w:rPr>
                      <w:rFonts w:hint="eastAsia" w:ascii="Times New Roman" w:hAnsi="Times New Roman" w:eastAsia="宋体" w:cs="Times New Roman"/>
                      <w:snapToGrid w:val="0"/>
                      <w:color w:val="auto"/>
                      <w:kern w:val="0"/>
                      <w:szCs w:val="21"/>
                      <w:highlight w:val="none"/>
                      <w:lang w:val="en-US" w:eastAsia="zh-CN"/>
                    </w:rPr>
                    <w:t>罩、厂房隔声</w:t>
                  </w:r>
                </w:p>
              </w:tc>
              <w:tc>
                <w:tcPr>
                  <w:tcW w:w="1117" w:type="dxa"/>
                  <w:tcBorders>
                    <w:top w:val="single" w:color="000000" w:sz="4" w:space="0"/>
                    <w:left w:val="single" w:color="000000" w:sz="4" w:space="0"/>
                    <w:bottom w:val="single" w:color="auto" w:sz="4" w:space="0"/>
                    <w:right w:val="single" w:color="000000" w:sz="4" w:space="0"/>
                  </w:tcBorders>
                  <w:vAlign w:val="center"/>
                </w:tcPr>
                <w:p w14:paraId="62F89CD6">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30</w:t>
                  </w:r>
                </w:p>
              </w:tc>
              <w:tc>
                <w:tcPr>
                  <w:tcW w:w="1374" w:type="dxa"/>
                  <w:tcBorders>
                    <w:top w:val="single" w:color="000000" w:sz="4" w:space="0"/>
                    <w:left w:val="single" w:color="000000" w:sz="4" w:space="0"/>
                    <w:bottom w:val="single" w:color="auto" w:sz="4" w:space="0"/>
                    <w:right w:val="single" w:color="000000" w:sz="4" w:space="0"/>
                  </w:tcBorders>
                  <w:vAlign w:val="center"/>
                </w:tcPr>
                <w:p w14:paraId="075CB806">
                  <w:pPr>
                    <w:jc w:val="center"/>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6</w:t>
                  </w:r>
                  <w:r>
                    <w:rPr>
                      <w:rFonts w:hint="eastAsia" w:ascii="Times New Roman" w:hAnsi="Times New Roman" w:eastAsia="宋体" w:cs="Times New Roman"/>
                      <w:color w:val="auto"/>
                      <w:szCs w:val="21"/>
                      <w:highlight w:val="none"/>
                      <w:lang w:val="en-US" w:eastAsia="zh-CN"/>
                    </w:rPr>
                    <w:t>0</w:t>
                  </w:r>
                </w:p>
              </w:tc>
            </w:tr>
            <w:tr w14:paraId="038EA3E0">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auto" w:sz="4" w:space="0"/>
                  </w:tcBorders>
                  <w:vAlign w:val="center"/>
                </w:tcPr>
                <w:p w14:paraId="76B8F98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2</w:t>
                  </w:r>
                </w:p>
              </w:tc>
              <w:tc>
                <w:tcPr>
                  <w:tcW w:w="1936" w:type="dxa"/>
                  <w:tcBorders>
                    <w:top w:val="single" w:color="000000" w:sz="4" w:space="0"/>
                    <w:left w:val="single" w:color="auto" w:sz="4" w:space="0"/>
                    <w:bottom w:val="single" w:color="000000" w:sz="4" w:space="0"/>
                    <w:right w:val="single" w:color="000000" w:sz="4" w:space="0"/>
                  </w:tcBorders>
                  <w:vAlign w:val="center"/>
                </w:tcPr>
                <w:p w14:paraId="47384E03">
                  <w:pPr>
                    <w:snapToGrid w:val="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bidi="ar"/>
                    </w:rPr>
                    <w:t>引风机</w:t>
                  </w:r>
                </w:p>
              </w:tc>
              <w:tc>
                <w:tcPr>
                  <w:tcW w:w="640" w:type="dxa"/>
                  <w:tcBorders>
                    <w:top w:val="single" w:color="000000" w:sz="4" w:space="0"/>
                    <w:left w:val="single" w:color="000000" w:sz="4" w:space="0"/>
                    <w:bottom w:val="single" w:color="000000" w:sz="4" w:space="0"/>
                    <w:right w:val="single" w:color="000000" w:sz="4" w:space="0"/>
                  </w:tcBorders>
                  <w:vAlign w:val="center"/>
                </w:tcPr>
                <w:p w14:paraId="621B2E5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56" w:type="dxa"/>
                  <w:tcBorders>
                    <w:top w:val="single" w:color="000000" w:sz="4" w:space="0"/>
                    <w:left w:val="single" w:color="000000" w:sz="4" w:space="0"/>
                    <w:bottom w:val="single" w:color="000000" w:sz="4" w:space="0"/>
                    <w:right w:val="single" w:color="000000" w:sz="4" w:space="0"/>
                  </w:tcBorders>
                  <w:vAlign w:val="center"/>
                </w:tcPr>
                <w:p w14:paraId="6BE986E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snapToGrid w:val="0"/>
                      <w:color w:val="auto"/>
                      <w:kern w:val="0"/>
                      <w:szCs w:val="21"/>
                      <w:highlight w:val="none"/>
                    </w:rPr>
                    <w:t>90</w:t>
                  </w:r>
                </w:p>
              </w:tc>
              <w:tc>
                <w:tcPr>
                  <w:tcW w:w="1649" w:type="dxa"/>
                  <w:tcBorders>
                    <w:top w:val="single" w:color="000000" w:sz="4" w:space="0"/>
                    <w:left w:val="single" w:color="000000" w:sz="4" w:space="0"/>
                    <w:bottom w:val="single" w:color="000000" w:sz="4" w:space="0"/>
                    <w:right w:val="single" w:color="000000" w:sz="4" w:space="0"/>
                  </w:tcBorders>
                  <w:vAlign w:val="center"/>
                </w:tcPr>
                <w:p w14:paraId="031F7A36">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eastAsia="zh-CN"/>
                    </w:rPr>
                    <w:t>隔声</w:t>
                  </w:r>
                  <w:r>
                    <w:rPr>
                      <w:rFonts w:hint="eastAsia" w:ascii="Times New Roman" w:hAnsi="Times New Roman" w:eastAsia="宋体" w:cs="Times New Roman"/>
                      <w:snapToGrid w:val="0"/>
                      <w:color w:val="auto"/>
                      <w:kern w:val="0"/>
                      <w:szCs w:val="21"/>
                      <w:highlight w:val="none"/>
                      <w:lang w:val="en-US" w:eastAsia="zh-CN"/>
                    </w:rPr>
                    <w:t>罩、厂房隔声</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53DA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30</w:t>
                  </w:r>
                </w:p>
              </w:tc>
              <w:tc>
                <w:tcPr>
                  <w:tcW w:w="13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28F9C">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6</w:t>
                  </w:r>
                  <w:r>
                    <w:rPr>
                      <w:rFonts w:hint="eastAsia" w:ascii="Times New Roman" w:hAnsi="Times New Roman" w:eastAsia="宋体" w:cs="Times New Roman"/>
                      <w:color w:val="auto"/>
                      <w:szCs w:val="21"/>
                      <w:highlight w:val="none"/>
                      <w:lang w:val="en-US" w:eastAsia="zh-CN"/>
                    </w:rPr>
                    <w:t>0</w:t>
                  </w:r>
                </w:p>
              </w:tc>
            </w:tr>
            <w:tr w14:paraId="0AA5973C">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auto" w:sz="4" w:space="0"/>
                  </w:tcBorders>
                  <w:vAlign w:val="center"/>
                </w:tcPr>
                <w:p w14:paraId="1DB7B42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3</w:t>
                  </w:r>
                </w:p>
              </w:tc>
              <w:tc>
                <w:tcPr>
                  <w:tcW w:w="1936" w:type="dxa"/>
                  <w:tcBorders>
                    <w:top w:val="single" w:color="000000" w:sz="4" w:space="0"/>
                    <w:left w:val="single" w:color="auto" w:sz="4" w:space="0"/>
                    <w:bottom w:val="single" w:color="000000" w:sz="4" w:space="0"/>
                    <w:right w:val="single" w:color="000000" w:sz="4" w:space="0"/>
                  </w:tcBorders>
                  <w:vAlign w:val="center"/>
                </w:tcPr>
                <w:p w14:paraId="5EA17D84">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炉排减速机</w:t>
                  </w:r>
                </w:p>
              </w:tc>
              <w:tc>
                <w:tcPr>
                  <w:tcW w:w="640" w:type="dxa"/>
                  <w:tcBorders>
                    <w:top w:val="single" w:color="000000" w:sz="4" w:space="0"/>
                    <w:left w:val="single" w:color="000000" w:sz="4" w:space="0"/>
                    <w:bottom w:val="single" w:color="000000" w:sz="4" w:space="0"/>
                    <w:right w:val="single" w:color="000000" w:sz="4" w:space="0"/>
                  </w:tcBorders>
                  <w:vAlign w:val="center"/>
                </w:tcPr>
                <w:p w14:paraId="6520206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1</w:t>
                  </w:r>
                </w:p>
              </w:tc>
              <w:tc>
                <w:tcPr>
                  <w:tcW w:w="1056" w:type="dxa"/>
                  <w:tcBorders>
                    <w:top w:val="single" w:color="000000" w:sz="4" w:space="0"/>
                    <w:left w:val="single" w:color="000000" w:sz="4" w:space="0"/>
                    <w:bottom w:val="single" w:color="000000" w:sz="4" w:space="0"/>
                    <w:right w:val="single" w:color="000000" w:sz="4" w:space="0"/>
                  </w:tcBorders>
                  <w:vAlign w:val="center"/>
                </w:tcPr>
                <w:p w14:paraId="618E6397">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Cs w:val="21"/>
                      <w:highlight w:val="none"/>
                    </w:rPr>
                    <w:t>85</w:t>
                  </w:r>
                </w:p>
              </w:tc>
              <w:tc>
                <w:tcPr>
                  <w:tcW w:w="1649" w:type="dxa"/>
                  <w:tcBorders>
                    <w:top w:val="single" w:color="000000" w:sz="4" w:space="0"/>
                    <w:left w:val="single" w:color="000000" w:sz="4" w:space="0"/>
                    <w:bottom w:val="single" w:color="000000" w:sz="4" w:space="0"/>
                    <w:right w:val="single" w:color="000000" w:sz="4" w:space="0"/>
                  </w:tcBorders>
                  <w:vAlign w:val="center"/>
                </w:tcPr>
                <w:p w14:paraId="6BF51991">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val="en-US" w:eastAsia="zh-CN"/>
                    </w:rPr>
                    <w:t>厂房隔声</w:t>
                  </w:r>
                </w:p>
              </w:tc>
              <w:tc>
                <w:tcPr>
                  <w:tcW w:w="1117" w:type="dxa"/>
                  <w:tcBorders>
                    <w:top w:val="single" w:color="000000" w:sz="4" w:space="0"/>
                    <w:left w:val="single" w:color="000000" w:sz="4" w:space="0"/>
                    <w:bottom w:val="single" w:color="000000" w:sz="4" w:space="0"/>
                    <w:right w:val="single" w:color="000000" w:sz="4" w:space="0"/>
                  </w:tcBorders>
                  <w:vAlign w:val="center"/>
                </w:tcPr>
                <w:p w14:paraId="670C2052">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25</w:t>
                  </w:r>
                </w:p>
              </w:tc>
              <w:tc>
                <w:tcPr>
                  <w:tcW w:w="1374" w:type="dxa"/>
                  <w:tcBorders>
                    <w:top w:val="single" w:color="000000" w:sz="4" w:space="0"/>
                    <w:left w:val="single" w:color="000000" w:sz="4" w:space="0"/>
                    <w:bottom w:val="single" w:color="000000" w:sz="4" w:space="0"/>
                    <w:right w:val="single" w:color="000000" w:sz="4" w:space="0"/>
                  </w:tcBorders>
                  <w:vAlign w:val="center"/>
                </w:tcPr>
                <w:p w14:paraId="292C66EB">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60</w:t>
                  </w:r>
                </w:p>
              </w:tc>
            </w:tr>
            <w:tr w14:paraId="03A1C277">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auto" w:sz="4" w:space="0"/>
                  </w:tcBorders>
                  <w:vAlign w:val="center"/>
                </w:tcPr>
                <w:p w14:paraId="2C97F700">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936" w:type="dxa"/>
                  <w:tcBorders>
                    <w:top w:val="single" w:color="000000" w:sz="4" w:space="0"/>
                    <w:left w:val="single" w:color="auto" w:sz="4" w:space="0"/>
                    <w:bottom w:val="single" w:color="000000" w:sz="4" w:space="0"/>
                    <w:right w:val="single" w:color="000000" w:sz="4" w:space="0"/>
                  </w:tcBorders>
                  <w:vAlign w:val="center"/>
                </w:tcPr>
                <w:p w14:paraId="1B2B81C1">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上料机</w:t>
                  </w:r>
                </w:p>
              </w:tc>
              <w:tc>
                <w:tcPr>
                  <w:tcW w:w="640" w:type="dxa"/>
                  <w:tcBorders>
                    <w:top w:val="single" w:color="000000" w:sz="4" w:space="0"/>
                    <w:left w:val="single" w:color="000000" w:sz="4" w:space="0"/>
                    <w:bottom w:val="single" w:color="000000" w:sz="4" w:space="0"/>
                    <w:right w:val="single" w:color="000000" w:sz="4" w:space="0"/>
                  </w:tcBorders>
                  <w:vAlign w:val="center"/>
                </w:tcPr>
                <w:p w14:paraId="5F4665B8">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1</w:t>
                  </w:r>
                </w:p>
              </w:tc>
              <w:tc>
                <w:tcPr>
                  <w:tcW w:w="1056" w:type="dxa"/>
                  <w:tcBorders>
                    <w:top w:val="single" w:color="000000" w:sz="4" w:space="0"/>
                    <w:left w:val="single" w:color="000000" w:sz="4" w:space="0"/>
                    <w:bottom w:val="single" w:color="000000" w:sz="4" w:space="0"/>
                    <w:right w:val="single" w:color="000000" w:sz="4" w:space="0"/>
                  </w:tcBorders>
                  <w:vAlign w:val="center"/>
                </w:tcPr>
                <w:p w14:paraId="4B8E3EC7">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Cs w:val="21"/>
                      <w:highlight w:val="none"/>
                    </w:rPr>
                    <w:t>80</w:t>
                  </w:r>
                </w:p>
              </w:tc>
              <w:tc>
                <w:tcPr>
                  <w:tcW w:w="1649" w:type="dxa"/>
                  <w:tcBorders>
                    <w:top w:val="single" w:color="000000" w:sz="4" w:space="0"/>
                    <w:left w:val="single" w:color="000000" w:sz="4" w:space="0"/>
                    <w:bottom w:val="single" w:color="000000" w:sz="4" w:space="0"/>
                    <w:right w:val="single" w:color="000000" w:sz="4" w:space="0"/>
                  </w:tcBorders>
                  <w:vAlign w:val="center"/>
                </w:tcPr>
                <w:p w14:paraId="6E8D2563">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val="en-US" w:eastAsia="zh-CN"/>
                    </w:rPr>
                    <w:t>厂房隔声</w:t>
                  </w:r>
                </w:p>
              </w:tc>
              <w:tc>
                <w:tcPr>
                  <w:tcW w:w="1117" w:type="dxa"/>
                  <w:tcBorders>
                    <w:top w:val="single" w:color="000000" w:sz="4" w:space="0"/>
                    <w:left w:val="single" w:color="000000" w:sz="4" w:space="0"/>
                    <w:bottom w:val="single" w:color="000000" w:sz="4" w:space="0"/>
                    <w:right w:val="single" w:color="000000" w:sz="4" w:space="0"/>
                  </w:tcBorders>
                  <w:vAlign w:val="center"/>
                </w:tcPr>
                <w:p w14:paraId="6F49CD1A">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25</w:t>
                  </w:r>
                </w:p>
              </w:tc>
              <w:tc>
                <w:tcPr>
                  <w:tcW w:w="1374" w:type="dxa"/>
                  <w:tcBorders>
                    <w:top w:val="single" w:color="000000" w:sz="4" w:space="0"/>
                    <w:left w:val="single" w:color="000000" w:sz="4" w:space="0"/>
                    <w:bottom w:val="single" w:color="000000" w:sz="4" w:space="0"/>
                    <w:right w:val="single" w:color="000000" w:sz="4" w:space="0"/>
                  </w:tcBorders>
                  <w:vAlign w:val="center"/>
                </w:tcPr>
                <w:p w14:paraId="55E4FEC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55</w:t>
                  </w:r>
                </w:p>
              </w:tc>
            </w:tr>
            <w:tr w14:paraId="2F2D386E">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auto" w:sz="4" w:space="0"/>
                  </w:tcBorders>
                  <w:vAlign w:val="center"/>
                </w:tcPr>
                <w:p w14:paraId="76293A3C">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936" w:type="dxa"/>
                  <w:tcBorders>
                    <w:top w:val="single" w:color="000000" w:sz="4" w:space="0"/>
                    <w:left w:val="single" w:color="auto" w:sz="4" w:space="0"/>
                    <w:bottom w:val="single" w:color="000000" w:sz="4" w:space="0"/>
                    <w:right w:val="single" w:color="000000" w:sz="4" w:space="0"/>
                  </w:tcBorders>
                  <w:vAlign w:val="center"/>
                </w:tcPr>
                <w:p w14:paraId="0D52DF8B">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出渣机</w:t>
                  </w:r>
                </w:p>
              </w:tc>
              <w:tc>
                <w:tcPr>
                  <w:tcW w:w="640" w:type="dxa"/>
                  <w:tcBorders>
                    <w:top w:val="single" w:color="000000" w:sz="4" w:space="0"/>
                    <w:left w:val="single" w:color="000000" w:sz="4" w:space="0"/>
                    <w:bottom w:val="single" w:color="000000" w:sz="4" w:space="0"/>
                    <w:right w:val="single" w:color="000000" w:sz="4" w:space="0"/>
                  </w:tcBorders>
                  <w:vAlign w:val="center"/>
                </w:tcPr>
                <w:p w14:paraId="64E9B3E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1</w:t>
                  </w:r>
                </w:p>
              </w:tc>
              <w:tc>
                <w:tcPr>
                  <w:tcW w:w="1056" w:type="dxa"/>
                  <w:tcBorders>
                    <w:top w:val="single" w:color="000000" w:sz="4" w:space="0"/>
                    <w:left w:val="single" w:color="000000" w:sz="4" w:space="0"/>
                    <w:bottom w:val="single" w:color="000000" w:sz="4" w:space="0"/>
                    <w:right w:val="single" w:color="000000" w:sz="4" w:space="0"/>
                  </w:tcBorders>
                  <w:vAlign w:val="center"/>
                </w:tcPr>
                <w:p w14:paraId="78C2104C">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Cs w:val="21"/>
                      <w:highlight w:val="none"/>
                    </w:rPr>
                    <w:t>85</w:t>
                  </w:r>
                </w:p>
              </w:tc>
              <w:tc>
                <w:tcPr>
                  <w:tcW w:w="1649" w:type="dxa"/>
                  <w:tcBorders>
                    <w:top w:val="single" w:color="000000" w:sz="4" w:space="0"/>
                    <w:left w:val="single" w:color="000000" w:sz="4" w:space="0"/>
                    <w:bottom w:val="single" w:color="000000" w:sz="4" w:space="0"/>
                    <w:right w:val="single" w:color="000000" w:sz="4" w:space="0"/>
                  </w:tcBorders>
                  <w:vAlign w:val="center"/>
                </w:tcPr>
                <w:p w14:paraId="42064766">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val="en-US" w:eastAsia="zh-CN"/>
                    </w:rPr>
                    <w:t>厂房隔声</w:t>
                  </w:r>
                </w:p>
              </w:tc>
              <w:tc>
                <w:tcPr>
                  <w:tcW w:w="1117" w:type="dxa"/>
                  <w:tcBorders>
                    <w:top w:val="single" w:color="000000" w:sz="4" w:space="0"/>
                    <w:left w:val="single" w:color="000000" w:sz="4" w:space="0"/>
                    <w:bottom w:val="single" w:color="000000" w:sz="4" w:space="0"/>
                    <w:right w:val="single" w:color="000000" w:sz="4" w:space="0"/>
                  </w:tcBorders>
                  <w:vAlign w:val="center"/>
                </w:tcPr>
                <w:p w14:paraId="0800C9A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25</w:t>
                  </w:r>
                </w:p>
              </w:tc>
              <w:tc>
                <w:tcPr>
                  <w:tcW w:w="1374" w:type="dxa"/>
                  <w:tcBorders>
                    <w:top w:val="single" w:color="000000" w:sz="4" w:space="0"/>
                    <w:left w:val="single" w:color="000000" w:sz="4" w:space="0"/>
                    <w:bottom w:val="single" w:color="000000" w:sz="4" w:space="0"/>
                    <w:right w:val="single" w:color="000000" w:sz="4" w:space="0"/>
                  </w:tcBorders>
                  <w:vAlign w:val="center"/>
                </w:tcPr>
                <w:p w14:paraId="0FEFF259">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60</w:t>
                  </w:r>
                </w:p>
              </w:tc>
            </w:tr>
            <w:tr w14:paraId="2E2AC4B5">
              <w:tblPrEx>
                <w:tblCellMar>
                  <w:top w:w="0" w:type="dxa"/>
                  <w:left w:w="15" w:type="dxa"/>
                  <w:bottom w:w="0" w:type="dxa"/>
                  <w:right w:w="15" w:type="dxa"/>
                </w:tblCellMar>
              </w:tblPrEx>
              <w:trPr>
                <w:trHeight w:val="340" w:hRule="atLeast"/>
                <w:jc w:val="center"/>
              </w:trPr>
              <w:tc>
                <w:tcPr>
                  <w:tcW w:w="505" w:type="dxa"/>
                  <w:tcBorders>
                    <w:top w:val="single" w:color="000000" w:sz="4" w:space="0"/>
                    <w:left w:val="single" w:color="000000" w:sz="4" w:space="0"/>
                    <w:bottom w:val="single" w:color="000000" w:sz="4" w:space="0"/>
                    <w:right w:val="single" w:color="auto" w:sz="4" w:space="0"/>
                  </w:tcBorders>
                  <w:vAlign w:val="center"/>
                </w:tcPr>
                <w:p w14:paraId="4BBF8B50">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936" w:type="dxa"/>
                  <w:tcBorders>
                    <w:top w:val="single" w:color="000000" w:sz="4" w:space="0"/>
                    <w:left w:val="single" w:color="auto" w:sz="4" w:space="0"/>
                    <w:bottom w:val="single" w:color="000000" w:sz="4" w:space="0"/>
                    <w:right w:val="single" w:color="000000" w:sz="4" w:space="0"/>
                  </w:tcBorders>
                  <w:vAlign w:val="center"/>
                </w:tcPr>
                <w:p w14:paraId="105A1AE5">
                  <w:pPr>
                    <w:snapToGrid w:val="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Cs w:val="21"/>
                      <w:highlight w:val="none"/>
                      <w:lang w:bidi="ar"/>
                    </w:rPr>
                    <w:t>循环水泵</w:t>
                  </w:r>
                </w:p>
              </w:tc>
              <w:tc>
                <w:tcPr>
                  <w:tcW w:w="640" w:type="dxa"/>
                  <w:tcBorders>
                    <w:top w:val="single" w:color="000000" w:sz="4" w:space="0"/>
                    <w:left w:val="single" w:color="000000" w:sz="4" w:space="0"/>
                    <w:bottom w:val="single" w:color="000000" w:sz="4" w:space="0"/>
                    <w:right w:val="single" w:color="000000" w:sz="4" w:space="0"/>
                  </w:tcBorders>
                  <w:vAlign w:val="center"/>
                </w:tcPr>
                <w:p w14:paraId="16CC91F5">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2</w:t>
                  </w:r>
                </w:p>
              </w:tc>
              <w:tc>
                <w:tcPr>
                  <w:tcW w:w="1056" w:type="dxa"/>
                  <w:tcBorders>
                    <w:top w:val="single" w:color="000000" w:sz="4" w:space="0"/>
                    <w:left w:val="single" w:color="000000" w:sz="4" w:space="0"/>
                    <w:bottom w:val="single" w:color="000000" w:sz="4" w:space="0"/>
                    <w:right w:val="single" w:color="000000" w:sz="4" w:space="0"/>
                  </w:tcBorders>
                  <w:vAlign w:val="center"/>
                </w:tcPr>
                <w:p w14:paraId="40AC6F2B">
                  <w:pPr>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Cs w:val="21"/>
                      <w:highlight w:val="none"/>
                    </w:rPr>
                    <w:t>90</w:t>
                  </w:r>
                </w:p>
              </w:tc>
              <w:tc>
                <w:tcPr>
                  <w:tcW w:w="1649" w:type="dxa"/>
                  <w:tcBorders>
                    <w:top w:val="single" w:color="000000" w:sz="4" w:space="0"/>
                    <w:left w:val="single" w:color="000000" w:sz="4" w:space="0"/>
                    <w:bottom w:val="single" w:color="000000" w:sz="4" w:space="0"/>
                    <w:right w:val="single" w:color="000000" w:sz="4" w:space="0"/>
                  </w:tcBorders>
                  <w:vAlign w:val="center"/>
                </w:tcPr>
                <w:p w14:paraId="0BE492CD">
                  <w:pPr>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Cs w:val="21"/>
                      <w:highlight w:val="none"/>
                      <w:lang w:eastAsia="zh-CN"/>
                    </w:rPr>
                    <w:t>减振</w:t>
                  </w:r>
                  <w:r>
                    <w:rPr>
                      <w:rFonts w:hint="default" w:ascii="Times New Roman" w:hAnsi="Times New Roman" w:eastAsia="宋体" w:cs="Times New Roman"/>
                      <w:snapToGrid w:val="0"/>
                      <w:color w:val="auto"/>
                      <w:kern w:val="0"/>
                      <w:szCs w:val="21"/>
                      <w:highlight w:val="none"/>
                    </w:rPr>
                    <w:t>、</w:t>
                  </w:r>
                  <w:r>
                    <w:rPr>
                      <w:rFonts w:hint="eastAsia" w:ascii="Times New Roman" w:hAnsi="Times New Roman" w:eastAsia="宋体" w:cs="Times New Roman"/>
                      <w:snapToGrid w:val="0"/>
                      <w:color w:val="auto"/>
                      <w:kern w:val="0"/>
                      <w:szCs w:val="21"/>
                      <w:highlight w:val="none"/>
                      <w:lang w:eastAsia="zh-CN"/>
                    </w:rPr>
                    <w:t>隔声</w:t>
                  </w:r>
                  <w:r>
                    <w:rPr>
                      <w:rFonts w:hint="eastAsia" w:ascii="Times New Roman" w:hAnsi="Times New Roman" w:eastAsia="宋体" w:cs="Times New Roman"/>
                      <w:snapToGrid w:val="0"/>
                      <w:color w:val="auto"/>
                      <w:kern w:val="0"/>
                      <w:szCs w:val="21"/>
                      <w:highlight w:val="none"/>
                      <w:lang w:val="en-US" w:eastAsia="zh-CN"/>
                    </w:rPr>
                    <w:t>罩、厂房隔声</w:t>
                  </w:r>
                </w:p>
              </w:tc>
              <w:tc>
                <w:tcPr>
                  <w:tcW w:w="1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FFD4E">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30</w:t>
                  </w:r>
                </w:p>
              </w:tc>
              <w:tc>
                <w:tcPr>
                  <w:tcW w:w="13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206B1">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6</w:t>
                  </w:r>
                  <w:r>
                    <w:rPr>
                      <w:rFonts w:hint="eastAsia" w:ascii="Times New Roman" w:hAnsi="Times New Roman" w:eastAsia="宋体" w:cs="Times New Roman"/>
                      <w:color w:val="auto"/>
                      <w:szCs w:val="21"/>
                      <w:highlight w:val="none"/>
                      <w:lang w:val="en-US" w:eastAsia="zh-CN"/>
                    </w:rPr>
                    <w:t>0</w:t>
                  </w:r>
                </w:p>
              </w:tc>
            </w:tr>
          </w:tbl>
          <w:p w14:paraId="04D27EE1">
            <w:pPr>
              <w:spacing w:line="360" w:lineRule="auto"/>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3.2预测模式</w:t>
            </w:r>
          </w:p>
          <w:p w14:paraId="181D60C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w:t>
            </w:r>
            <w:r>
              <w:rPr>
                <w:rFonts w:hint="default" w:ascii="Times New Roman" w:hAnsi="Times New Roman" w:eastAsia="宋体"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声环境》（HJ2.4</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）中的要求，本次评价采取导则推荐模式。</w:t>
            </w:r>
          </w:p>
          <w:p w14:paraId="002B8E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1）声级计算</w:t>
            </w:r>
          </w:p>
          <w:p w14:paraId="06B545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建设项目声源在预测点产生的等效声级贡献值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Leqg</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计算公式：</w:t>
            </w:r>
          </w:p>
          <w:p w14:paraId="6CCE80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8"/>
                <w:sz w:val="24"/>
                <w:highlight w:val="none"/>
              </w:rPr>
              <w:object>
                <v:shape id="_x0000_i1027" o:spt="75" type="#_x0000_t75" style="height:33pt;width:132pt;" o:ole="t" filled="f" o:preferrelative="t" stroked="f" coordsize="21600,21600">
                  <v:path/>
                  <v:fill on="f" focussize="0,0"/>
                  <v:stroke on="f" joinstyle="miter"/>
                  <v:imagedata r:id="rId19" o:title=""/>
                  <o:lock v:ext="edit" aspectratio="t"/>
                  <w10:wrap type="none"/>
                  <w10:anchorlock/>
                </v:shape>
                <o:OLEObject Type="Embed" ProgID="Equation.3" ShapeID="_x0000_i1027" DrawAspect="Content" ObjectID="_1468075727" r:id="rId18">
                  <o:LockedField>false</o:LockedField>
                </o:OLEObject>
              </w:object>
            </w:r>
          </w:p>
          <w:p w14:paraId="2BA39A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eqg</w:t>
            </w:r>
            <w:r>
              <w:rPr>
                <w:rFonts w:hint="default" w:ascii="Times New Roman" w:hAnsi="Times New Roman" w:eastAsia="宋体" w:cs="Times New Roman"/>
                <w:color w:val="auto"/>
                <w:sz w:val="24"/>
                <w:highlight w:val="none"/>
              </w:rPr>
              <w:t>—建设项目声源在预测点的等效声级贡献值，dB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4954C9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Ai</w:t>
            </w:r>
            <w:r>
              <w:rPr>
                <w:rFonts w:hint="default" w:ascii="Times New Roman" w:hAnsi="Times New Roman" w:eastAsia="宋体" w:cs="Times New Roman"/>
                <w:color w:val="auto"/>
                <w:sz w:val="24"/>
                <w:highlight w:val="none"/>
              </w:rPr>
              <w:t>—i声源在预测点产生的A声级，dB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14:paraId="3BBCDF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T</w:t>
            </w:r>
            <w:r>
              <w:rPr>
                <w:rFonts w:hint="default" w:ascii="Times New Roman" w:hAnsi="Times New Roman" w:eastAsia="宋体" w:cs="Times New Roman"/>
                <w:color w:val="auto"/>
                <w:sz w:val="24"/>
                <w:highlight w:val="none"/>
              </w:rPr>
              <w:t>—预测计算的时间段，s；</w:t>
            </w:r>
          </w:p>
          <w:p w14:paraId="63BC0D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color w:val="auto"/>
                <w:sz w:val="24"/>
                <w:highlight w:val="none"/>
              </w:rPr>
              <w:t>t</w:t>
            </w:r>
            <w:r>
              <w:rPr>
                <w:rFonts w:hint="default" w:ascii="Times New Roman" w:hAnsi="Times New Roman" w:eastAsia="宋体" w:cs="Times New Roman"/>
                <w:i/>
                <w:color w:val="auto"/>
                <w:sz w:val="24"/>
                <w:highlight w:val="none"/>
                <w:vertAlign w:val="subscript"/>
              </w:rPr>
              <w:t>i</w:t>
            </w:r>
            <w:r>
              <w:rPr>
                <w:rFonts w:hint="default" w:ascii="Times New Roman" w:hAnsi="Times New Roman" w:eastAsia="宋体" w:cs="Times New Roman"/>
                <w:color w:val="auto"/>
                <w:sz w:val="24"/>
                <w:highlight w:val="none"/>
              </w:rPr>
              <w:t>—i声源在T时段内的运行时间，s。</w:t>
            </w:r>
          </w:p>
          <w:p w14:paraId="28BCE6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2）预测点的预测等效声级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Leq</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计算公式</w:t>
            </w:r>
          </w:p>
          <w:p w14:paraId="43F167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14"/>
                <w:sz w:val="24"/>
                <w:highlight w:val="none"/>
              </w:rPr>
              <w:object>
                <v:shape id="_x0000_i1028" o:spt="75" type="#_x0000_t75" style="height:22.5pt;width:150.75pt;" o:ole="t" filled="f" o:preferrelative="t" stroked="f" coordsize="21600,21600">
                  <v:path/>
                  <v:fill on="f" focussize="0,0"/>
                  <v:stroke on="f" joinstyle="miter"/>
                  <v:imagedata r:id="rId21" o:title=""/>
                  <o:lock v:ext="edit" aspectratio="t"/>
                  <w10:wrap type="none"/>
                  <w10:anchorlock/>
                </v:shape>
                <o:OLEObject Type="Embed" ProgID="Equation.3" ShapeID="_x0000_i1028" DrawAspect="Content" ObjectID="_1468075728" r:id="rId20">
                  <o:LockedField>false</o:LockedField>
                </o:OLEObject>
              </w:object>
            </w:r>
          </w:p>
          <w:p w14:paraId="63E336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bookmarkStart w:id="22" w:name="_Toc269024991"/>
            <w:bookmarkStart w:id="23" w:name="_Toc269025278"/>
            <w:bookmarkStart w:id="24" w:name="_Toc270691827"/>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eqg</w:t>
            </w:r>
            <w:r>
              <w:rPr>
                <w:rFonts w:hint="default" w:ascii="Times New Roman" w:hAnsi="Times New Roman" w:eastAsia="宋体" w:cs="Times New Roman"/>
                <w:color w:val="auto"/>
                <w:sz w:val="24"/>
                <w:highlight w:val="none"/>
              </w:rPr>
              <w:t>—建设项目声源在预测点的等效声级贡献值，dB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bookmarkEnd w:id="22"/>
            <w:bookmarkEnd w:id="23"/>
            <w:bookmarkEnd w:id="24"/>
          </w:p>
          <w:p w14:paraId="49052E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i/>
                <w:color w:val="auto"/>
                <w:sz w:val="24"/>
                <w:highlight w:val="none"/>
              </w:rPr>
              <w:t>L</w:t>
            </w:r>
            <w:r>
              <w:rPr>
                <w:rFonts w:hint="default" w:ascii="Times New Roman" w:hAnsi="Times New Roman" w:eastAsia="宋体" w:cs="Times New Roman"/>
                <w:i/>
                <w:color w:val="auto"/>
                <w:sz w:val="24"/>
                <w:highlight w:val="none"/>
                <w:vertAlign w:val="subscript"/>
              </w:rPr>
              <w:t>eqb</w:t>
            </w:r>
            <w:r>
              <w:rPr>
                <w:rFonts w:hint="default" w:ascii="Times New Roman" w:hAnsi="Times New Roman" w:eastAsia="宋体" w:cs="Times New Roman"/>
                <w:color w:val="auto"/>
                <w:sz w:val="24"/>
                <w:highlight w:val="none"/>
              </w:rPr>
              <w:t>—预测点的背景值，dB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lang w:eastAsia="zh-CN"/>
              </w:rPr>
              <w:t>）</w:t>
            </w:r>
          </w:p>
          <w:p w14:paraId="0325A1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3）户外声传播衰减计算</w:t>
            </w:r>
          </w:p>
          <w:p w14:paraId="52D0B9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户外声传播衰减包括几何发散（A</w:t>
            </w:r>
            <w:r>
              <w:rPr>
                <w:rFonts w:hint="default" w:ascii="Times New Roman" w:hAnsi="Times New Roman" w:eastAsia="宋体" w:cs="Times New Roman"/>
                <w:color w:val="auto"/>
                <w:sz w:val="24"/>
                <w:highlight w:val="none"/>
                <w:vertAlign w:val="subscript"/>
              </w:rPr>
              <w:t>div</w:t>
            </w:r>
            <w:r>
              <w:rPr>
                <w:rFonts w:hint="default" w:ascii="Times New Roman" w:hAnsi="Times New Roman" w:eastAsia="宋体" w:cs="Times New Roman"/>
                <w:color w:val="auto"/>
                <w:sz w:val="24"/>
                <w:highlight w:val="none"/>
              </w:rPr>
              <w:t>）、大气吸收（A</w:t>
            </w:r>
            <w:r>
              <w:rPr>
                <w:rFonts w:hint="default" w:ascii="Times New Roman" w:hAnsi="Times New Roman" w:eastAsia="宋体" w:cs="Times New Roman"/>
                <w:color w:val="auto"/>
                <w:sz w:val="24"/>
                <w:highlight w:val="none"/>
                <w:vertAlign w:val="subscript"/>
              </w:rPr>
              <w:t>atm</w:t>
            </w:r>
            <w:r>
              <w:rPr>
                <w:rFonts w:hint="default" w:ascii="Times New Roman" w:hAnsi="Times New Roman" w:eastAsia="宋体" w:cs="Times New Roman"/>
                <w:color w:val="auto"/>
                <w:sz w:val="24"/>
                <w:highlight w:val="none"/>
              </w:rPr>
              <w:t>）、地面效应（A</w:t>
            </w:r>
            <w:r>
              <w:rPr>
                <w:rFonts w:hint="default" w:ascii="Times New Roman" w:hAnsi="Times New Roman" w:eastAsia="宋体" w:cs="Times New Roman"/>
                <w:color w:val="auto"/>
                <w:sz w:val="24"/>
                <w:highlight w:val="none"/>
                <w:vertAlign w:val="subscript"/>
              </w:rPr>
              <w:t>gr</w:t>
            </w:r>
            <w:r>
              <w:rPr>
                <w:rFonts w:hint="default" w:ascii="Times New Roman" w:hAnsi="Times New Roman" w:eastAsia="宋体" w:cs="Times New Roman"/>
                <w:color w:val="auto"/>
                <w:sz w:val="24"/>
                <w:highlight w:val="none"/>
              </w:rPr>
              <w:t>）、屏障屏蔽（A</w:t>
            </w:r>
            <w:r>
              <w:rPr>
                <w:rFonts w:hint="default" w:ascii="Times New Roman" w:hAnsi="Times New Roman" w:eastAsia="宋体" w:cs="Times New Roman"/>
                <w:color w:val="auto"/>
                <w:sz w:val="24"/>
                <w:highlight w:val="none"/>
                <w:vertAlign w:val="subscript"/>
              </w:rPr>
              <w:t>bar</w:t>
            </w:r>
            <w:r>
              <w:rPr>
                <w:rFonts w:hint="default" w:ascii="Times New Roman" w:hAnsi="Times New Roman" w:eastAsia="宋体" w:cs="Times New Roman"/>
                <w:color w:val="auto"/>
                <w:sz w:val="24"/>
                <w:highlight w:val="none"/>
              </w:rPr>
              <w:t>）、其他多方面效应（A</w:t>
            </w:r>
            <w:r>
              <w:rPr>
                <w:rFonts w:hint="default" w:ascii="Times New Roman" w:hAnsi="Times New Roman" w:eastAsia="宋体" w:cs="Times New Roman"/>
                <w:color w:val="auto"/>
                <w:sz w:val="24"/>
                <w:highlight w:val="none"/>
                <w:vertAlign w:val="subscript"/>
              </w:rPr>
              <w:t>misc</w:t>
            </w:r>
            <w:r>
              <w:rPr>
                <w:rFonts w:hint="default" w:ascii="Times New Roman" w:hAnsi="Times New Roman" w:eastAsia="宋体" w:cs="Times New Roman"/>
                <w:color w:val="auto"/>
                <w:sz w:val="24"/>
                <w:highlight w:val="none"/>
              </w:rPr>
              <w:t>）引起的衰减。</w:t>
            </w:r>
          </w:p>
          <w:p w14:paraId="4B9E02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距声源点r处的A声级按下式计算：</w:t>
            </w:r>
          </w:p>
          <w:p w14:paraId="06A19A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3422015" cy="358140"/>
                  <wp:effectExtent l="0" t="0" r="6985" b="38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2"/>
                          <a:stretch>
                            <a:fillRect/>
                          </a:stretch>
                        </pic:blipFill>
                        <pic:spPr>
                          <a:xfrm>
                            <a:off x="0" y="0"/>
                            <a:ext cx="3422015" cy="358140"/>
                          </a:xfrm>
                          <a:prstGeom prst="rect">
                            <a:avLst/>
                          </a:prstGeom>
                          <a:noFill/>
                          <a:ln>
                            <a:noFill/>
                          </a:ln>
                        </pic:spPr>
                      </pic:pic>
                    </a:graphicData>
                  </a:graphic>
                </wp:inline>
              </w:drawing>
            </w:r>
          </w:p>
          <w:p w14:paraId="390673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在预测中考虑反射引起的修正、屏障引起的衰减、双绕射、室内声源等效室外声源等影响和计算方法。</w:t>
            </w:r>
          </w:p>
          <w:p w14:paraId="6CE9D43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3.3预测结果</w:t>
            </w:r>
          </w:p>
          <w:p w14:paraId="4601B1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highlight w:val="none"/>
              </w:rPr>
              <w:t>根据模式预测结果，噪</w:t>
            </w:r>
            <w:r>
              <w:rPr>
                <w:rFonts w:hint="default" w:ascii="Times New Roman" w:hAnsi="Times New Roman" w:eastAsia="宋体" w:cs="Times New Roman"/>
                <w:color w:val="auto"/>
                <w:sz w:val="24"/>
                <w:szCs w:val="24"/>
                <w:highlight w:val="none"/>
              </w:rPr>
              <w:t>声源对各预测点的影响预测结果见表4-</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p>
          <w:p w14:paraId="6E1E4DF9">
            <w:pPr>
              <w:keepNext w:val="0"/>
              <w:keepLines w:val="0"/>
              <w:pageBreakBefore w:val="0"/>
              <w:widowControl w:val="0"/>
              <w:tabs>
                <w:tab w:val="center" w:pos="4153"/>
                <w:tab w:val="right" w:pos="8306"/>
              </w:tabs>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bCs/>
                <w:color w:val="auto"/>
                <w:kern w:val="0"/>
                <w:sz w:val="24"/>
                <w:szCs w:val="24"/>
                <w:highlight w:val="none"/>
              </w:rPr>
              <w:t>表4-</w:t>
            </w:r>
            <w:r>
              <w:rPr>
                <w:rFonts w:hint="default" w:ascii="Times New Roman" w:hAnsi="Times New Roman" w:eastAsia="宋体" w:cs="Times New Roman"/>
                <w:b/>
                <w:bCs/>
                <w:color w:val="auto"/>
                <w:kern w:val="0"/>
                <w:sz w:val="24"/>
                <w:szCs w:val="24"/>
                <w:highlight w:val="none"/>
                <w:lang w:val="en-US" w:eastAsia="zh-CN"/>
              </w:rPr>
              <w:t xml:space="preserve">6  </w:t>
            </w:r>
            <w:r>
              <w:rPr>
                <w:rFonts w:hint="default" w:ascii="Times New Roman" w:hAnsi="Times New Roman" w:eastAsia="宋体" w:cs="Times New Roman"/>
                <w:b/>
                <w:color w:val="auto"/>
                <w:kern w:val="0"/>
                <w:sz w:val="24"/>
                <w:szCs w:val="24"/>
                <w:highlight w:val="none"/>
              </w:rPr>
              <w:t>厂界噪声预测结果（单位：dB</w:t>
            </w:r>
            <w:r>
              <w:rPr>
                <w:rFonts w:hint="default" w:ascii="Times New Roman" w:hAnsi="Times New Roman" w:eastAsia="宋体" w:cs="Times New Roman"/>
                <w:b/>
                <w:color w:val="auto"/>
                <w:kern w:val="0"/>
                <w:sz w:val="24"/>
                <w:szCs w:val="24"/>
                <w:highlight w:val="none"/>
                <w:lang w:eastAsia="zh-CN"/>
              </w:rPr>
              <w:t>（</w:t>
            </w:r>
            <w:r>
              <w:rPr>
                <w:rFonts w:hint="default" w:ascii="Times New Roman" w:hAnsi="Times New Roman" w:eastAsia="宋体" w:cs="Times New Roman"/>
                <w:b/>
                <w:color w:val="auto"/>
                <w:kern w:val="0"/>
                <w:sz w:val="24"/>
                <w:szCs w:val="24"/>
                <w:highlight w:val="none"/>
              </w:rPr>
              <w:t>A</w:t>
            </w:r>
            <w:r>
              <w:rPr>
                <w:rFonts w:hint="default" w:ascii="Times New Roman" w:hAnsi="Times New Roman" w:eastAsia="宋体" w:cs="Times New Roman"/>
                <w:b/>
                <w:color w:val="auto"/>
                <w:kern w:val="0"/>
                <w:sz w:val="24"/>
                <w:szCs w:val="24"/>
                <w:highlight w:val="none"/>
                <w:lang w:eastAsia="zh-CN"/>
              </w:rPr>
              <w:t>）</w:t>
            </w:r>
            <w:r>
              <w:rPr>
                <w:rFonts w:hint="default" w:ascii="Times New Roman" w:hAnsi="Times New Roman" w:eastAsia="宋体" w:cs="Times New Roman"/>
                <w:b/>
                <w:color w:val="auto"/>
                <w:kern w:val="0"/>
                <w:sz w:val="24"/>
                <w:szCs w:val="24"/>
                <w:highlight w:val="none"/>
              </w:rPr>
              <w:t>）</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1449"/>
              <w:gridCol w:w="980"/>
              <w:gridCol w:w="1067"/>
              <w:gridCol w:w="1067"/>
              <w:gridCol w:w="1067"/>
              <w:gridCol w:w="1068"/>
              <w:gridCol w:w="1068"/>
            </w:tblGrid>
            <w:tr w14:paraId="79154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960" w:type="dxa"/>
                  <w:gridSpan w:val="2"/>
                  <w:vMerge w:val="restart"/>
                  <w:tcMar>
                    <w:left w:w="28" w:type="dxa"/>
                    <w:right w:w="28" w:type="dxa"/>
                  </w:tcMar>
                  <w:vAlign w:val="center"/>
                </w:tcPr>
                <w:p w14:paraId="6AAE172D">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预测点位</w:t>
                  </w:r>
                </w:p>
              </w:tc>
              <w:tc>
                <w:tcPr>
                  <w:tcW w:w="3114" w:type="dxa"/>
                  <w:gridSpan w:val="3"/>
                  <w:tcMar>
                    <w:left w:w="28" w:type="dxa"/>
                    <w:right w:w="28" w:type="dxa"/>
                  </w:tcMar>
                  <w:vAlign w:val="center"/>
                </w:tcPr>
                <w:p w14:paraId="6D98DCB0">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昼间</w:t>
                  </w:r>
                </w:p>
              </w:tc>
              <w:tc>
                <w:tcPr>
                  <w:tcW w:w="3203" w:type="dxa"/>
                  <w:gridSpan w:val="3"/>
                  <w:shd w:val="clear" w:color="auto" w:fill="auto"/>
                  <w:vAlign w:val="center"/>
                </w:tcPr>
                <w:p w14:paraId="73978D30">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夜间</w:t>
                  </w:r>
                </w:p>
              </w:tc>
            </w:tr>
            <w:tr w14:paraId="28451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960" w:type="dxa"/>
                  <w:gridSpan w:val="2"/>
                  <w:vMerge w:val="continue"/>
                  <w:tcMar>
                    <w:left w:w="28" w:type="dxa"/>
                    <w:right w:w="28" w:type="dxa"/>
                  </w:tcMar>
                  <w:vAlign w:val="center"/>
                </w:tcPr>
                <w:p w14:paraId="2F98C993">
                  <w:pPr>
                    <w:jc w:val="center"/>
                    <w:rPr>
                      <w:rFonts w:hint="default" w:ascii="Times New Roman" w:hAnsi="Times New Roman" w:eastAsia="宋体" w:cs="Times New Roman"/>
                      <w:color w:val="auto"/>
                      <w:szCs w:val="21"/>
                      <w:highlight w:val="none"/>
                      <w:lang w:val="de-DE"/>
                    </w:rPr>
                  </w:pPr>
                </w:p>
              </w:tc>
              <w:tc>
                <w:tcPr>
                  <w:tcW w:w="980" w:type="dxa"/>
                  <w:tcMar>
                    <w:left w:w="28" w:type="dxa"/>
                    <w:right w:w="28" w:type="dxa"/>
                  </w:tcMar>
                  <w:vAlign w:val="center"/>
                </w:tcPr>
                <w:p w14:paraId="4D2BFDF6">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现状值</w:t>
                  </w:r>
                </w:p>
              </w:tc>
              <w:tc>
                <w:tcPr>
                  <w:tcW w:w="1067" w:type="dxa"/>
                  <w:shd w:val="clear" w:color="auto" w:fill="auto"/>
                  <w:vAlign w:val="center"/>
                </w:tcPr>
                <w:p w14:paraId="3C17F744">
                  <w:pPr>
                    <w:jc w:val="center"/>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Cs w:val="21"/>
                      <w:highlight w:val="none"/>
                      <w:lang w:val="de-DE"/>
                    </w:rPr>
                    <w:t>贡献值</w:t>
                  </w:r>
                </w:p>
              </w:tc>
              <w:tc>
                <w:tcPr>
                  <w:tcW w:w="1067" w:type="dxa"/>
                  <w:vAlign w:val="center"/>
                </w:tcPr>
                <w:p w14:paraId="598C781F">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预测值</w:t>
                  </w:r>
                </w:p>
              </w:tc>
              <w:tc>
                <w:tcPr>
                  <w:tcW w:w="1067" w:type="dxa"/>
                  <w:shd w:val="clear" w:color="auto" w:fill="auto"/>
                  <w:vAlign w:val="center"/>
                </w:tcPr>
                <w:p w14:paraId="5069821B">
                  <w:pPr>
                    <w:jc w:val="center"/>
                    <w:rPr>
                      <w:rFonts w:hint="default" w:ascii="Times New Roman" w:hAnsi="Times New Roman" w:eastAsia="宋体" w:cs="Times New Roman"/>
                      <w:color w:val="auto"/>
                      <w:kern w:val="2"/>
                      <w:sz w:val="21"/>
                      <w:szCs w:val="21"/>
                      <w:highlight w:val="none"/>
                      <w:lang w:val="de-DE" w:eastAsia="zh-CN" w:bidi="ar-SA"/>
                    </w:rPr>
                  </w:pPr>
                  <w:r>
                    <w:rPr>
                      <w:rFonts w:hint="eastAsia" w:ascii="Times New Roman" w:hAnsi="Times New Roman" w:eastAsia="宋体" w:cs="Times New Roman"/>
                      <w:color w:val="auto"/>
                      <w:szCs w:val="21"/>
                      <w:highlight w:val="none"/>
                      <w:lang w:val="en-US" w:eastAsia="zh-CN"/>
                    </w:rPr>
                    <w:t>现状值</w:t>
                  </w:r>
                </w:p>
              </w:tc>
              <w:tc>
                <w:tcPr>
                  <w:tcW w:w="1068" w:type="dxa"/>
                  <w:shd w:val="clear" w:color="auto" w:fill="auto"/>
                  <w:vAlign w:val="center"/>
                </w:tcPr>
                <w:p w14:paraId="0E1461A3">
                  <w:pPr>
                    <w:jc w:val="center"/>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Cs w:val="21"/>
                      <w:highlight w:val="none"/>
                      <w:lang w:val="de-DE"/>
                    </w:rPr>
                    <w:t>贡献值</w:t>
                  </w:r>
                </w:p>
              </w:tc>
              <w:tc>
                <w:tcPr>
                  <w:tcW w:w="1068" w:type="dxa"/>
                  <w:shd w:val="clear" w:color="auto" w:fill="auto"/>
                  <w:vAlign w:val="center"/>
                </w:tcPr>
                <w:p w14:paraId="5589066A">
                  <w:pPr>
                    <w:jc w:val="center"/>
                    <w:rPr>
                      <w:rFonts w:hint="default" w:ascii="Times New Roman" w:hAnsi="Times New Roman" w:eastAsia="宋体" w:cs="Times New Roman"/>
                      <w:color w:val="auto"/>
                      <w:kern w:val="2"/>
                      <w:sz w:val="21"/>
                      <w:szCs w:val="21"/>
                      <w:highlight w:val="none"/>
                      <w:lang w:val="de-DE" w:eastAsia="zh-CN" w:bidi="ar-SA"/>
                    </w:rPr>
                  </w:pPr>
                  <w:r>
                    <w:rPr>
                      <w:rFonts w:hint="eastAsia" w:ascii="Times New Roman" w:hAnsi="Times New Roman" w:eastAsia="宋体" w:cs="Times New Roman"/>
                      <w:color w:val="auto"/>
                      <w:szCs w:val="21"/>
                      <w:highlight w:val="none"/>
                      <w:lang w:val="en-US" w:eastAsia="zh-CN"/>
                    </w:rPr>
                    <w:t>预测值</w:t>
                  </w:r>
                </w:p>
              </w:tc>
            </w:tr>
            <w:tr w14:paraId="172B0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594E74E8">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1</w:t>
                  </w:r>
                </w:p>
              </w:tc>
              <w:tc>
                <w:tcPr>
                  <w:tcW w:w="1449" w:type="dxa"/>
                  <w:tcMar>
                    <w:left w:w="28" w:type="dxa"/>
                    <w:right w:w="28" w:type="dxa"/>
                  </w:tcMar>
                  <w:vAlign w:val="center"/>
                </w:tcPr>
                <w:p w14:paraId="59EDCFD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项目东侧</w:t>
                  </w:r>
                </w:p>
              </w:tc>
              <w:tc>
                <w:tcPr>
                  <w:tcW w:w="980" w:type="dxa"/>
                  <w:tcBorders>
                    <w:left w:val="single" w:color="auto" w:sz="2" w:space="0"/>
                  </w:tcBorders>
                  <w:shd w:val="clear" w:color="auto" w:fill="auto"/>
                  <w:tcMar>
                    <w:left w:w="28" w:type="dxa"/>
                    <w:right w:w="28" w:type="dxa"/>
                  </w:tcMar>
                  <w:vAlign w:val="center"/>
                </w:tcPr>
                <w:p w14:paraId="4B3CF0CC">
                  <w:pPr>
                    <w:tabs>
                      <w:tab w:val="left" w:pos="496"/>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58.5</w:t>
                  </w:r>
                </w:p>
              </w:tc>
              <w:tc>
                <w:tcPr>
                  <w:tcW w:w="1067" w:type="dxa"/>
                  <w:shd w:val="clear" w:color="auto" w:fill="auto"/>
                  <w:vAlign w:val="center"/>
                </w:tcPr>
                <w:p w14:paraId="5B39C02E">
                  <w:pPr>
                    <w:tabs>
                      <w:tab w:val="left" w:pos="496"/>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29.5</w:t>
                  </w:r>
                </w:p>
              </w:tc>
              <w:tc>
                <w:tcPr>
                  <w:tcW w:w="1067" w:type="dxa"/>
                  <w:vAlign w:val="center"/>
                </w:tcPr>
                <w:p w14:paraId="1B4BFC7A">
                  <w:pPr>
                    <w:tabs>
                      <w:tab w:val="left" w:pos="496"/>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58.51</w:t>
                  </w:r>
                </w:p>
              </w:tc>
              <w:tc>
                <w:tcPr>
                  <w:tcW w:w="1067" w:type="dxa"/>
                  <w:shd w:val="clear" w:color="auto" w:fill="auto"/>
                  <w:vAlign w:val="center"/>
                </w:tcPr>
                <w:p w14:paraId="7DB12EE2">
                  <w:pPr>
                    <w:tabs>
                      <w:tab w:val="left" w:pos="496"/>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47.9</w:t>
                  </w:r>
                </w:p>
              </w:tc>
              <w:tc>
                <w:tcPr>
                  <w:tcW w:w="1068" w:type="dxa"/>
                  <w:shd w:val="clear" w:color="auto" w:fill="auto"/>
                  <w:vAlign w:val="center"/>
                </w:tcPr>
                <w:p w14:paraId="394FBB2C">
                  <w:pPr>
                    <w:tabs>
                      <w:tab w:val="left" w:pos="496"/>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29.5</w:t>
                  </w:r>
                </w:p>
              </w:tc>
              <w:tc>
                <w:tcPr>
                  <w:tcW w:w="1068" w:type="dxa"/>
                  <w:vAlign w:val="center"/>
                </w:tcPr>
                <w:p w14:paraId="4142D3F3">
                  <w:pPr>
                    <w:tabs>
                      <w:tab w:val="left" w:pos="496"/>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47.96</w:t>
                  </w:r>
                </w:p>
              </w:tc>
            </w:tr>
            <w:tr w14:paraId="0B063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7911DCFD">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2</w:t>
                  </w:r>
                </w:p>
              </w:tc>
              <w:tc>
                <w:tcPr>
                  <w:tcW w:w="1449" w:type="dxa"/>
                  <w:tcMar>
                    <w:left w:w="28" w:type="dxa"/>
                    <w:right w:w="28" w:type="dxa"/>
                  </w:tcMar>
                  <w:vAlign w:val="center"/>
                </w:tcPr>
                <w:p w14:paraId="79C289E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项目南侧</w:t>
                  </w:r>
                </w:p>
              </w:tc>
              <w:tc>
                <w:tcPr>
                  <w:tcW w:w="980" w:type="dxa"/>
                  <w:tcBorders>
                    <w:left w:val="single" w:color="auto" w:sz="2" w:space="0"/>
                  </w:tcBorders>
                  <w:shd w:val="clear" w:color="auto" w:fill="auto"/>
                  <w:tcMar>
                    <w:left w:w="28" w:type="dxa"/>
                    <w:right w:w="28" w:type="dxa"/>
                  </w:tcMar>
                  <w:vAlign w:val="center"/>
                </w:tcPr>
                <w:p w14:paraId="328EE828">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59.2</w:t>
                  </w:r>
                </w:p>
              </w:tc>
              <w:tc>
                <w:tcPr>
                  <w:tcW w:w="1067" w:type="dxa"/>
                  <w:shd w:val="clear" w:color="auto" w:fill="auto"/>
                  <w:vAlign w:val="center"/>
                </w:tcPr>
                <w:p w14:paraId="22417DC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27.8</w:t>
                  </w:r>
                </w:p>
              </w:tc>
              <w:tc>
                <w:tcPr>
                  <w:tcW w:w="1067" w:type="dxa"/>
                  <w:vAlign w:val="center"/>
                </w:tcPr>
                <w:p w14:paraId="54E27D03">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59.2</w:t>
                  </w:r>
                </w:p>
              </w:tc>
              <w:tc>
                <w:tcPr>
                  <w:tcW w:w="1067" w:type="dxa"/>
                  <w:shd w:val="clear" w:color="auto" w:fill="auto"/>
                  <w:vAlign w:val="center"/>
                </w:tcPr>
                <w:p w14:paraId="2A0B756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48.3</w:t>
                  </w:r>
                </w:p>
              </w:tc>
              <w:tc>
                <w:tcPr>
                  <w:tcW w:w="1068" w:type="dxa"/>
                  <w:shd w:val="clear" w:color="auto" w:fill="auto"/>
                  <w:vAlign w:val="center"/>
                </w:tcPr>
                <w:p w14:paraId="2AB6C39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27.8</w:t>
                  </w:r>
                </w:p>
              </w:tc>
              <w:tc>
                <w:tcPr>
                  <w:tcW w:w="1068" w:type="dxa"/>
                  <w:vAlign w:val="center"/>
                </w:tcPr>
                <w:p w14:paraId="4647A8C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48.34</w:t>
                  </w:r>
                </w:p>
              </w:tc>
            </w:tr>
            <w:tr w14:paraId="13018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455EE2FE">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3</w:t>
                  </w:r>
                </w:p>
              </w:tc>
              <w:tc>
                <w:tcPr>
                  <w:tcW w:w="1449" w:type="dxa"/>
                  <w:tcMar>
                    <w:left w:w="28" w:type="dxa"/>
                    <w:right w:w="28" w:type="dxa"/>
                  </w:tcMar>
                  <w:vAlign w:val="center"/>
                </w:tcPr>
                <w:p w14:paraId="5A2753B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项目西侧</w:t>
                  </w:r>
                </w:p>
              </w:tc>
              <w:tc>
                <w:tcPr>
                  <w:tcW w:w="980" w:type="dxa"/>
                  <w:tcBorders>
                    <w:left w:val="single" w:color="auto" w:sz="2" w:space="0"/>
                  </w:tcBorders>
                  <w:shd w:val="clear" w:color="auto" w:fill="auto"/>
                  <w:tcMar>
                    <w:left w:w="28" w:type="dxa"/>
                    <w:right w:w="28" w:type="dxa"/>
                  </w:tcMar>
                  <w:vAlign w:val="center"/>
                </w:tcPr>
                <w:p w14:paraId="64CDAC4F">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57.1</w:t>
                  </w:r>
                </w:p>
              </w:tc>
              <w:tc>
                <w:tcPr>
                  <w:tcW w:w="1067" w:type="dxa"/>
                  <w:shd w:val="clear" w:color="auto" w:fill="auto"/>
                  <w:vAlign w:val="center"/>
                </w:tcPr>
                <w:p w14:paraId="37A28E97">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0.4</w:t>
                  </w:r>
                </w:p>
              </w:tc>
              <w:tc>
                <w:tcPr>
                  <w:tcW w:w="1067" w:type="dxa"/>
                  <w:vAlign w:val="center"/>
                </w:tcPr>
                <w:p w14:paraId="223F9138">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57.11</w:t>
                  </w:r>
                </w:p>
              </w:tc>
              <w:tc>
                <w:tcPr>
                  <w:tcW w:w="1067" w:type="dxa"/>
                  <w:shd w:val="clear" w:color="auto" w:fill="auto"/>
                  <w:vAlign w:val="center"/>
                </w:tcPr>
                <w:p w14:paraId="5D79250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48.5</w:t>
                  </w:r>
                </w:p>
              </w:tc>
              <w:tc>
                <w:tcPr>
                  <w:tcW w:w="1068" w:type="dxa"/>
                  <w:shd w:val="clear" w:color="auto" w:fill="auto"/>
                  <w:vAlign w:val="center"/>
                </w:tcPr>
                <w:p w14:paraId="0615D6D0">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3</w:t>
                  </w:r>
                  <w:r>
                    <w:rPr>
                      <w:rFonts w:hint="eastAsia" w:ascii="Times New Roman" w:hAnsi="Times New Roman" w:eastAsia="宋体" w:cs="Times New Roman"/>
                      <w:color w:val="auto"/>
                      <w:szCs w:val="21"/>
                      <w:highlight w:val="none"/>
                      <w:lang w:val="en-US" w:eastAsia="zh-CN"/>
                    </w:rPr>
                    <w:t>0.4</w:t>
                  </w:r>
                </w:p>
              </w:tc>
              <w:tc>
                <w:tcPr>
                  <w:tcW w:w="1068" w:type="dxa"/>
                  <w:vAlign w:val="center"/>
                </w:tcPr>
                <w:p w14:paraId="673BA0F1">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48.57</w:t>
                  </w:r>
                </w:p>
              </w:tc>
            </w:tr>
            <w:tr w14:paraId="4407E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019F87B9">
                  <w:pPr>
                    <w:jc w:val="center"/>
                    <w:rPr>
                      <w:rFonts w:hint="default" w:ascii="Times New Roman" w:hAnsi="Times New Roman" w:eastAsia="宋体" w:cs="Times New Roman"/>
                      <w:color w:val="auto"/>
                      <w:szCs w:val="21"/>
                      <w:highlight w:val="none"/>
                      <w:lang w:val="de-DE"/>
                    </w:rPr>
                  </w:pPr>
                  <w:r>
                    <w:rPr>
                      <w:rFonts w:hint="default" w:ascii="Times New Roman" w:hAnsi="Times New Roman" w:eastAsia="宋体" w:cs="Times New Roman"/>
                      <w:color w:val="auto"/>
                      <w:szCs w:val="21"/>
                      <w:highlight w:val="none"/>
                      <w:lang w:val="de-DE"/>
                    </w:rPr>
                    <w:t>4</w:t>
                  </w:r>
                </w:p>
              </w:tc>
              <w:tc>
                <w:tcPr>
                  <w:tcW w:w="1449" w:type="dxa"/>
                  <w:tcMar>
                    <w:left w:w="28" w:type="dxa"/>
                    <w:right w:w="28" w:type="dxa"/>
                  </w:tcMar>
                  <w:vAlign w:val="center"/>
                </w:tcPr>
                <w:p w14:paraId="1F694C2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项目北侧</w:t>
                  </w:r>
                </w:p>
              </w:tc>
              <w:tc>
                <w:tcPr>
                  <w:tcW w:w="980" w:type="dxa"/>
                  <w:tcBorders>
                    <w:left w:val="single" w:color="auto" w:sz="2" w:space="0"/>
                  </w:tcBorders>
                  <w:shd w:val="clear" w:color="auto" w:fill="auto"/>
                  <w:tcMar>
                    <w:left w:w="28" w:type="dxa"/>
                    <w:right w:w="28" w:type="dxa"/>
                  </w:tcMar>
                  <w:vAlign w:val="center"/>
                </w:tcPr>
                <w:p w14:paraId="5999F81A">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56.6</w:t>
                  </w:r>
                </w:p>
              </w:tc>
              <w:tc>
                <w:tcPr>
                  <w:tcW w:w="1067" w:type="dxa"/>
                  <w:shd w:val="clear" w:color="auto" w:fill="auto"/>
                  <w:vAlign w:val="center"/>
                </w:tcPr>
                <w:p w14:paraId="690FB73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29.7</w:t>
                  </w:r>
                </w:p>
              </w:tc>
              <w:tc>
                <w:tcPr>
                  <w:tcW w:w="1067" w:type="dxa"/>
                  <w:vAlign w:val="center"/>
                </w:tcPr>
                <w:p w14:paraId="683330D3">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56.61</w:t>
                  </w:r>
                </w:p>
              </w:tc>
              <w:tc>
                <w:tcPr>
                  <w:tcW w:w="1067" w:type="dxa"/>
                  <w:shd w:val="clear" w:color="auto" w:fill="auto"/>
                  <w:vAlign w:val="center"/>
                </w:tcPr>
                <w:p w14:paraId="5205A17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47.8</w:t>
                  </w:r>
                </w:p>
              </w:tc>
              <w:tc>
                <w:tcPr>
                  <w:tcW w:w="1068" w:type="dxa"/>
                  <w:shd w:val="clear" w:color="auto" w:fill="auto"/>
                  <w:vAlign w:val="center"/>
                </w:tcPr>
                <w:p w14:paraId="02F4BC64">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29.7</w:t>
                  </w:r>
                </w:p>
              </w:tc>
              <w:tc>
                <w:tcPr>
                  <w:tcW w:w="1068" w:type="dxa"/>
                  <w:vAlign w:val="center"/>
                </w:tcPr>
                <w:p w14:paraId="2704886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47.87</w:t>
                  </w:r>
                </w:p>
              </w:tc>
            </w:tr>
            <w:tr w14:paraId="7DC7E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4D9231BF">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1449" w:type="dxa"/>
                  <w:shd w:val="clear" w:color="auto" w:fill="auto"/>
                  <w:tcMar>
                    <w:left w:w="28" w:type="dxa"/>
                    <w:right w:w="28" w:type="dxa"/>
                  </w:tcMar>
                  <w:vAlign w:val="center"/>
                </w:tcPr>
                <w:p w14:paraId="38CFBA8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rPr>
                    <w:t>南侧敏感点</w:t>
                  </w:r>
                </w:p>
              </w:tc>
              <w:tc>
                <w:tcPr>
                  <w:tcW w:w="980" w:type="dxa"/>
                  <w:tcBorders>
                    <w:left w:val="single" w:color="auto" w:sz="2" w:space="0"/>
                  </w:tcBorders>
                  <w:shd w:val="clear" w:color="auto" w:fill="auto"/>
                  <w:tcMar>
                    <w:left w:w="28" w:type="dxa"/>
                    <w:right w:w="28" w:type="dxa"/>
                  </w:tcMar>
                  <w:vAlign w:val="center"/>
                </w:tcPr>
                <w:p w14:paraId="5852DE1E">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58.7</w:t>
                  </w:r>
                </w:p>
              </w:tc>
              <w:tc>
                <w:tcPr>
                  <w:tcW w:w="1067" w:type="dxa"/>
                  <w:shd w:val="clear" w:color="auto" w:fill="auto"/>
                  <w:vAlign w:val="center"/>
                </w:tcPr>
                <w:p w14:paraId="0984B56E">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26.1</w:t>
                  </w:r>
                </w:p>
              </w:tc>
              <w:tc>
                <w:tcPr>
                  <w:tcW w:w="1067" w:type="dxa"/>
                  <w:vAlign w:val="center"/>
                </w:tcPr>
                <w:p w14:paraId="534517B5">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58.7</w:t>
                  </w:r>
                </w:p>
              </w:tc>
              <w:tc>
                <w:tcPr>
                  <w:tcW w:w="1067" w:type="dxa"/>
                  <w:shd w:val="clear" w:color="auto" w:fill="auto"/>
                  <w:vAlign w:val="center"/>
                </w:tcPr>
                <w:p w14:paraId="20BB6E1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49.3</w:t>
                  </w:r>
                </w:p>
              </w:tc>
              <w:tc>
                <w:tcPr>
                  <w:tcW w:w="1068" w:type="dxa"/>
                  <w:shd w:val="clear" w:color="auto" w:fill="auto"/>
                  <w:vAlign w:val="center"/>
                </w:tcPr>
                <w:p w14:paraId="122BBF79">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26.1</w:t>
                  </w:r>
                </w:p>
              </w:tc>
              <w:tc>
                <w:tcPr>
                  <w:tcW w:w="1068" w:type="dxa"/>
                  <w:vAlign w:val="center"/>
                </w:tcPr>
                <w:p w14:paraId="3ED1B8F3">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49.32</w:t>
                  </w:r>
                </w:p>
              </w:tc>
            </w:tr>
            <w:tr w14:paraId="62DC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11" w:type="dxa"/>
                  <w:tcMar>
                    <w:left w:w="28" w:type="dxa"/>
                    <w:right w:w="28" w:type="dxa"/>
                  </w:tcMar>
                  <w:vAlign w:val="center"/>
                </w:tcPr>
                <w:p w14:paraId="04DD5366">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p>
              </w:tc>
              <w:tc>
                <w:tcPr>
                  <w:tcW w:w="1449" w:type="dxa"/>
                  <w:tcMar>
                    <w:left w:w="28" w:type="dxa"/>
                    <w:right w:w="28" w:type="dxa"/>
                  </w:tcMar>
                  <w:vAlign w:val="center"/>
                </w:tcPr>
                <w:p w14:paraId="50BDDCC2">
                  <w:pPr>
                    <w:jc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b w:val="0"/>
                      <w:bCs/>
                      <w:color w:val="auto"/>
                      <w:kern w:val="0"/>
                      <w:sz w:val="21"/>
                      <w:szCs w:val="21"/>
                      <w:highlight w:val="none"/>
                      <w:lang w:val="en-US" w:eastAsia="zh-CN"/>
                    </w:rPr>
                    <w:t>西南侧敏感点</w:t>
                  </w:r>
                </w:p>
              </w:tc>
              <w:tc>
                <w:tcPr>
                  <w:tcW w:w="980" w:type="dxa"/>
                  <w:tcBorders>
                    <w:left w:val="single" w:color="auto" w:sz="2" w:space="0"/>
                  </w:tcBorders>
                  <w:shd w:val="clear" w:color="auto" w:fill="auto"/>
                  <w:tcMar>
                    <w:left w:w="28" w:type="dxa"/>
                    <w:right w:w="28" w:type="dxa"/>
                  </w:tcMar>
                  <w:vAlign w:val="center"/>
                </w:tcPr>
                <w:p w14:paraId="0AA16FCD">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59.4</w:t>
                  </w:r>
                </w:p>
              </w:tc>
              <w:tc>
                <w:tcPr>
                  <w:tcW w:w="1067" w:type="dxa"/>
                  <w:shd w:val="clear" w:color="auto" w:fill="auto"/>
                  <w:vAlign w:val="center"/>
                </w:tcPr>
                <w:p w14:paraId="6A4010EB">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26.3</w:t>
                  </w:r>
                </w:p>
              </w:tc>
              <w:tc>
                <w:tcPr>
                  <w:tcW w:w="1067" w:type="dxa"/>
                  <w:vAlign w:val="center"/>
                </w:tcPr>
                <w:p w14:paraId="735C83E8">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59.4</w:t>
                  </w:r>
                </w:p>
              </w:tc>
              <w:tc>
                <w:tcPr>
                  <w:tcW w:w="1067" w:type="dxa"/>
                  <w:shd w:val="clear" w:color="auto" w:fill="auto"/>
                  <w:vAlign w:val="center"/>
                </w:tcPr>
                <w:p w14:paraId="0AD00E47">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48.0</w:t>
                  </w:r>
                </w:p>
              </w:tc>
              <w:tc>
                <w:tcPr>
                  <w:tcW w:w="1068" w:type="dxa"/>
                  <w:shd w:val="clear" w:color="auto" w:fill="auto"/>
                  <w:vAlign w:val="center"/>
                </w:tcPr>
                <w:p w14:paraId="242E1444">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26.3</w:t>
                  </w:r>
                </w:p>
              </w:tc>
              <w:tc>
                <w:tcPr>
                  <w:tcW w:w="1068" w:type="dxa"/>
                  <w:vAlign w:val="center"/>
                </w:tcPr>
                <w:p w14:paraId="68AC93D1">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48.03</w:t>
                  </w:r>
                </w:p>
              </w:tc>
            </w:tr>
          </w:tbl>
          <w:p w14:paraId="42AFE7C5">
            <w:pPr>
              <w:tabs>
                <w:tab w:val="left" w:pos="1992"/>
              </w:tabs>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根据预测，本项目厂区边界四周昼间噪声</w:t>
            </w:r>
            <w:r>
              <w:rPr>
                <w:rFonts w:hint="eastAsia" w:ascii="Times New Roman" w:hAnsi="Times New Roman" w:eastAsia="宋体" w:cs="Times New Roman"/>
                <w:color w:val="auto"/>
                <w:sz w:val="24"/>
                <w:szCs w:val="24"/>
                <w:highlight w:val="none"/>
                <w:lang w:val="en-US" w:eastAsia="zh-CN"/>
              </w:rPr>
              <w:t>预测</w:t>
            </w:r>
            <w:r>
              <w:rPr>
                <w:rFonts w:hint="default" w:ascii="Times New Roman" w:hAnsi="Times New Roman" w:eastAsia="宋体" w:cs="Times New Roman"/>
                <w:color w:val="auto"/>
                <w:sz w:val="24"/>
                <w:szCs w:val="24"/>
                <w:highlight w:val="none"/>
              </w:rPr>
              <w:t>值为</w:t>
            </w:r>
            <w:r>
              <w:rPr>
                <w:rFonts w:hint="eastAsia" w:ascii="Times New Roman" w:hAnsi="Times New Roman" w:eastAsia="宋体" w:cs="Times New Roman"/>
                <w:color w:val="auto"/>
                <w:sz w:val="24"/>
                <w:szCs w:val="24"/>
                <w:highlight w:val="none"/>
                <w:lang w:val="en-US" w:eastAsia="zh-CN"/>
              </w:rPr>
              <w:t>56.61</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59.20</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夜</w:t>
            </w:r>
            <w:r>
              <w:rPr>
                <w:rFonts w:hint="default" w:ascii="Times New Roman" w:hAnsi="Times New Roman" w:eastAsia="宋体" w:cs="Times New Roman"/>
                <w:color w:val="auto"/>
                <w:sz w:val="24"/>
                <w:szCs w:val="24"/>
                <w:highlight w:val="none"/>
              </w:rPr>
              <w:t>间噪声</w:t>
            </w:r>
            <w:r>
              <w:rPr>
                <w:rFonts w:hint="eastAsia" w:ascii="Times New Roman" w:hAnsi="Times New Roman" w:eastAsia="宋体" w:cs="Times New Roman"/>
                <w:color w:val="auto"/>
                <w:sz w:val="24"/>
                <w:szCs w:val="24"/>
                <w:highlight w:val="none"/>
                <w:lang w:val="en-US" w:eastAsia="zh-CN"/>
              </w:rPr>
              <w:t>预测</w:t>
            </w:r>
            <w:r>
              <w:rPr>
                <w:rFonts w:hint="default" w:ascii="Times New Roman" w:hAnsi="Times New Roman" w:eastAsia="宋体" w:cs="Times New Roman"/>
                <w:color w:val="auto"/>
                <w:sz w:val="24"/>
                <w:szCs w:val="24"/>
                <w:highlight w:val="none"/>
              </w:rPr>
              <w:t>值为</w:t>
            </w:r>
            <w:r>
              <w:rPr>
                <w:rFonts w:hint="eastAsia" w:ascii="Times New Roman" w:hAnsi="Times New Roman" w:eastAsia="宋体" w:cs="Times New Roman"/>
                <w:color w:val="auto"/>
                <w:sz w:val="24"/>
                <w:szCs w:val="24"/>
                <w:highlight w:val="none"/>
                <w:lang w:val="en-US" w:eastAsia="zh-CN"/>
              </w:rPr>
              <w:t>47.87</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48.57</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，均满足《工业企业厂界噪声排放标准》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GB12348-2008</w:t>
            </w:r>
            <w:r>
              <w:rPr>
                <w:rFonts w:hint="default" w:ascii="Times New Roman" w:hAnsi="Times New Roman" w:eastAsia="宋体" w:cs="Times New Roman"/>
                <w:color w:val="auto"/>
                <w:sz w:val="24"/>
                <w:szCs w:val="24"/>
                <w:highlight w:val="none"/>
                <w:lang w:eastAsia="zh-CN"/>
              </w:rPr>
              <w:t>）3类</w:t>
            </w:r>
            <w:r>
              <w:rPr>
                <w:rFonts w:hint="default" w:ascii="Times New Roman" w:hAnsi="Times New Roman" w:eastAsia="宋体" w:cs="Times New Roman"/>
                <w:color w:val="auto"/>
                <w:sz w:val="24"/>
                <w:szCs w:val="24"/>
                <w:highlight w:val="none"/>
              </w:rPr>
              <w:t>标准排放限值</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南侧和西南侧敏感点</w:t>
            </w:r>
            <w:r>
              <w:rPr>
                <w:rFonts w:hint="default" w:ascii="Times New Roman" w:hAnsi="Times New Roman" w:eastAsia="宋体" w:cs="Times New Roman"/>
                <w:color w:val="auto"/>
                <w:sz w:val="24"/>
                <w:szCs w:val="24"/>
                <w:highlight w:val="none"/>
              </w:rPr>
              <w:t>昼间噪声</w:t>
            </w:r>
            <w:r>
              <w:rPr>
                <w:rFonts w:hint="eastAsia" w:ascii="Times New Roman" w:hAnsi="Times New Roman" w:eastAsia="宋体" w:cs="Times New Roman"/>
                <w:color w:val="auto"/>
                <w:sz w:val="24"/>
                <w:szCs w:val="24"/>
                <w:highlight w:val="none"/>
                <w:lang w:val="en-US" w:eastAsia="zh-CN"/>
              </w:rPr>
              <w:t>预测</w:t>
            </w:r>
            <w:r>
              <w:rPr>
                <w:rFonts w:hint="default" w:ascii="Times New Roman" w:hAnsi="Times New Roman" w:eastAsia="宋体" w:cs="Times New Roman"/>
                <w:color w:val="auto"/>
                <w:sz w:val="24"/>
                <w:szCs w:val="24"/>
                <w:highlight w:val="none"/>
              </w:rPr>
              <w:t>值为</w:t>
            </w:r>
            <w:r>
              <w:rPr>
                <w:rFonts w:hint="eastAsia" w:ascii="Times New Roman" w:hAnsi="Times New Roman" w:eastAsia="宋体" w:cs="Times New Roman"/>
                <w:color w:val="auto"/>
                <w:sz w:val="24"/>
                <w:szCs w:val="24"/>
                <w:highlight w:val="none"/>
                <w:lang w:val="en-US" w:eastAsia="zh-CN"/>
              </w:rPr>
              <w:t>58.7</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59.4</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夜</w:t>
            </w:r>
            <w:r>
              <w:rPr>
                <w:rFonts w:hint="default" w:ascii="Times New Roman" w:hAnsi="Times New Roman" w:eastAsia="宋体" w:cs="Times New Roman"/>
                <w:color w:val="auto"/>
                <w:sz w:val="24"/>
                <w:szCs w:val="24"/>
                <w:highlight w:val="none"/>
              </w:rPr>
              <w:t>间噪声</w:t>
            </w:r>
            <w:r>
              <w:rPr>
                <w:rFonts w:hint="eastAsia" w:ascii="Times New Roman" w:hAnsi="Times New Roman" w:eastAsia="宋体" w:cs="Times New Roman"/>
                <w:color w:val="auto"/>
                <w:sz w:val="24"/>
                <w:szCs w:val="24"/>
                <w:highlight w:val="none"/>
                <w:lang w:val="en-US" w:eastAsia="zh-CN"/>
              </w:rPr>
              <w:t>预测</w:t>
            </w:r>
            <w:r>
              <w:rPr>
                <w:rFonts w:hint="default" w:ascii="Times New Roman" w:hAnsi="Times New Roman" w:eastAsia="宋体" w:cs="Times New Roman"/>
                <w:color w:val="auto"/>
                <w:sz w:val="24"/>
                <w:szCs w:val="24"/>
                <w:highlight w:val="none"/>
              </w:rPr>
              <w:t>值为</w:t>
            </w:r>
            <w:r>
              <w:rPr>
                <w:rFonts w:hint="eastAsia" w:ascii="Times New Roman" w:hAnsi="Times New Roman" w:eastAsia="宋体" w:cs="Times New Roman"/>
                <w:color w:val="auto"/>
                <w:sz w:val="24"/>
                <w:szCs w:val="24"/>
                <w:highlight w:val="none"/>
                <w:lang w:val="en-US" w:eastAsia="zh-CN"/>
              </w:rPr>
              <w:t>48.03</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49.32</w:t>
            </w:r>
            <w:r>
              <w:rPr>
                <w:rFonts w:hint="default" w:ascii="Times New Roman" w:hAnsi="Times New Roman" w:eastAsia="宋体" w:cs="Times New Roman"/>
                <w:color w:val="auto"/>
                <w:sz w:val="24"/>
                <w:szCs w:val="24"/>
                <w:highlight w:val="none"/>
              </w:rPr>
              <w:t>dB</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，均满足《声环境质量标准》（GB3096-2008）2类标准。</w:t>
            </w:r>
          </w:p>
          <w:p w14:paraId="63A5F0E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3.4噪声环境防护措施</w:t>
            </w:r>
          </w:p>
          <w:p w14:paraId="3A84E1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（1）从噪声源头进行控制，降低源强，即在设备选购时尽量采用低噪声设备；</w:t>
            </w:r>
          </w:p>
          <w:p w14:paraId="2BCD10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（2）所有设备均布置在室内，并采取基础</w:t>
            </w:r>
            <w:r>
              <w:rPr>
                <w:rFonts w:hint="default" w:ascii="Times New Roman" w:hAnsi="Times New Roman" w:eastAsia="宋体" w:cs="Times New Roman"/>
                <w:color w:val="auto"/>
                <w:sz w:val="24"/>
                <w:szCs w:val="32"/>
                <w:highlight w:val="none"/>
                <w:lang w:eastAsia="zh-CN"/>
              </w:rPr>
              <w:t>减振</w:t>
            </w:r>
            <w:r>
              <w:rPr>
                <w:rFonts w:hint="default" w:ascii="Times New Roman" w:hAnsi="Times New Roman" w:eastAsia="宋体" w:cs="Times New Roman"/>
                <w:color w:val="auto"/>
                <w:sz w:val="24"/>
                <w:szCs w:val="32"/>
                <w:highlight w:val="none"/>
              </w:rPr>
              <w:t>措施</w:t>
            </w:r>
            <w:r>
              <w:rPr>
                <w:rFonts w:hint="eastAsia" w:ascii="Times New Roman" w:hAnsi="Times New Roman" w:eastAsia="宋体" w:cs="Times New Roman"/>
                <w:color w:val="auto"/>
                <w:sz w:val="24"/>
                <w:szCs w:val="32"/>
                <w:highlight w:val="none"/>
                <w:lang w:eastAsia="zh-CN"/>
              </w:rPr>
              <w:t>，</w:t>
            </w:r>
            <w:r>
              <w:rPr>
                <w:rFonts w:hint="eastAsia" w:ascii="Times New Roman" w:hAnsi="Times New Roman" w:eastAsia="宋体" w:cs="Times New Roman"/>
                <w:color w:val="auto"/>
                <w:sz w:val="24"/>
                <w:szCs w:val="32"/>
                <w:highlight w:val="none"/>
                <w:lang w:val="en-US" w:eastAsia="zh-CN"/>
              </w:rPr>
              <w:t>加设隔声罩</w:t>
            </w:r>
            <w:r>
              <w:rPr>
                <w:rFonts w:hint="default" w:ascii="Times New Roman" w:hAnsi="Times New Roman" w:eastAsia="宋体" w:cs="Times New Roman"/>
                <w:color w:val="auto"/>
                <w:sz w:val="24"/>
                <w:szCs w:val="32"/>
                <w:highlight w:val="none"/>
              </w:rPr>
              <w:t>。</w:t>
            </w:r>
          </w:p>
          <w:p w14:paraId="6D5FBE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（3）加强设备的维护，确保设备处于良好的运转状态，杜绝因设备不正常运转时产生的高噪声现象。</w:t>
            </w:r>
          </w:p>
          <w:p w14:paraId="27DE7CD0">
            <w:pPr>
              <w:tabs>
                <w:tab w:val="center" w:pos="4153"/>
                <w:tab w:val="right" w:pos="8306"/>
              </w:tabs>
              <w:adjustRightInd/>
              <w:spacing w:line="360" w:lineRule="auto"/>
              <w:ind w:firstLine="482" w:firstLineChars="200"/>
              <w:jc w:val="left"/>
              <w:textAlignment w:val="auto"/>
              <w:outlineLvl w:val="2"/>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color w:val="auto"/>
                <w:sz w:val="24"/>
                <w:szCs w:val="24"/>
                <w:highlight w:val="none"/>
              </w:rPr>
              <w:t>4</w:t>
            </w:r>
            <w:r>
              <w:rPr>
                <w:rFonts w:hint="default" w:ascii="Times New Roman" w:hAnsi="Times New Roman" w:eastAsia="宋体" w:cs="Times New Roman"/>
                <w:b/>
                <w:color w:val="auto"/>
                <w:sz w:val="24"/>
                <w:szCs w:val="24"/>
                <w:highlight w:val="none"/>
              </w:rPr>
              <w:t>、固体废物产生及处置情况</w:t>
            </w:r>
          </w:p>
          <w:p w14:paraId="7AACF9B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（1）灰渣</w:t>
            </w:r>
          </w:p>
          <w:p w14:paraId="53B5AB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本项目1台</w:t>
            </w:r>
            <w:r>
              <w:rPr>
                <w:rFonts w:hint="default" w:ascii="Times New Roman" w:hAnsi="Times New Roman" w:eastAsia="宋体" w:cs="Times New Roman"/>
                <w:color w:val="auto"/>
                <w:sz w:val="24"/>
                <w:szCs w:val="32"/>
                <w:highlight w:val="none"/>
                <w:lang w:eastAsia="zh-CN"/>
              </w:rPr>
              <w:t>10t/h生物质蒸汽锅炉</w:t>
            </w:r>
            <w:r>
              <w:rPr>
                <w:rFonts w:hint="default" w:ascii="Times New Roman" w:hAnsi="Times New Roman" w:eastAsia="宋体" w:cs="Times New Roman"/>
                <w:color w:val="auto"/>
                <w:sz w:val="24"/>
                <w:szCs w:val="32"/>
                <w:highlight w:val="none"/>
              </w:rPr>
              <w:t>废气中灰渣卸载过程中产生量根据《污染源源强核算技术指南</w:t>
            </w:r>
            <w:r>
              <w:rPr>
                <w:rFonts w:hint="default" w:ascii="Times New Roman" w:hAnsi="Times New Roman" w:eastAsia="宋体" w:cs="Times New Roman"/>
                <w:color w:val="auto"/>
                <w:sz w:val="24"/>
                <w:szCs w:val="32"/>
                <w:highlight w:val="none"/>
                <w:lang w:val="en-US" w:eastAsia="zh-CN"/>
              </w:rPr>
              <w:t xml:space="preserve"> </w:t>
            </w:r>
            <w:r>
              <w:rPr>
                <w:rFonts w:hint="default" w:ascii="Times New Roman" w:hAnsi="Times New Roman" w:eastAsia="宋体" w:cs="Times New Roman"/>
                <w:color w:val="auto"/>
                <w:sz w:val="24"/>
                <w:szCs w:val="32"/>
                <w:highlight w:val="none"/>
              </w:rPr>
              <w:t>锅炉》（HJ991-2018）产污系数法进行计算，公式如下：</w:t>
            </w:r>
          </w:p>
          <w:p w14:paraId="6722146E">
            <w:pPr>
              <w:spacing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5219700" cy="1838325"/>
                  <wp:effectExtent l="0" t="0" r="0" b="952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23"/>
                          <a:stretch>
                            <a:fillRect/>
                          </a:stretch>
                        </pic:blipFill>
                        <pic:spPr>
                          <a:xfrm>
                            <a:off x="0" y="0"/>
                            <a:ext cx="5219700" cy="1838325"/>
                          </a:xfrm>
                          <a:prstGeom prst="rect">
                            <a:avLst/>
                          </a:prstGeom>
                          <a:noFill/>
                          <a:ln>
                            <a:noFill/>
                          </a:ln>
                        </pic:spPr>
                      </pic:pic>
                    </a:graphicData>
                  </a:graphic>
                </wp:inline>
              </w:drawing>
            </w:r>
          </w:p>
          <w:p w14:paraId="6917106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本项目生物质成型燃料消耗总量为</w:t>
            </w:r>
            <w:r>
              <w:rPr>
                <w:rFonts w:hint="default" w:ascii="Times New Roman" w:hAnsi="Times New Roman" w:eastAsia="宋体" w:cs="Times New Roman"/>
                <w:color w:val="auto"/>
                <w:sz w:val="24"/>
                <w:highlight w:val="none"/>
                <w:lang w:eastAsia="zh-CN"/>
              </w:rPr>
              <w:t>2132.64</w:t>
            </w:r>
            <w:r>
              <w:rPr>
                <w:rFonts w:hint="default" w:ascii="Times New Roman" w:hAnsi="Times New Roman" w:eastAsia="宋体" w:cs="Times New Roman"/>
                <w:color w:val="auto"/>
                <w:sz w:val="24"/>
                <w:highlight w:val="none"/>
              </w:rPr>
              <w:t>t/a；生物质成型燃料收到基灰分为</w:t>
            </w:r>
            <w:r>
              <w:rPr>
                <w:rFonts w:hint="default" w:ascii="Times New Roman" w:hAnsi="Times New Roman" w:eastAsia="宋体" w:cs="Times New Roman"/>
                <w:color w:val="auto"/>
                <w:sz w:val="24"/>
                <w:highlight w:val="none"/>
                <w:lang w:val="en-US" w:eastAsia="zh-CN"/>
              </w:rPr>
              <w:t>2.56</w:t>
            </w: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kern w:val="0"/>
                <w:sz w:val="24"/>
                <w:highlight w:val="none"/>
              </w:rPr>
              <w:t>《污染源源强核算技术指南锅炉》（HJ991-2018）表B.1锅炉机械不完全燃烧热损失的一般取值5</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15%，本次评价取</w:t>
            </w:r>
            <w:r>
              <w:rPr>
                <w:rFonts w:hint="default" w:ascii="Times New Roman" w:hAnsi="Times New Roman" w:eastAsia="宋体"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sz w:val="24"/>
                <w:highlight w:val="none"/>
              </w:rPr>
              <w:t>；生物质成型燃料收到基低位发热量为1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.60MJ/kg。</w:t>
            </w:r>
          </w:p>
          <w:p w14:paraId="4CFB179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则E</w:t>
            </w:r>
            <w:r>
              <w:rPr>
                <w:rFonts w:hint="default" w:ascii="Times New Roman" w:hAnsi="Times New Roman" w:eastAsia="宋体" w:cs="Times New Roman"/>
                <w:color w:val="auto"/>
                <w:sz w:val="24"/>
                <w:highlight w:val="none"/>
                <w:vertAlign w:val="subscript"/>
              </w:rPr>
              <w:t>hz</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2132.64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2.56</w:t>
            </w:r>
            <w:r>
              <w:rPr>
                <w:rFonts w:hint="default" w:ascii="Times New Roman" w:hAnsi="Times New Roman" w:eastAsia="宋体" w:cs="Times New Roman"/>
                <w:color w:val="auto"/>
                <w:sz w:val="24"/>
                <w:highlight w:val="none"/>
              </w:rPr>
              <w:t>/100+（</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.60×10</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）/（100×33870）]</w:t>
            </w:r>
          </w:p>
          <w:p w14:paraId="2993707B">
            <w:pPr>
              <w:spacing w:line="360" w:lineRule="auto"/>
              <w:ind w:firstLine="960" w:firstLineChars="4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113.153</w:t>
            </w:r>
            <w:r>
              <w:rPr>
                <w:rFonts w:hint="default" w:ascii="Times New Roman" w:hAnsi="Times New Roman" w:eastAsia="宋体" w:cs="Times New Roman"/>
                <w:color w:val="auto"/>
                <w:sz w:val="24"/>
                <w:highlight w:val="none"/>
              </w:rPr>
              <w:t>t/a</w:t>
            </w:r>
          </w:p>
          <w:p w14:paraId="5EEE5F8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暂存于全封闭</w:t>
            </w:r>
            <w:r>
              <w:rPr>
                <w:rFonts w:hint="default" w:ascii="Times New Roman" w:hAnsi="Times New Roman" w:eastAsia="宋体" w:cs="Times New Roman"/>
                <w:color w:val="auto"/>
                <w:sz w:val="24"/>
                <w:highlight w:val="none"/>
                <w:lang w:eastAsia="zh-CN"/>
              </w:rPr>
              <w:t>灰渣库</w:t>
            </w:r>
            <w:r>
              <w:rPr>
                <w:rFonts w:hint="default" w:ascii="Times New Roman" w:hAnsi="Times New Roman" w:eastAsia="宋体" w:cs="Times New Roman"/>
                <w:color w:val="auto"/>
                <w:sz w:val="24"/>
                <w:highlight w:val="none"/>
              </w:rPr>
              <w:t>内，</w:t>
            </w:r>
            <w:r>
              <w:rPr>
                <w:rFonts w:hint="default" w:ascii="Times New Roman" w:hAnsi="Times New Roman" w:eastAsia="宋体" w:cs="Times New Roman"/>
                <w:color w:val="auto"/>
                <w:sz w:val="24"/>
                <w:highlight w:val="none"/>
                <w:lang w:eastAsia="zh-CN"/>
              </w:rPr>
              <w:t>作为原料回用于厂区现有加气混凝土砌块生产线</w:t>
            </w:r>
            <w:r>
              <w:rPr>
                <w:rFonts w:hint="default" w:ascii="Times New Roman" w:hAnsi="Times New Roman" w:eastAsia="宋体" w:cs="Times New Roman"/>
                <w:color w:val="auto"/>
                <w:sz w:val="24"/>
                <w:highlight w:val="none"/>
              </w:rPr>
              <w:t>。</w:t>
            </w:r>
          </w:p>
          <w:p w14:paraId="124282D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（2）除尘灰</w:t>
            </w:r>
          </w:p>
          <w:p w14:paraId="0C7733B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本项目1台</w:t>
            </w:r>
            <w:r>
              <w:rPr>
                <w:rFonts w:hint="default" w:ascii="Times New Roman" w:hAnsi="Times New Roman" w:eastAsia="宋体" w:cs="Times New Roman"/>
                <w:color w:val="auto"/>
                <w:sz w:val="24"/>
                <w:highlight w:val="none"/>
                <w:lang w:eastAsia="zh-CN"/>
              </w:rPr>
              <w:t>10t/h生物质蒸汽锅炉</w:t>
            </w:r>
            <w:r>
              <w:rPr>
                <w:rFonts w:hint="default" w:ascii="Times New Roman" w:hAnsi="Times New Roman" w:eastAsia="宋体" w:cs="Times New Roman"/>
                <w:color w:val="auto"/>
                <w:sz w:val="24"/>
                <w:highlight w:val="none"/>
              </w:rPr>
              <w:t>废气经1台</w:t>
            </w:r>
            <w:r>
              <w:rPr>
                <w:rFonts w:hint="default" w:ascii="Times New Roman" w:hAnsi="Times New Roman" w:eastAsia="宋体" w:cs="Times New Roman"/>
                <w:color w:val="auto"/>
                <w:sz w:val="24"/>
                <w:highlight w:val="none"/>
                <w:lang w:eastAsia="zh-CN"/>
              </w:rPr>
              <w:t>旋风除尘器</w:t>
            </w:r>
            <w:r>
              <w:rPr>
                <w:rFonts w:hint="default" w:ascii="Times New Roman" w:hAnsi="Times New Roman" w:eastAsia="宋体" w:cs="Times New Roman"/>
                <w:color w:val="auto"/>
                <w:sz w:val="24"/>
                <w:highlight w:val="none"/>
              </w:rPr>
              <w:t>和1台</w:t>
            </w:r>
            <w:r>
              <w:rPr>
                <w:rFonts w:hint="default" w:ascii="Times New Roman" w:hAnsi="Times New Roman" w:eastAsia="宋体" w:cs="Times New Roman"/>
                <w:color w:val="auto"/>
                <w:sz w:val="24"/>
                <w:highlight w:val="none"/>
                <w:lang w:eastAsia="zh-CN"/>
              </w:rPr>
              <w:t>布袋除尘器</w:t>
            </w:r>
            <w:r>
              <w:rPr>
                <w:rFonts w:hint="default" w:ascii="Times New Roman" w:hAnsi="Times New Roman" w:eastAsia="宋体" w:cs="Times New Roman"/>
                <w:color w:val="auto"/>
                <w:sz w:val="24"/>
                <w:highlight w:val="none"/>
              </w:rPr>
              <w:t>处理，收集的颗粒物量为</w:t>
            </w:r>
            <w:r>
              <w:rPr>
                <w:rFonts w:hint="default" w:ascii="Times New Roman" w:hAnsi="Times New Roman" w:eastAsia="宋体" w:cs="Times New Roman"/>
                <w:color w:val="auto"/>
                <w:sz w:val="24"/>
                <w:highlight w:val="none"/>
                <w:lang w:val="en-US" w:eastAsia="zh-CN"/>
              </w:rPr>
              <w:t>5.558</w:t>
            </w:r>
            <w:r>
              <w:rPr>
                <w:rFonts w:hint="default" w:ascii="Times New Roman" w:hAnsi="Times New Roman" w:eastAsia="宋体" w:cs="Times New Roman"/>
                <w:color w:val="auto"/>
                <w:sz w:val="24"/>
                <w:highlight w:val="none"/>
              </w:rPr>
              <w:t>t</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val="en-US" w:eastAsia="zh-CN"/>
              </w:rPr>
              <w:t>装袋后堆存于</w:t>
            </w:r>
            <w:r>
              <w:rPr>
                <w:rFonts w:hint="default" w:ascii="Times New Roman" w:hAnsi="Times New Roman" w:eastAsia="宋体" w:cs="Times New Roman"/>
                <w:bCs/>
                <w:color w:val="auto"/>
                <w:sz w:val="24"/>
                <w:szCs w:val="24"/>
                <w:highlight w:val="none"/>
              </w:rPr>
              <w:t>全封闭</w:t>
            </w:r>
            <w:r>
              <w:rPr>
                <w:rFonts w:hint="default" w:ascii="Times New Roman" w:hAnsi="Times New Roman" w:eastAsia="宋体" w:cs="Times New Roman"/>
                <w:bCs/>
                <w:color w:val="auto"/>
                <w:sz w:val="24"/>
                <w:szCs w:val="24"/>
                <w:highlight w:val="none"/>
                <w:lang w:eastAsia="zh-CN"/>
              </w:rPr>
              <w:t>灰渣库</w:t>
            </w:r>
            <w:r>
              <w:rPr>
                <w:rFonts w:hint="default" w:ascii="Times New Roman" w:hAnsi="Times New Roman" w:eastAsia="宋体" w:cs="Times New Roman"/>
                <w:bCs/>
                <w:color w:val="auto"/>
                <w:sz w:val="24"/>
                <w:szCs w:val="24"/>
                <w:highlight w:val="none"/>
              </w:rPr>
              <w:t>内</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作</w:t>
            </w:r>
            <w:r>
              <w:rPr>
                <w:rFonts w:hint="default" w:ascii="Times New Roman" w:hAnsi="Times New Roman" w:eastAsia="宋体" w:cs="Times New Roman"/>
                <w:color w:val="auto"/>
                <w:sz w:val="24"/>
                <w:highlight w:val="none"/>
                <w:lang w:eastAsia="zh-CN"/>
              </w:rPr>
              <w:t>为原料回用于厂区现有加气混凝土砌块生产线</w:t>
            </w:r>
            <w:r>
              <w:rPr>
                <w:rFonts w:hint="default" w:ascii="Times New Roman" w:hAnsi="Times New Roman" w:eastAsia="宋体" w:cs="Times New Roman"/>
                <w:color w:val="auto"/>
                <w:sz w:val="24"/>
                <w:highlight w:val="none"/>
              </w:rPr>
              <w:t>。</w:t>
            </w:r>
          </w:p>
          <w:p w14:paraId="20CC8E3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灰渣库</w:t>
            </w:r>
            <w:r>
              <w:rPr>
                <w:rFonts w:hint="default" w:ascii="Times New Roman" w:hAnsi="Times New Roman" w:eastAsia="宋体" w:cs="Times New Roman"/>
                <w:color w:val="auto"/>
                <w:sz w:val="24"/>
                <w:highlight w:val="none"/>
              </w:rPr>
              <w:t>按照《一般工业固体废物贮存和填埋污染控制标准》（GB18599-2020）中Ⅱ类场技术要求建设。</w:t>
            </w:r>
          </w:p>
          <w:p w14:paraId="2C9CAD2E">
            <w:pPr>
              <w:spacing w:line="360" w:lineRule="auto"/>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本项目</w:t>
            </w:r>
            <w:r>
              <w:rPr>
                <w:rFonts w:hint="default" w:ascii="Times New Roman" w:hAnsi="Times New Roman" w:eastAsia="宋体" w:cs="Times New Roman"/>
                <w:b/>
                <w:bCs/>
                <w:color w:val="auto"/>
                <w:sz w:val="24"/>
                <w:highlight w:val="none"/>
              </w:rPr>
              <w:t>1台</w:t>
            </w:r>
            <w:r>
              <w:rPr>
                <w:rFonts w:hint="default" w:ascii="Times New Roman" w:hAnsi="Times New Roman" w:eastAsia="宋体" w:cs="Times New Roman"/>
                <w:b/>
                <w:bCs/>
                <w:color w:val="auto"/>
                <w:sz w:val="24"/>
                <w:highlight w:val="none"/>
                <w:lang w:eastAsia="zh-CN"/>
              </w:rPr>
              <w:t>10t/h生物质蒸汽锅炉</w:t>
            </w:r>
            <w:r>
              <w:rPr>
                <w:rFonts w:hint="default" w:ascii="Times New Roman" w:hAnsi="Times New Roman" w:eastAsia="宋体" w:cs="Times New Roman"/>
                <w:b/>
                <w:bCs/>
                <w:color w:val="auto"/>
                <w:sz w:val="24"/>
                <w:highlight w:val="none"/>
                <w:lang w:val="en-US" w:eastAsia="zh-CN"/>
              </w:rPr>
              <w:t>产生的</w:t>
            </w:r>
            <w:r>
              <w:rPr>
                <w:rFonts w:hint="default" w:ascii="Times New Roman" w:hAnsi="Times New Roman" w:eastAsia="宋体" w:cs="Times New Roman"/>
                <w:b/>
                <w:bCs/>
                <w:color w:val="auto"/>
                <w:sz w:val="24"/>
                <w:szCs w:val="24"/>
                <w:highlight w:val="none"/>
              </w:rPr>
              <w:t>灰渣</w:t>
            </w:r>
            <w:r>
              <w:rPr>
                <w:rFonts w:hint="default" w:ascii="Times New Roman" w:hAnsi="Times New Roman" w:eastAsia="宋体" w:cs="Times New Roman"/>
                <w:b/>
                <w:bCs/>
                <w:color w:val="auto"/>
                <w:sz w:val="24"/>
                <w:szCs w:val="24"/>
                <w:highlight w:val="none"/>
                <w:lang w:val="en-US" w:eastAsia="zh-CN"/>
              </w:rPr>
              <w:t>和除尘灰回用于</w:t>
            </w:r>
            <w:r>
              <w:rPr>
                <w:rFonts w:hint="default" w:ascii="Times New Roman" w:hAnsi="Times New Roman" w:eastAsia="宋体" w:cs="Times New Roman"/>
                <w:b/>
                <w:bCs/>
                <w:color w:val="auto"/>
                <w:sz w:val="24"/>
                <w:highlight w:val="none"/>
                <w:lang w:eastAsia="zh-CN"/>
              </w:rPr>
              <w:t>厂区现有加气混凝土砌块生产线</w:t>
            </w:r>
            <w:r>
              <w:rPr>
                <w:rFonts w:hint="default" w:ascii="Times New Roman" w:hAnsi="Times New Roman" w:eastAsia="宋体" w:cs="Times New Roman"/>
                <w:b/>
                <w:bCs/>
                <w:color w:val="auto"/>
                <w:sz w:val="24"/>
                <w:highlight w:val="none"/>
                <w:lang w:val="en-US" w:eastAsia="zh-CN"/>
              </w:rPr>
              <w:t>可行性分析：</w:t>
            </w:r>
          </w:p>
          <w:p w14:paraId="168E7462">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目前，厂区已建成1条加气混凝土砌块生产线，</w:t>
            </w:r>
            <w:r>
              <w:rPr>
                <w:rFonts w:hint="default" w:ascii="Times New Roman" w:hAnsi="Times New Roman" w:eastAsia="宋体" w:cs="Times New Roman"/>
                <w:color w:val="auto"/>
                <w:sz w:val="24"/>
                <w:highlight w:val="none"/>
              </w:rPr>
              <w:t>主要原料为粉煤灰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水泥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石灰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石膏、铝粉（</w:t>
            </w:r>
            <w:r>
              <w:rPr>
                <w:rFonts w:hint="default" w:ascii="Times New Roman" w:hAnsi="Times New Roman" w:eastAsia="宋体" w:cs="Times New Roman"/>
                <w:color w:val="auto"/>
                <w:sz w:val="24"/>
                <w:highlight w:val="none"/>
              </w:rPr>
              <w:t>发气剂</w:t>
            </w:r>
            <w:r>
              <w:rPr>
                <w:rFonts w:hint="default" w:ascii="Times New Roman" w:hAnsi="Times New Roman" w:eastAsia="宋体" w:cs="Times New Roman"/>
                <w:color w:val="auto"/>
                <w:sz w:val="24"/>
                <w:highlight w:val="none"/>
                <w:lang w:val="en-US" w:eastAsia="zh-CN"/>
              </w:rPr>
              <w:t>），其中粉煤灰来自园区金牛电厂，年消耗量为22100t（122.8t/d）</w:t>
            </w:r>
            <w:r>
              <w:rPr>
                <w:rFonts w:hint="default" w:ascii="Times New Roman" w:hAnsi="Times New Roman" w:eastAsia="宋体" w:cs="Times New Roman"/>
                <w:color w:val="auto"/>
                <w:sz w:val="24"/>
                <w:highlight w:val="none"/>
              </w:rPr>
              <w:t>。</w:t>
            </w:r>
          </w:p>
          <w:p w14:paraId="0873F1E1">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生物质蒸汽锅炉</w:t>
            </w:r>
            <w:r>
              <w:rPr>
                <w:rFonts w:hint="default" w:ascii="Times New Roman" w:hAnsi="Times New Roman" w:eastAsia="宋体" w:cs="Times New Roman"/>
                <w:color w:val="auto"/>
                <w:sz w:val="24"/>
                <w:highlight w:val="none"/>
                <w:lang w:val="en-US" w:eastAsia="zh-CN"/>
              </w:rPr>
              <w:t>产生的炉渣和除尘灰主要成分为</w:t>
            </w:r>
            <w:r>
              <w:rPr>
                <w:rFonts w:hint="default" w:ascii="Times New Roman" w:hAnsi="Times New Roman" w:eastAsia="宋体" w:cs="Times New Roman"/>
                <w:color w:val="auto"/>
                <w:sz w:val="24"/>
                <w:highlight w:val="none"/>
              </w:rPr>
              <w:t>SiO₂、Al₂O₃、CaO</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K₂O、Na₂O</w:t>
            </w:r>
            <w:r>
              <w:rPr>
                <w:rFonts w:hint="default" w:ascii="Times New Roman" w:hAnsi="Times New Roman" w:eastAsia="宋体" w:cs="Times New Roman"/>
                <w:color w:val="auto"/>
                <w:sz w:val="24"/>
                <w:highlight w:val="none"/>
                <w:lang w:val="en-US" w:eastAsia="zh-CN"/>
              </w:rPr>
              <w:t>以及</w:t>
            </w:r>
            <w:r>
              <w:rPr>
                <w:rFonts w:hint="default" w:ascii="Times New Roman" w:hAnsi="Times New Roman" w:eastAsia="宋体" w:cs="Times New Roman"/>
                <w:color w:val="auto"/>
                <w:sz w:val="24"/>
                <w:highlight w:val="none"/>
              </w:rPr>
              <w:t>未燃尽碳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与金牛电厂粉煤灰主要成分大致相同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其中</w:t>
            </w:r>
            <w:r>
              <w:rPr>
                <w:rFonts w:hint="default" w:ascii="Times New Roman" w:hAnsi="Times New Roman" w:eastAsia="宋体" w:cs="Times New Roman"/>
                <w:color w:val="auto"/>
                <w:sz w:val="24"/>
                <w:highlight w:val="none"/>
              </w:rPr>
              <w:t>SiO₂</w:t>
            </w:r>
            <w:r>
              <w:rPr>
                <w:rFonts w:hint="default" w:ascii="Times New Roman" w:hAnsi="Times New Roman" w:eastAsia="宋体" w:cs="Times New Roman"/>
                <w:color w:val="auto"/>
                <w:sz w:val="24"/>
                <w:highlight w:val="none"/>
                <w:lang w:val="en-US" w:eastAsia="zh-CN"/>
              </w:rPr>
              <w:t>和</w:t>
            </w:r>
            <w:r>
              <w:rPr>
                <w:rFonts w:hint="default" w:ascii="Times New Roman" w:hAnsi="Times New Roman" w:eastAsia="宋体" w:cs="Times New Roman"/>
                <w:color w:val="auto"/>
                <w:sz w:val="24"/>
                <w:highlight w:val="none"/>
              </w:rPr>
              <w:t>Al₂O₃</w:t>
            </w:r>
            <w:r>
              <w:rPr>
                <w:rFonts w:hint="default" w:ascii="Times New Roman" w:hAnsi="Times New Roman" w:eastAsia="宋体" w:cs="Times New Roman"/>
                <w:color w:val="auto"/>
                <w:sz w:val="24"/>
                <w:highlight w:val="none"/>
                <w:lang w:val="en-US" w:eastAsia="zh-CN"/>
              </w:rPr>
              <w:t>属于</w:t>
            </w:r>
            <w:r>
              <w:rPr>
                <w:rFonts w:hint="default" w:ascii="Times New Roman" w:hAnsi="Times New Roman" w:eastAsia="宋体" w:cs="Times New Roman"/>
                <w:color w:val="auto"/>
                <w:sz w:val="24"/>
                <w:highlight w:val="none"/>
              </w:rPr>
              <w:t>硅铝质材料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可与石灰、水泥反应，适合加气混凝土生产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CaO</w:t>
            </w:r>
            <w:r>
              <w:rPr>
                <w:rFonts w:hint="default" w:ascii="Times New Roman" w:hAnsi="Times New Roman" w:eastAsia="宋体" w:cs="Times New Roman"/>
                <w:color w:val="auto"/>
                <w:sz w:val="24"/>
                <w:highlight w:val="none"/>
                <w:lang w:val="en-US" w:eastAsia="zh-CN"/>
              </w:rPr>
              <w:t>属于石灰成分；因此，从成分来看，是可行的。</w:t>
            </w:r>
          </w:p>
          <w:p w14:paraId="16A35719">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物质蒸汽锅炉</w:t>
            </w:r>
            <w:r>
              <w:rPr>
                <w:rFonts w:hint="default" w:ascii="Times New Roman" w:hAnsi="Times New Roman" w:eastAsia="宋体" w:cs="Times New Roman"/>
                <w:color w:val="auto"/>
                <w:sz w:val="24"/>
                <w:highlight w:val="none"/>
                <w:lang w:val="en-US" w:eastAsia="zh-CN"/>
              </w:rPr>
              <w:t>产生的炉渣和除尘灰产生量为118.711t/a（0.66t/d），仅为金牛电厂粉煤灰的0.54%，混入比例极小；因此，从数量来看，是可行的。</w:t>
            </w:r>
          </w:p>
          <w:p w14:paraId="7481FF1E">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综上，本项目1台10t/h生物质蒸汽锅炉产生的灰渣和除尘灰回用于厂区现有加气混凝土砌块生产线可行性分析。</w:t>
            </w:r>
          </w:p>
          <w:p w14:paraId="6F7F00F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（3）废饱和树脂</w:t>
            </w:r>
          </w:p>
          <w:p w14:paraId="625F552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eastAsia="zh-CN"/>
              </w:rPr>
              <w:t>本项目设置</w:t>
            </w:r>
            <w:r>
              <w:rPr>
                <w:rFonts w:hint="default" w:ascii="Times New Roman" w:hAnsi="Times New Roman" w:eastAsia="宋体" w:cs="Times New Roman"/>
                <w:color w:val="auto"/>
                <w:sz w:val="24"/>
                <w:szCs w:val="32"/>
                <w:highlight w:val="none"/>
              </w:rPr>
              <w:t>1台10t/h</w:t>
            </w:r>
            <w:r>
              <w:rPr>
                <w:rFonts w:hint="default" w:ascii="Times New Roman" w:hAnsi="Times New Roman" w:eastAsia="宋体" w:cs="Times New Roman"/>
                <w:color w:val="auto"/>
                <w:sz w:val="24"/>
                <w:szCs w:val="32"/>
                <w:highlight w:val="none"/>
                <w:lang w:eastAsia="zh-CN"/>
              </w:rPr>
              <w:t>软水制备装置，交换树脂</w:t>
            </w:r>
            <w:r>
              <w:rPr>
                <w:rFonts w:hint="default" w:ascii="Times New Roman" w:hAnsi="Times New Roman" w:eastAsia="宋体" w:cs="Times New Roman"/>
                <w:color w:val="auto"/>
                <w:sz w:val="24"/>
                <w:szCs w:val="32"/>
                <w:highlight w:val="none"/>
              </w:rPr>
              <w:t>充装量为0.6t，2年</w:t>
            </w:r>
            <w:r>
              <w:rPr>
                <w:rFonts w:hint="default" w:ascii="Times New Roman" w:hAnsi="Times New Roman" w:eastAsia="宋体" w:cs="Times New Roman"/>
                <w:color w:val="auto"/>
                <w:sz w:val="24"/>
                <w:szCs w:val="32"/>
                <w:highlight w:val="none"/>
                <w:lang w:eastAsia="zh-CN"/>
              </w:rPr>
              <w:t>更换一次，则</w:t>
            </w:r>
            <w:r>
              <w:rPr>
                <w:rFonts w:hint="default" w:ascii="Times New Roman" w:hAnsi="Times New Roman" w:eastAsia="宋体" w:cs="Times New Roman"/>
                <w:color w:val="auto"/>
                <w:sz w:val="24"/>
                <w:szCs w:val="32"/>
                <w:highlight w:val="none"/>
              </w:rPr>
              <w:t>废饱和树脂</w:t>
            </w:r>
            <w:r>
              <w:rPr>
                <w:rFonts w:hint="default" w:ascii="Times New Roman" w:hAnsi="Times New Roman" w:eastAsia="宋体" w:cs="Times New Roman"/>
                <w:color w:val="auto"/>
                <w:sz w:val="24"/>
                <w:szCs w:val="32"/>
                <w:highlight w:val="none"/>
                <w:lang w:eastAsia="zh-CN"/>
              </w:rPr>
              <w:t>产生量为</w:t>
            </w:r>
            <w:r>
              <w:rPr>
                <w:rFonts w:hint="default" w:ascii="Times New Roman" w:hAnsi="Times New Roman" w:eastAsia="宋体" w:cs="Times New Roman"/>
                <w:color w:val="auto"/>
                <w:sz w:val="24"/>
                <w:szCs w:val="32"/>
                <w:highlight w:val="none"/>
                <w:lang w:val="en-US" w:eastAsia="zh-CN"/>
              </w:rPr>
              <w:t>0.3t/a，</w:t>
            </w:r>
            <w:r>
              <w:rPr>
                <w:rFonts w:hint="default" w:ascii="Times New Roman" w:hAnsi="Times New Roman" w:eastAsia="宋体" w:cs="Times New Roman"/>
                <w:color w:val="auto"/>
                <w:sz w:val="24"/>
                <w:szCs w:val="32"/>
                <w:highlight w:val="none"/>
              </w:rPr>
              <w:t>属于一般工业固体废物，由销售厂家直接回收，不在厂区内储存。</w:t>
            </w:r>
            <w:bookmarkStart w:id="25" w:name="_Toc324927482"/>
            <w:bookmarkStart w:id="26" w:name="_Toc294126805"/>
            <w:bookmarkStart w:id="27" w:name="_Toc334631474"/>
            <w:bookmarkStart w:id="28" w:name="_Toc309848672"/>
          </w:p>
          <w:p w14:paraId="3F90ECAF">
            <w:pPr>
              <w:keepNext w:val="0"/>
              <w:keepLines w:val="0"/>
              <w:pageBreakBefore w:val="0"/>
              <w:widowControl w:val="0"/>
              <w:tabs>
                <w:tab w:val="center" w:pos="4153"/>
                <w:tab w:val="right" w:pos="8306"/>
              </w:tabs>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auto"/>
                <w:kern w:val="0"/>
                <w:sz w:val="24"/>
                <w:szCs w:val="24"/>
                <w:highlight w:val="none"/>
                <w:lang w:val="en-US"/>
              </w:rPr>
            </w:pPr>
            <w:r>
              <w:rPr>
                <w:rFonts w:hint="default" w:ascii="Times New Roman" w:hAnsi="Times New Roman" w:eastAsia="宋体" w:cs="Times New Roman"/>
                <w:b/>
                <w:bCs/>
                <w:color w:val="auto"/>
                <w:kern w:val="0"/>
                <w:sz w:val="24"/>
                <w:szCs w:val="24"/>
                <w:highlight w:val="none"/>
              </w:rPr>
              <w:t>表4-</w:t>
            </w:r>
            <w:r>
              <w:rPr>
                <w:rFonts w:hint="default" w:ascii="Times New Roman" w:hAnsi="Times New Roman" w:eastAsia="宋体" w:cs="Times New Roman"/>
                <w:b/>
                <w:bCs/>
                <w:color w:val="auto"/>
                <w:kern w:val="0"/>
                <w:sz w:val="24"/>
                <w:szCs w:val="24"/>
                <w:highlight w:val="none"/>
                <w:lang w:val="en-US" w:eastAsia="zh-CN"/>
              </w:rPr>
              <w:t>6  本项目固体废物汇总表</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351"/>
              <w:gridCol w:w="1351"/>
              <w:gridCol w:w="1408"/>
              <w:gridCol w:w="1408"/>
              <w:gridCol w:w="1408"/>
            </w:tblGrid>
            <w:tr w14:paraId="63CD5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51" w:type="dxa"/>
                  <w:tcMar>
                    <w:left w:w="28" w:type="dxa"/>
                    <w:right w:w="28" w:type="dxa"/>
                  </w:tcMar>
                  <w:vAlign w:val="center"/>
                </w:tcPr>
                <w:p w14:paraId="3A5A2D1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废物类别</w:t>
                  </w:r>
                </w:p>
              </w:tc>
              <w:tc>
                <w:tcPr>
                  <w:tcW w:w="1351" w:type="dxa"/>
                  <w:tcMar>
                    <w:left w:w="28" w:type="dxa"/>
                    <w:right w:w="28" w:type="dxa"/>
                  </w:tcMar>
                  <w:vAlign w:val="center"/>
                </w:tcPr>
                <w:p w14:paraId="13F9F2B9">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351" w:type="dxa"/>
                  <w:tcBorders>
                    <w:left w:val="single" w:color="auto" w:sz="2" w:space="0"/>
                  </w:tcBorders>
                  <w:tcMar>
                    <w:left w:w="28" w:type="dxa"/>
                    <w:right w:w="28" w:type="dxa"/>
                  </w:tcMar>
                  <w:vAlign w:val="center"/>
                </w:tcPr>
                <w:p w14:paraId="4743CB6D">
                  <w:pPr>
                    <w:tabs>
                      <w:tab w:val="left" w:pos="496"/>
                    </w:tabs>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产生环节</w:t>
                  </w:r>
                </w:p>
              </w:tc>
              <w:tc>
                <w:tcPr>
                  <w:tcW w:w="1408" w:type="dxa"/>
                  <w:vAlign w:val="center"/>
                </w:tcPr>
                <w:p w14:paraId="37B0EC6C">
                  <w:pPr>
                    <w:tabs>
                      <w:tab w:val="left" w:pos="496"/>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产生量t/a</w:t>
                  </w:r>
                </w:p>
              </w:tc>
              <w:tc>
                <w:tcPr>
                  <w:tcW w:w="1408" w:type="dxa"/>
                  <w:vAlign w:val="center"/>
                </w:tcPr>
                <w:p w14:paraId="1136394B">
                  <w:pPr>
                    <w:tabs>
                      <w:tab w:val="left" w:pos="496"/>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暂存位置</w:t>
                  </w:r>
                </w:p>
              </w:tc>
              <w:tc>
                <w:tcPr>
                  <w:tcW w:w="1408" w:type="dxa"/>
                  <w:vAlign w:val="center"/>
                </w:tcPr>
                <w:p w14:paraId="3BD6B1A8">
                  <w:pPr>
                    <w:tabs>
                      <w:tab w:val="left" w:pos="496"/>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处置方式</w:t>
                  </w:r>
                </w:p>
              </w:tc>
            </w:tr>
            <w:tr w14:paraId="6E535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51" w:type="dxa"/>
                  <w:vMerge w:val="restart"/>
                  <w:tcMar>
                    <w:left w:w="28" w:type="dxa"/>
                    <w:right w:w="28" w:type="dxa"/>
                  </w:tcMar>
                  <w:vAlign w:val="center"/>
                </w:tcPr>
                <w:p w14:paraId="6DF62F8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w:t>
                  </w:r>
                </w:p>
              </w:tc>
              <w:tc>
                <w:tcPr>
                  <w:tcW w:w="1351" w:type="dxa"/>
                  <w:tcMar>
                    <w:left w:w="28" w:type="dxa"/>
                    <w:right w:w="28" w:type="dxa"/>
                  </w:tcMar>
                  <w:vAlign w:val="center"/>
                </w:tcPr>
                <w:p w14:paraId="71FF9D3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灰渣</w:t>
                  </w:r>
                </w:p>
              </w:tc>
              <w:tc>
                <w:tcPr>
                  <w:tcW w:w="1351" w:type="dxa"/>
                  <w:tcBorders>
                    <w:left w:val="single" w:color="auto" w:sz="2" w:space="0"/>
                  </w:tcBorders>
                  <w:tcMar>
                    <w:left w:w="28" w:type="dxa"/>
                    <w:right w:w="28" w:type="dxa"/>
                  </w:tcMar>
                  <w:vAlign w:val="center"/>
                </w:tcPr>
                <w:p w14:paraId="2D3FA243">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生物质蒸汽锅炉</w:t>
                  </w:r>
                </w:p>
              </w:tc>
              <w:tc>
                <w:tcPr>
                  <w:tcW w:w="1408" w:type="dxa"/>
                  <w:vAlign w:val="center"/>
                </w:tcPr>
                <w:p w14:paraId="0BA6D0B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113.153</w:t>
                  </w:r>
                  <w:r>
                    <w:rPr>
                      <w:rFonts w:hint="default" w:ascii="Times New Roman" w:hAnsi="Times New Roman" w:eastAsia="宋体" w:cs="Times New Roman"/>
                      <w:color w:val="auto"/>
                      <w:sz w:val="21"/>
                      <w:szCs w:val="21"/>
                      <w:highlight w:val="none"/>
                    </w:rPr>
                    <w:t>t/a</w:t>
                  </w:r>
                </w:p>
              </w:tc>
              <w:tc>
                <w:tcPr>
                  <w:tcW w:w="1408" w:type="dxa"/>
                  <w:vAlign w:val="center"/>
                </w:tcPr>
                <w:p w14:paraId="2AAC310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全封闭</w:t>
                  </w:r>
                  <w:r>
                    <w:rPr>
                      <w:rFonts w:hint="default" w:ascii="Times New Roman" w:hAnsi="Times New Roman" w:eastAsia="宋体" w:cs="Times New Roman"/>
                      <w:color w:val="auto"/>
                      <w:sz w:val="21"/>
                      <w:szCs w:val="21"/>
                      <w:highlight w:val="none"/>
                      <w:lang w:eastAsia="zh-CN"/>
                    </w:rPr>
                    <w:t>灰渣库</w:t>
                  </w:r>
                </w:p>
              </w:tc>
              <w:tc>
                <w:tcPr>
                  <w:tcW w:w="1408" w:type="dxa"/>
                  <w:vAlign w:val="center"/>
                </w:tcPr>
                <w:p w14:paraId="2A6D2C7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作为原料回用于厂区现有加气混凝土砌块生产线</w:t>
                  </w:r>
                </w:p>
              </w:tc>
            </w:tr>
            <w:tr w14:paraId="262E4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51" w:type="dxa"/>
                  <w:vMerge w:val="continue"/>
                  <w:tcMar>
                    <w:left w:w="28" w:type="dxa"/>
                    <w:right w:w="28" w:type="dxa"/>
                  </w:tcMar>
                  <w:vAlign w:val="center"/>
                </w:tcPr>
                <w:p w14:paraId="4CE7F871">
                  <w:pPr>
                    <w:spacing w:line="240" w:lineRule="auto"/>
                    <w:jc w:val="center"/>
                    <w:rPr>
                      <w:rFonts w:hint="default" w:ascii="Times New Roman" w:hAnsi="Times New Roman" w:eastAsia="宋体" w:cs="Times New Roman"/>
                      <w:color w:val="auto"/>
                      <w:sz w:val="21"/>
                      <w:szCs w:val="21"/>
                      <w:highlight w:val="none"/>
                      <w:lang w:val="de-DE"/>
                    </w:rPr>
                  </w:pPr>
                </w:p>
              </w:tc>
              <w:tc>
                <w:tcPr>
                  <w:tcW w:w="1351" w:type="dxa"/>
                  <w:tcMar>
                    <w:left w:w="28" w:type="dxa"/>
                    <w:right w:w="28" w:type="dxa"/>
                  </w:tcMar>
                  <w:vAlign w:val="center"/>
                </w:tcPr>
                <w:p w14:paraId="3B83486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1351" w:type="dxa"/>
                  <w:tcBorders>
                    <w:left w:val="single" w:color="auto" w:sz="2" w:space="0"/>
                  </w:tcBorders>
                  <w:tcMar>
                    <w:left w:w="28" w:type="dxa"/>
                    <w:right w:w="28" w:type="dxa"/>
                  </w:tcMar>
                  <w:vAlign w:val="center"/>
                </w:tcPr>
                <w:p w14:paraId="07C9137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旋风除尘器、布袋除尘器</w:t>
                  </w:r>
                </w:p>
              </w:tc>
              <w:tc>
                <w:tcPr>
                  <w:tcW w:w="1408" w:type="dxa"/>
                  <w:vAlign w:val="center"/>
                </w:tcPr>
                <w:p w14:paraId="77A5713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5.558</w:t>
                  </w:r>
                </w:p>
              </w:tc>
              <w:tc>
                <w:tcPr>
                  <w:tcW w:w="1408" w:type="dxa"/>
                  <w:vAlign w:val="center"/>
                </w:tcPr>
                <w:p w14:paraId="55857B5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装袋后堆存于</w:t>
                  </w:r>
                  <w:r>
                    <w:rPr>
                      <w:rFonts w:hint="default" w:ascii="Times New Roman" w:hAnsi="Times New Roman" w:eastAsia="宋体" w:cs="Times New Roman"/>
                      <w:bCs/>
                      <w:color w:val="auto"/>
                      <w:szCs w:val="21"/>
                      <w:highlight w:val="none"/>
                    </w:rPr>
                    <w:t>全封闭</w:t>
                  </w:r>
                  <w:r>
                    <w:rPr>
                      <w:rFonts w:hint="default" w:ascii="Times New Roman" w:hAnsi="Times New Roman" w:eastAsia="宋体" w:cs="Times New Roman"/>
                      <w:bCs/>
                      <w:color w:val="auto"/>
                      <w:szCs w:val="21"/>
                      <w:highlight w:val="none"/>
                      <w:lang w:eastAsia="zh-CN"/>
                    </w:rPr>
                    <w:t>灰渣库</w:t>
                  </w:r>
                  <w:r>
                    <w:rPr>
                      <w:rFonts w:hint="default" w:ascii="Times New Roman" w:hAnsi="Times New Roman" w:eastAsia="宋体" w:cs="Times New Roman"/>
                      <w:bCs/>
                      <w:color w:val="auto"/>
                      <w:szCs w:val="21"/>
                      <w:highlight w:val="none"/>
                    </w:rPr>
                    <w:t>内</w:t>
                  </w:r>
                </w:p>
              </w:tc>
              <w:tc>
                <w:tcPr>
                  <w:tcW w:w="1408" w:type="dxa"/>
                  <w:vAlign w:val="center"/>
                </w:tcPr>
                <w:p w14:paraId="42F3FD8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作为原料回用于厂区现有加气混凝土砌块生产线</w:t>
                  </w:r>
                </w:p>
              </w:tc>
            </w:tr>
            <w:tr w14:paraId="72464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51" w:type="dxa"/>
                  <w:vMerge w:val="continue"/>
                  <w:tcMar>
                    <w:left w:w="28" w:type="dxa"/>
                    <w:right w:w="28" w:type="dxa"/>
                  </w:tcMar>
                  <w:vAlign w:val="center"/>
                </w:tcPr>
                <w:p w14:paraId="2BCFB6B5">
                  <w:pPr>
                    <w:spacing w:line="240" w:lineRule="auto"/>
                    <w:jc w:val="center"/>
                    <w:rPr>
                      <w:rFonts w:hint="default" w:ascii="Times New Roman" w:hAnsi="Times New Roman" w:eastAsia="宋体" w:cs="Times New Roman"/>
                      <w:color w:val="auto"/>
                      <w:sz w:val="21"/>
                      <w:szCs w:val="21"/>
                      <w:highlight w:val="none"/>
                      <w:lang w:val="de-DE"/>
                    </w:rPr>
                  </w:pPr>
                </w:p>
              </w:tc>
              <w:tc>
                <w:tcPr>
                  <w:tcW w:w="1351" w:type="dxa"/>
                  <w:tcMar>
                    <w:left w:w="28" w:type="dxa"/>
                    <w:right w:w="28" w:type="dxa"/>
                  </w:tcMar>
                  <w:vAlign w:val="center"/>
                </w:tcPr>
                <w:p w14:paraId="34EB89E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废饱和树脂</w:t>
                  </w:r>
                </w:p>
              </w:tc>
              <w:tc>
                <w:tcPr>
                  <w:tcW w:w="1351" w:type="dxa"/>
                  <w:tcBorders>
                    <w:left w:val="single" w:color="auto" w:sz="2" w:space="0"/>
                  </w:tcBorders>
                  <w:tcMar>
                    <w:left w:w="28" w:type="dxa"/>
                    <w:right w:w="28" w:type="dxa"/>
                  </w:tcMar>
                  <w:vAlign w:val="center"/>
                </w:tcPr>
                <w:p w14:paraId="6D59AA06">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软水制备装置</w:t>
                  </w:r>
                </w:p>
              </w:tc>
              <w:tc>
                <w:tcPr>
                  <w:tcW w:w="1408" w:type="dxa"/>
                  <w:vAlign w:val="center"/>
                </w:tcPr>
                <w:p w14:paraId="377C8AB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0.3t/a</w:t>
                  </w:r>
                </w:p>
              </w:tc>
              <w:tc>
                <w:tcPr>
                  <w:tcW w:w="1408" w:type="dxa"/>
                  <w:vAlign w:val="center"/>
                </w:tcPr>
                <w:p w14:paraId="4CBA4CA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08" w:type="dxa"/>
                  <w:vAlign w:val="center"/>
                </w:tcPr>
                <w:p w14:paraId="119BEB9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由销售厂家直接回收，不在厂区内储存</w:t>
                  </w:r>
                </w:p>
              </w:tc>
            </w:tr>
          </w:tbl>
          <w:p w14:paraId="6B7058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32"/>
                <w:highlight w:val="none"/>
              </w:rPr>
            </w:pPr>
            <w:r>
              <w:rPr>
                <w:rFonts w:hint="default" w:ascii="Times New Roman" w:hAnsi="Times New Roman" w:eastAsia="宋体" w:cs="Times New Roman"/>
                <w:b w:val="0"/>
                <w:bCs w:val="0"/>
                <w:color w:val="auto"/>
                <w:sz w:val="24"/>
                <w:szCs w:val="32"/>
                <w:highlight w:val="none"/>
              </w:rPr>
              <w:t>通过上述分析，固体废物若严格按照上述处理方案执行，均能得到妥善处理处置，对环境影响不大。</w:t>
            </w:r>
          </w:p>
          <w:p w14:paraId="57CEC94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rPr>
              <w:t>5、地下水</w:t>
            </w:r>
            <w:r>
              <w:rPr>
                <w:rFonts w:hint="default" w:ascii="Times New Roman" w:hAnsi="Times New Roman" w:eastAsia="宋体" w:cs="Times New Roman"/>
                <w:b/>
                <w:bCs/>
                <w:color w:val="auto"/>
                <w:sz w:val="24"/>
                <w:szCs w:val="32"/>
                <w:highlight w:val="none"/>
                <w:lang w:val="en-US" w:eastAsia="zh-CN"/>
              </w:rPr>
              <w:t>及</w:t>
            </w:r>
            <w:r>
              <w:rPr>
                <w:rFonts w:hint="default" w:ascii="Times New Roman" w:hAnsi="Times New Roman" w:eastAsia="宋体" w:cs="Times New Roman"/>
                <w:b/>
                <w:bCs/>
                <w:color w:val="auto"/>
                <w:sz w:val="24"/>
                <w:szCs w:val="32"/>
                <w:highlight w:val="none"/>
              </w:rPr>
              <w:t>土壤</w:t>
            </w:r>
            <w:r>
              <w:rPr>
                <w:rFonts w:hint="default" w:ascii="Times New Roman" w:hAnsi="Times New Roman" w:eastAsia="宋体" w:cs="Times New Roman"/>
                <w:b/>
                <w:bCs/>
                <w:color w:val="auto"/>
                <w:sz w:val="24"/>
                <w:szCs w:val="32"/>
                <w:highlight w:val="none"/>
                <w:lang w:val="en-US" w:eastAsia="zh-CN"/>
              </w:rPr>
              <w:t>污染防治措施</w:t>
            </w:r>
          </w:p>
          <w:p w14:paraId="4150C69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szCs w:val="32"/>
                <w:highlight w:val="none"/>
              </w:rPr>
              <w:t>灰渣间</w:t>
            </w:r>
            <w:r>
              <w:rPr>
                <w:rFonts w:hint="default" w:ascii="Times New Roman" w:hAnsi="Times New Roman" w:eastAsia="宋体" w:cs="Times New Roman"/>
                <w:color w:val="auto"/>
                <w:sz w:val="24"/>
                <w:highlight w:val="none"/>
              </w:rPr>
              <w:t>的防渗系数小于1×10</w:t>
            </w:r>
            <w:r>
              <w:rPr>
                <w:rFonts w:hint="default" w:ascii="Times New Roman" w:hAnsi="Times New Roman" w:eastAsia="宋体" w:cs="Times New Roman"/>
                <w:color w:val="auto"/>
                <w:sz w:val="24"/>
                <w:highlight w:val="none"/>
                <w:vertAlign w:val="superscript"/>
                <w:lang w:val="en-US" w:eastAsia="zh-CN"/>
              </w:rPr>
              <w:t>-</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cm/s，采用混凝土铺设，达到防渗的目的；</w:t>
            </w:r>
            <w:r>
              <w:rPr>
                <w:rFonts w:hint="default" w:ascii="Times New Roman" w:hAnsi="Times New Roman" w:eastAsia="宋体" w:cs="Times New Roman"/>
                <w:color w:val="auto"/>
                <w:sz w:val="24"/>
                <w:szCs w:val="32"/>
                <w:highlight w:val="none"/>
                <w:lang w:eastAsia="zh-CN"/>
              </w:rPr>
              <w:t>生物质燃料库</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锅炉房</w:t>
            </w:r>
            <w:r>
              <w:rPr>
                <w:rFonts w:hint="default" w:ascii="Times New Roman" w:hAnsi="Times New Roman" w:eastAsia="宋体" w:cs="Times New Roman"/>
                <w:color w:val="auto"/>
                <w:sz w:val="24"/>
                <w:highlight w:val="none"/>
              </w:rPr>
              <w:t>为简单防渗区。</w:t>
            </w:r>
          </w:p>
          <w:p w14:paraId="017DAC8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通过采取严格有效的防渗措施，可以有效降低非正常工况发生的污染物</w:t>
            </w:r>
            <w:r>
              <w:rPr>
                <w:rFonts w:hint="default" w:ascii="Times New Roman" w:hAnsi="Times New Roman" w:eastAsia="宋体" w:cs="Times New Roman"/>
                <w:color w:val="auto"/>
                <w:sz w:val="24"/>
                <w:highlight w:val="none"/>
                <w:lang w:eastAsia="zh-CN"/>
              </w:rPr>
              <w:t>泄漏事故</w:t>
            </w:r>
            <w:r>
              <w:rPr>
                <w:rFonts w:hint="default" w:ascii="Times New Roman" w:hAnsi="Times New Roman" w:eastAsia="宋体" w:cs="Times New Roman"/>
                <w:color w:val="auto"/>
                <w:sz w:val="24"/>
                <w:highlight w:val="none"/>
              </w:rPr>
              <w:t>；在发生</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情况下，采取有效的应急措施，可以污染物进入地下水、土壤环境的风险降到最低。</w:t>
            </w:r>
          </w:p>
          <w:p w14:paraId="1EE73789">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6、环境风险评价</w:t>
            </w:r>
          </w:p>
          <w:p w14:paraId="73EEB51A">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6.1危险物质种类</w:t>
            </w:r>
          </w:p>
          <w:p w14:paraId="02BE177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本项目涉及的有毒有害和易燃易爆等危险物质为生物质成型燃料，为易燃物质。</w:t>
            </w:r>
          </w:p>
          <w:p w14:paraId="6A36E6B5">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6.2风险源分布情况</w:t>
            </w:r>
          </w:p>
          <w:p w14:paraId="2B2DCC3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生物质成型燃料主要分布于</w:t>
            </w:r>
            <w:r>
              <w:rPr>
                <w:rFonts w:hint="default" w:ascii="Times New Roman" w:hAnsi="Times New Roman" w:eastAsia="宋体" w:cs="Times New Roman"/>
                <w:color w:val="auto"/>
                <w:sz w:val="24"/>
                <w:szCs w:val="32"/>
                <w:highlight w:val="none"/>
                <w:lang w:eastAsia="zh-CN"/>
              </w:rPr>
              <w:t>生物质燃料库</w:t>
            </w:r>
            <w:r>
              <w:rPr>
                <w:rFonts w:hint="default" w:ascii="Times New Roman" w:hAnsi="Times New Roman" w:eastAsia="宋体" w:cs="Times New Roman"/>
                <w:color w:val="auto"/>
                <w:sz w:val="24"/>
                <w:highlight w:val="none"/>
              </w:rPr>
              <w:t>内。</w:t>
            </w:r>
          </w:p>
          <w:p w14:paraId="3301B24C">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6.3可能影响途径</w:t>
            </w:r>
          </w:p>
          <w:p w14:paraId="0A3C2C3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生物质成型燃料属于易燃物品，遇明火后发生火灾，产生的废气会影响周围大气环境。</w:t>
            </w:r>
          </w:p>
          <w:p w14:paraId="4075B725">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6.4环境风险防范措施</w:t>
            </w:r>
          </w:p>
          <w:p w14:paraId="3773B94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（1）储存、使用过程的风险控制措施</w:t>
            </w:r>
          </w:p>
          <w:p w14:paraId="62EE600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32"/>
                <w:highlight w:val="none"/>
                <w:lang w:eastAsia="zh-CN"/>
              </w:rPr>
              <w:t>生物质燃料库</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锅炉房</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灰渣库</w:t>
            </w:r>
            <w:r>
              <w:rPr>
                <w:rFonts w:hint="default" w:ascii="Times New Roman" w:hAnsi="Times New Roman" w:eastAsia="宋体" w:cs="Times New Roman"/>
                <w:color w:val="auto"/>
                <w:sz w:val="24"/>
                <w:highlight w:val="none"/>
              </w:rPr>
              <w:t>严禁吸烟和使用明火，防止火源进入；设置明显标志；安全设施、消防器材齐备；</w:t>
            </w:r>
            <w:r>
              <w:rPr>
                <w:rFonts w:hint="default" w:ascii="Times New Roman" w:hAnsi="Times New Roman" w:eastAsia="宋体" w:cs="Times New Roman"/>
                <w:color w:val="auto"/>
                <w:sz w:val="24"/>
                <w:szCs w:val="32"/>
                <w:highlight w:val="none"/>
                <w:lang w:eastAsia="zh-CN"/>
              </w:rPr>
              <w:t>生物质燃料库</w:t>
            </w:r>
            <w:r>
              <w:rPr>
                <w:rFonts w:hint="default" w:ascii="Times New Roman" w:hAnsi="Times New Roman" w:eastAsia="宋体" w:cs="Times New Roman"/>
                <w:color w:val="auto"/>
                <w:sz w:val="24"/>
                <w:highlight w:val="none"/>
              </w:rPr>
              <w:t>设置温度报警器；制定各种操作规范，加强监督管理，严格安全、环保检查制度，避免环境事件的发生。</w:t>
            </w:r>
          </w:p>
          <w:p w14:paraId="414D7FB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（2）风险防范措施</w:t>
            </w:r>
          </w:p>
          <w:p w14:paraId="3AAD359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32"/>
                <w:highlight w:val="none"/>
                <w:lang w:eastAsia="zh-CN"/>
              </w:rPr>
              <w:t>生物质燃料库</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锅炉房</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灰渣库</w:t>
            </w:r>
            <w:r>
              <w:rPr>
                <w:rFonts w:hint="default" w:ascii="Times New Roman" w:hAnsi="Times New Roman" w:eastAsia="宋体" w:cs="Times New Roman"/>
                <w:color w:val="auto"/>
                <w:sz w:val="24"/>
                <w:highlight w:val="none"/>
              </w:rPr>
              <w:t>处设置灭火器等灭火设施；在强化安全、环保教育，提高安全、环保意识的同时，企业保证预警、监控设施到位。配备救护设备；危险作业增设监护人员并为其配备通讯、救援等设备；按照国家、地方和相关部门要求，编制突发环境事件应急预案；企业根据实际情况，不断充实和完善应急预案的各项措施，并定期组织演练。</w:t>
            </w:r>
          </w:p>
          <w:p w14:paraId="39673FF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7、环境监测计划</w:t>
            </w:r>
          </w:p>
          <w:p w14:paraId="69A68DF2">
            <w:pPr>
              <w:adjustRightInd w:val="0"/>
              <w:snapToGrid w:val="0"/>
              <w:spacing w:line="360" w:lineRule="auto"/>
              <w:ind w:firstLine="480" w:firstLineChars="200"/>
              <w:jc w:val="left"/>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根据《排污许可证申请与核发技术规范</w:t>
            </w:r>
            <w:r>
              <w:rPr>
                <w:rFonts w:hint="default" w:ascii="Times New Roman" w:hAnsi="Times New Roman" w:eastAsia="宋体" w:cs="Times New Roman"/>
                <w:bCs/>
                <w:color w:val="auto"/>
                <w:sz w:val="24"/>
                <w:highlight w:val="none"/>
                <w:lang w:val="en-US" w:eastAsia="zh-CN"/>
              </w:rPr>
              <w:t xml:space="preserve"> </w:t>
            </w:r>
            <w:r>
              <w:rPr>
                <w:rFonts w:hint="default" w:ascii="Times New Roman" w:hAnsi="Times New Roman" w:eastAsia="宋体" w:cs="Times New Roman"/>
                <w:bCs/>
                <w:color w:val="auto"/>
                <w:sz w:val="24"/>
                <w:highlight w:val="none"/>
              </w:rPr>
              <w:t>锅炉》（HJ953-2018）和《排污单位自行监测技术指南</w:t>
            </w:r>
            <w:r>
              <w:rPr>
                <w:rFonts w:hint="default" w:ascii="Times New Roman" w:hAnsi="Times New Roman" w:eastAsia="宋体" w:cs="Times New Roman"/>
                <w:bCs/>
                <w:color w:val="auto"/>
                <w:sz w:val="24"/>
                <w:highlight w:val="none"/>
                <w:lang w:val="en-US" w:eastAsia="zh-CN"/>
              </w:rPr>
              <w:t xml:space="preserve"> </w:t>
            </w:r>
            <w:r>
              <w:rPr>
                <w:rFonts w:hint="default" w:ascii="Times New Roman" w:hAnsi="Times New Roman" w:eastAsia="宋体" w:cs="Times New Roman"/>
                <w:bCs/>
                <w:color w:val="auto"/>
                <w:sz w:val="24"/>
                <w:highlight w:val="none"/>
              </w:rPr>
              <w:t>火力发电及锅炉》（HJ820-2017）要求，本项目污染源监测计划如下。</w:t>
            </w:r>
          </w:p>
          <w:p w14:paraId="309FBBBD">
            <w:pPr>
              <w:adjustRightInd w:val="0"/>
              <w:snapToGrid w:val="0"/>
              <w:spacing w:line="360" w:lineRule="auto"/>
              <w:ind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表4-</w:t>
            </w:r>
            <w:r>
              <w:rPr>
                <w:rFonts w:hint="default" w:ascii="Times New Roman" w:hAnsi="Times New Roman" w:eastAsia="宋体" w:cs="Times New Roman"/>
                <w:b/>
                <w:color w:val="auto"/>
                <w:sz w:val="24"/>
                <w:highlight w:val="none"/>
                <w:lang w:val="en-US" w:eastAsia="zh-CN"/>
              </w:rPr>
              <w:t xml:space="preserve">7  </w:t>
            </w:r>
            <w:r>
              <w:rPr>
                <w:rFonts w:hint="default" w:ascii="Times New Roman" w:hAnsi="Times New Roman" w:eastAsia="宋体" w:cs="Times New Roman"/>
                <w:b/>
                <w:color w:val="auto"/>
                <w:sz w:val="24"/>
                <w:highlight w:val="none"/>
              </w:rPr>
              <w:t>污染源监测计划表</w:t>
            </w:r>
          </w:p>
          <w:tbl>
            <w:tblPr>
              <w:tblStyle w:val="25"/>
              <w:tblW w:w="82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46"/>
              <w:gridCol w:w="846"/>
              <w:gridCol w:w="1263"/>
              <w:gridCol w:w="971"/>
              <w:gridCol w:w="971"/>
              <w:gridCol w:w="3380"/>
            </w:tblGrid>
            <w:tr w14:paraId="74022B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6" w:type="dxa"/>
                  <w:tcBorders>
                    <w:left w:val="single" w:color="auto" w:sz="0" w:space="0"/>
                  </w:tcBorders>
                  <w:tcMar>
                    <w:left w:w="0" w:type="dxa"/>
                    <w:right w:w="0" w:type="dxa"/>
                  </w:tcMar>
                  <w:vAlign w:val="center"/>
                </w:tcPr>
                <w:p w14:paraId="286EAB8F">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w:t>
                  </w:r>
                </w:p>
              </w:tc>
              <w:tc>
                <w:tcPr>
                  <w:tcW w:w="2109" w:type="dxa"/>
                  <w:gridSpan w:val="2"/>
                  <w:tcMar>
                    <w:left w:w="0" w:type="dxa"/>
                    <w:right w:w="0" w:type="dxa"/>
                  </w:tcMar>
                  <w:vAlign w:val="center"/>
                </w:tcPr>
                <w:p w14:paraId="6647CC38">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971" w:type="dxa"/>
                  <w:tcMar>
                    <w:left w:w="0" w:type="dxa"/>
                    <w:right w:w="0" w:type="dxa"/>
                  </w:tcMar>
                  <w:vAlign w:val="center"/>
                </w:tcPr>
                <w:p w14:paraId="01CE0B8D">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监测因子</w:t>
                  </w:r>
                </w:p>
              </w:tc>
              <w:tc>
                <w:tcPr>
                  <w:tcW w:w="971" w:type="dxa"/>
                  <w:tcMar>
                    <w:left w:w="0" w:type="dxa"/>
                    <w:right w:w="0" w:type="dxa"/>
                  </w:tcMar>
                  <w:vAlign w:val="center"/>
                </w:tcPr>
                <w:p w14:paraId="1BDB3BBE">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监测频次</w:t>
                  </w:r>
                </w:p>
              </w:tc>
              <w:tc>
                <w:tcPr>
                  <w:tcW w:w="3380" w:type="dxa"/>
                  <w:tcBorders>
                    <w:right w:val="single" w:color="auto" w:sz="4" w:space="0"/>
                  </w:tcBorders>
                  <w:tcMar>
                    <w:left w:w="0" w:type="dxa"/>
                    <w:right w:w="0" w:type="dxa"/>
                  </w:tcMar>
                  <w:vAlign w:val="center"/>
                </w:tcPr>
                <w:p w14:paraId="41CA5CCA">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执行排放标准</w:t>
                  </w:r>
                </w:p>
              </w:tc>
            </w:tr>
            <w:tr w14:paraId="537F5D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47" w:hRule="atLeast"/>
                <w:jc w:val="center"/>
              </w:trPr>
              <w:tc>
                <w:tcPr>
                  <w:tcW w:w="846" w:type="dxa"/>
                  <w:vMerge w:val="restart"/>
                  <w:tcBorders>
                    <w:left w:val="single" w:color="auto" w:sz="4" w:space="0"/>
                  </w:tcBorders>
                  <w:tcMar>
                    <w:left w:w="0" w:type="dxa"/>
                    <w:right w:w="0" w:type="dxa"/>
                  </w:tcMar>
                  <w:vAlign w:val="center"/>
                </w:tcPr>
                <w:p w14:paraId="1A709B1F">
                  <w:pPr>
                    <w:tabs>
                      <w:tab w:val="center" w:pos="4153"/>
                      <w:tab w:val="right" w:pos="8306"/>
                    </w:tabs>
                    <w:autoSpaceDE w:val="0"/>
                    <w:autoSpaceDN w:val="0"/>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846" w:type="dxa"/>
                  <w:tcMar>
                    <w:left w:w="0" w:type="dxa"/>
                    <w:right w:w="0" w:type="dxa"/>
                  </w:tcMar>
                  <w:vAlign w:val="center"/>
                </w:tcPr>
                <w:p w14:paraId="2E65FFD9">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w:t>
                  </w:r>
                </w:p>
              </w:tc>
              <w:tc>
                <w:tcPr>
                  <w:tcW w:w="1263" w:type="dxa"/>
                  <w:tcMar>
                    <w:left w:w="0" w:type="dxa"/>
                    <w:right w:w="0" w:type="dxa"/>
                  </w:tcMar>
                  <w:vAlign w:val="center"/>
                </w:tcPr>
                <w:p w14:paraId="337756E8">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10t/h生物质蒸汽锅炉配套的</w:t>
                  </w:r>
                  <w:r>
                    <w:rPr>
                      <w:rFonts w:hint="default" w:ascii="Times New Roman" w:hAnsi="Times New Roman" w:eastAsia="宋体" w:cs="Times New Roman"/>
                      <w:color w:val="auto"/>
                      <w:sz w:val="21"/>
                      <w:szCs w:val="21"/>
                      <w:highlight w:val="none"/>
                      <w:lang w:val="en-US" w:eastAsia="zh-CN"/>
                    </w:rPr>
                    <w:t>1根40m</w:t>
                  </w:r>
                  <w:r>
                    <w:rPr>
                      <w:rFonts w:hint="default" w:ascii="Times New Roman" w:hAnsi="Times New Roman" w:eastAsia="宋体" w:cs="Times New Roman"/>
                      <w:color w:val="auto"/>
                      <w:sz w:val="21"/>
                      <w:szCs w:val="21"/>
                      <w:highlight w:val="none"/>
                    </w:rPr>
                    <w:t>高排气筒</w:t>
                  </w:r>
                </w:p>
              </w:tc>
              <w:tc>
                <w:tcPr>
                  <w:tcW w:w="971" w:type="dxa"/>
                  <w:tcMar>
                    <w:left w:w="0" w:type="dxa"/>
                    <w:right w:w="0" w:type="dxa"/>
                  </w:tcMar>
                  <w:vAlign w:val="center"/>
                </w:tcPr>
                <w:p w14:paraId="017E7A73">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、颗粒物、汞及其化合物、林格曼黑度</w:t>
                  </w:r>
                </w:p>
              </w:tc>
              <w:tc>
                <w:tcPr>
                  <w:tcW w:w="971" w:type="dxa"/>
                  <w:tcMar>
                    <w:left w:w="0" w:type="dxa"/>
                    <w:right w:w="0" w:type="dxa"/>
                  </w:tcMar>
                  <w:vAlign w:val="center"/>
                </w:tcPr>
                <w:p w14:paraId="74813CF4">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1次/月</w:t>
                  </w:r>
                </w:p>
              </w:tc>
              <w:tc>
                <w:tcPr>
                  <w:tcW w:w="3380" w:type="dxa"/>
                  <w:tcBorders>
                    <w:right w:val="single" w:color="auto" w:sz="4" w:space="0"/>
                  </w:tcBorders>
                  <w:tcMar>
                    <w:left w:w="0" w:type="dxa"/>
                    <w:right w:w="0" w:type="dxa"/>
                  </w:tcMar>
                  <w:vAlign w:val="center"/>
                </w:tcPr>
                <w:p w14:paraId="08ACAA9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《锅炉大气污染物排放标准》（GB13271-2014）表2新建锅炉大气污染物排放浓度限值中</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燃煤锅炉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的排放浓度限值</w:t>
                  </w:r>
                </w:p>
              </w:tc>
            </w:tr>
            <w:tr w14:paraId="5F167D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54" w:hRule="atLeast"/>
                <w:jc w:val="center"/>
              </w:trPr>
              <w:tc>
                <w:tcPr>
                  <w:tcW w:w="846" w:type="dxa"/>
                  <w:vMerge w:val="continue"/>
                  <w:tcBorders>
                    <w:left w:val="single" w:color="auto" w:sz="4" w:space="0"/>
                  </w:tcBorders>
                  <w:tcMar>
                    <w:left w:w="0" w:type="dxa"/>
                    <w:right w:w="0" w:type="dxa"/>
                  </w:tcMar>
                  <w:vAlign w:val="center"/>
                </w:tcPr>
                <w:p w14:paraId="22514B6F">
                  <w:pPr>
                    <w:tabs>
                      <w:tab w:val="center" w:pos="4153"/>
                      <w:tab w:val="right" w:pos="8306"/>
                    </w:tabs>
                    <w:autoSpaceDE w:val="0"/>
                    <w:autoSpaceDN w:val="0"/>
                    <w:spacing w:line="240" w:lineRule="auto"/>
                    <w:ind w:firstLine="0"/>
                    <w:jc w:val="center"/>
                    <w:textAlignment w:val="bottom"/>
                    <w:rPr>
                      <w:rFonts w:hint="default" w:ascii="Times New Roman" w:hAnsi="Times New Roman" w:eastAsia="宋体" w:cs="Times New Roman"/>
                      <w:color w:val="auto"/>
                      <w:sz w:val="21"/>
                      <w:szCs w:val="21"/>
                      <w:highlight w:val="none"/>
                    </w:rPr>
                  </w:pPr>
                </w:p>
              </w:tc>
              <w:tc>
                <w:tcPr>
                  <w:tcW w:w="846" w:type="dxa"/>
                  <w:tcMar>
                    <w:left w:w="0" w:type="dxa"/>
                    <w:right w:w="0" w:type="dxa"/>
                  </w:tcMar>
                  <w:vAlign w:val="center"/>
                </w:tcPr>
                <w:p w14:paraId="7130F835">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1263" w:type="dxa"/>
                  <w:tcMar>
                    <w:left w:w="0" w:type="dxa"/>
                    <w:right w:w="0" w:type="dxa"/>
                  </w:tcMar>
                  <w:vAlign w:val="center"/>
                </w:tcPr>
                <w:p w14:paraId="2D89DD53">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971" w:type="dxa"/>
                  <w:tcMar>
                    <w:left w:w="0" w:type="dxa"/>
                    <w:right w:w="0" w:type="dxa"/>
                  </w:tcMar>
                  <w:vAlign w:val="center"/>
                </w:tcPr>
                <w:p w14:paraId="44BCBF0C">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971" w:type="dxa"/>
                  <w:tcMar>
                    <w:left w:w="0" w:type="dxa"/>
                    <w:right w:w="0" w:type="dxa"/>
                  </w:tcMar>
                  <w:vAlign w:val="center"/>
                </w:tcPr>
                <w:p w14:paraId="19F669B8">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1次/季度</w:t>
                  </w:r>
                </w:p>
              </w:tc>
              <w:tc>
                <w:tcPr>
                  <w:tcW w:w="3380" w:type="dxa"/>
                  <w:tcBorders>
                    <w:right w:val="single" w:color="auto" w:sz="4" w:space="0"/>
                  </w:tcBorders>
                  <w:tcMar>
                    <w:left w:w="0" w:type="dxa"/>
                    <w:right w:w="0" w:type="dxa"/>
                  </w:tcMar>
                  <w:vAlign w:val="center"/>
                </w:tcPr>
                <w:p w14:paraId="0A5494F8">
                  <w:pPr>
                    <w:snapToGrid w:val="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《大气污染物综合排放标准》（GB16297-1996）表2新污染源大气污染物排放限值中“无组织排放监控浓度限值”1.0mg/m</w:t>
                  </w:r>
                  <w:r>
                    <w:rPr>
                      <w:rFonts w:hint="default" w:ascii="Times New Roman" w:hAnsi="Times New Roman" w:eastAsia="宋体" w:cs="Times New Roman"/>
                      <w:color w:val="auto"/>
                      <w:szCs w:val="21"/>
                      <w:highlight w:val="none"/>
                      <w:vertAlign w:val="superscript"/>
                    </w:rPr>
                    <w:t>3</w:t>
                  </w:r>
                </w:p>
              </w:tc>
            </w:tr>
            <w:tr w14:paraId="24EA44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46" w:type="dxa"/>
                  <w:tcBorders>
                    <w:left w:val="single" w:color="auto" w:sz="4" w:space="0"/>
                  </w:tcBorders>
                  <w:tcMar>
                    <w:left w:w="0" w:type="dxa"/>
                    <w:right w:w="0" w:type="dxa"/>
                  </w:tcMar>
                  <w:vAlign w:val="center"/>
                </w:tcPr>
                <w:p w14:paraId="58E5C9C0">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2109" w:type="dxa"/>
                  <w:gridSpan w:val="2"/>
                  <w:tcMar>
                    <w:left w:w="0" w:type="dxa"/>
                    <w:right w:w="0" w:type="dxa"/>
                  </w:tcMar>
                  <w:vAlign w:val="center"/>
                </w:tcPr>
                <w:p w14:paraId="1D7D601C">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971" w:type="dxa"/>
                  <w:vMerge w:val="restart"/>
                  <w:tcMar>
                    <w:left w:w="0" w:type="dxa"/>
                    <w:right w:w="0" w:type="dxa"/>
                  </w:tcMar>
                  <w:vAlign w:val="center"/>
                </w:tcPr>
                <w:p w14:paraId="2F5CC579">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971" w:type="dxa"/>
                  <w:tcMar>
                    <w:left w:w="0" w:type="dxa"/>
                    <w:right w:w="0" w:type="dxa"/>
                  </w:tcMar>
                  <w:vAlign w:val="center"/>
                </w:tcPr>
                <w:p w14:paraId="75D25C1A">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1次/季度</w:t>
                  </w:r>
                </w:p>
              </w:tc>
              <w:tc>
                <w:tcPr>
                  <w:tcW w:w="3380" w:type="dxa"/>
                  <w:tcBorders>
                    <w:right w:val="single" w:color="auto" w:sz="4" w:space="0"/>
                  </w:tcBorders>
                  <w:tcMar>
                    <w:left w:w="0" w:type="dxa"/>
                    <w:right w:w="0" w:type="dxa"/>
                  </w:tcMar>
                  <w:vAlign w:val="center"/>
                </w:tcPr>
                <w:p w14:paraId="499CBC02">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eastAsia="宋体" w:cs="Times New Roman"/>
                      <w:color w:val="auto"/>
                      <w:sz w:val="21"/>
                      <w:szCs w:val="21"/>
                      <w:highlight w:val="none"/>
                      <w:lang w:eastAsia="zh-CN"/>
                    </w:rPr>
                    <w:t>3类</w:t>
                  </w:r>
                  <w:r>
                    <w:rPr>
                      <w:rFonts w:hint="default" w:ascii="Times New Roman" w:hAnsi="Times New Roman" w:eastAsia="宋体" w:cs="Times New Roman"/>
                      <w:color w:val="auto"/>
                      <w:sz w:val="21"/>
                      <w:szCs w:val="21"/>
                      <w:highlight w:val="none"/>
                    </w:rPr>
                    <w:t>标准限值</w:t>
                  </w:r>
                </w:p>
              </w:tc>
            </w:tr>
            <w:tr w14:paraId="5F7ABD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846" w:type="dxa"/>
                  <w:vMerge w:val="restart"/>
                  <w:tcBorders>
                    <w:left w:val="single" w:color="auto" w:sz="4" w:space="0"/>
                  </w:tcBorders>
                  <w:tcMar>
                    <w:left w:w="0" w:type="dxa"/>
                    <w:right w:w="0" w:type="dxa"/>
                  </w:tcMar>
                  <w:vAlign w:val="center"/>
                </w:tcPr>
                <w:p w14:paraId="64153176">
                  <w:pPr>
                    <w:tabs>
                      <w:tab w:val="center" w:pos="4153"/>
                      <w:tab w:val="right" w:pos="8306"/>
                    </w:tabs>
                    <w:autoSpaceDE w:val="0"/>
                    <w:autoSpaceDN w:val="0"/>
                    <w:snapToGrid/>
                    <w:spacing w:line="240" w:lineRule="auto"/>
                    <w:ind w:firstLine="0"/>
                    <w:jc w:val="center"/>
                    <w:textAlignment w:val="bottom"/>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声环境</w:t>
                  </w:r>
                </w:p>
              </w:tc>
              <w:tc>
                <w:tcPr>
                  <w:tcW w:w="2109" w:type="dxa"/>
                  <w:gridSpan w:val="2"/>
                  <w:shd w:val="clear" w:color="auto" w:fill="auto"/>
                  <w:tcMar>
                    <w:left w:w="0" w:type="dxa"/>
                    <w:right w:w="0" w:type="dxa"/>
                  </w:tcMar>
                  <w:vAlign w:val="center"/>
                </w:tcPr>
                <w:p w14:paraId="7BCB2772">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南侧敏感点</w:t>
                  </w:r>
                </w:p>
              </w:tc>
              <w:tc>
                <w:tcPr>
                  <w:tcW w:w="971" w:type="dxa"/>
                  <w:vMerge w:val="continue"/>
                  <w:tcMar>
                    <w:left w:w="0" w:type="dxa"/>
                    <w:right w:w="0" w:type="dxa"/>
                  </w:tcMar>
                  <w:vAlign w:val="center"/>
                </w:tcPr>
                <w:p w14:paraId="1F7A2B79">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p>
              </w:tc>
              <w:tc>
                <w:tcPr>
                  <w:tcW w:w="971" w:type="dxa"/>
                  <w:vMerge w:val="restart"/>
                  <w:tcMar>
                    <w:left w:w="0" w:type="dxa"/>
                    <w:right w:w="0" w:type="dxa"/>
                  </w:tcMar>
                  <w:vAlign w:val="center"/>
                </w:tcPr>
                <w:p w14:paraId="64EF1F88">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1次/季度</w:t>
                  </w:r>
                </w:p>
              </w:tc>
              <w:tc>
                <w:tcPr>
                  <w:tcW w:w="3380" w:type="dxa"/>
                  <w:vMerge w:val="restart"/>
                  <w:tcBorders>
                    <w:right w:val="single" w:color="auto" w:sz="4" w:space="0"/>
                  </w:tcBorders>
                  <w:tcMar>
                    <w:left w:w="0" w:type="dxa"/>
                    <w:right w:w="0" w:type="dxa"/>
                  </w:tcMar>
                  <w:vAlign w:val="center"/>
                </w:tcPr>
                <w:p w14:paraId="202A9A06">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《声环境质量标准》（GB3096-2008）2类标准</w:t>
                  </w:r>
                </w:p>
              </w:tc>
            </w:tr>
            <w:tr w14:paraId="4F9D83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12" w:hRule="atLeast"/>
                <w:jc w:val="center"/>
              </w:trPr>
              <w:tc>
                <w:tcPr>
                  <w:tcW w:w="846" w:type="dxa"/>
                  <w:vMerge w:val="continue"/>
                  <w:tcBorders>
                    <w:left w:val="single" w:color="auto" w:sz="4" w:space="0"/>
                  </w:tcBorders>
                  <w:tcMar>
                    <w:left w:w="0" w:type="dxa"/>
                    <w:right w:w="0" w:type="dxa"/>
                  </w:tcMar>
                  <w:vAlign w:val="center"/>
                </w:tcPr>
                <w:p w14:paraId="3D4AA218">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p>
              </w:tc>
              <w:tc>
                <w:tcPr>
                  <w:tcW w:w="2109" w:type="dxa"/>
                  <w:gridSpan w:val="2"/>
                  <w:shd w:val="clear" w:color="auto" w:fill="auto"/>
                  <w:tcMar>
                    <w:left w:w="0" w:type="dxa"/>
                    <w:right w:w="0" w:type="dxa"/>
                  </w:tcMar>
                  <w:vAlign w:val="center"/>
                </w:tcPr>
                <w:p w14:paraId="0D0C23D1">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西南侧敏感点</w:t>
                  </w:r>
                </w:p>
              </w:tc>
              <w:tc>
                <w:tcPr>
                  <w:tcW w:w="971" w:type="dxa"/>
                  <w:vMerge w:val="continue"/>
                  <w:tcMar>
                    <w:left w:w="0" w:type="dxa"/>
                    <w:right w:w="0" w:type="dxa"/>
                  </w:tcMar>
                  <w:vAlign w:val="center"/>
                </w:tcPr>
                <w:p w14:paraId="45B48C2F">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p>
              </w:tc>
              <w:tc>
                <w:tcPr>
                  <w:tcW w:w="971" w:type="dxa"/>
                  <w:vMerge w:val="continue"/>
                  <w:tcMar>
                    <w:left w:w="0" w:type="dxa"/>
                    <w:right w:w="0" w:type="dxa"/>
                  </w:tcMar>
                  <w:vAlign w:val="center"/>
                </w:tcPr>
                <w:p w14:paraId="17BFF0C2">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p>
              </w:tc>
              <w:tc>
                <w:tcPr>
                  <w:tcW w:w="3380" w:type="dxa"/>
                  <w:vMerge w:val="continue"/>
                  <w:tcBorders>
                    <w:right w:val="single" w:color="auto" w:sz="4" w:space="0"/>
                  </w:tcBorders>
                  <w:tcMar>
                    <w:left w:w="0" w:type="dxa"/>
                    <w:right w:w="0" w:type="dxa"/>
                  </w:tcMar>
                  <w:vAlign w:val="center"/>
                </w:tcPr>
                <w:p w14:paraId="410E0A52">
                  <w:pPr>
                    <w:tabs>
                      <w:tab w:val="center" w:pos="4153"/>
                      <w:tab w:val="right" w:pos="8306"/>
                    </w:tabs>
                    <w:autoSpaceDE w:val="0"/>
                    <w:autoSpaceDN w:val="0"/>
                    <w:snapToGrid/>
                    <w:spacing w:line="240" w:lineRule="auto"/>
                    <w:ind w:firstLine="0"/>
                    <w:jc w:val="center"/>
                    <w:textAlignment w:val="bottom"/>
                    <w:rPr>
                      <w:rFonts w:hint="default" w:ascii="Times New Roman" w:hAnsi="Times New Roman" w:eastAsia="宋体" w:cs="Times New Roman"/>
                      <w:color w:val="auto"/>
                      <w:sz w:val="21"/>
                      <w:szCs w:val="21"/>
                      <w:highlight w:val="none"/>
                    </w:rPr>
                  </w:pPr>
                </w:p>
              </w:tc>
            </w:tr>
          </w:tbl>
          <w:p w14:paraId="4D11305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szCs w:val="32"/>
                <w:highlight w:val="none"/>
                <w:lang w:eastAsia="zh-CN"/>
              </w:rPr>
            </w:pPr>
            <w:r>
              <w:rPr>
                <w:rFonts w:hint="default" w:ascii="Times New Roman" w:hAnsi="Times New Roman" w:eastAsia="宋体" w:cs="Times New Roman"/>
                <w:b/>
                <w:bCs/>
                <w:color w:val="auto"/>
                <w:sz w:val="24"/>
                <w:szCs w:val="32"/>
                <w:highlight w:val="none"/>
                <w:lang w:val="en-US" w:eastAsia="zh-CN"/>
              </w:rPr>
              <w:t>8</w:t>
            </w:r>
            <w:r>
              <w:rPr>
                <w:rFonts w:hint="default" w:ascii="Times New Roman" w:hAnsi="Times New Roman" w:eastAsia="宋体" w:cs="Times New Roman"/>
                <w:b/>
                <w:bCs/>
                <w:color w:val="auto"/>
                <w:sz w:val="24"/>
                <w:szCs w:val="32"/>
                <w:highlight w:val="none"/>
              </w:rPr>
              <w:t>、</w:t>
            </w:r>
            <w:r>
              <w:rPr>
                <w:rFonts w:hint="default" w:ascii="Times New Roman" w:hAnsi="Times New Roman" w:eastAsia="宋体" w:cs="Times New Roman"/>
                <w:b/>
                <w:bCs/>
                <w:color w:val="auto"/>
                <w:sz w:val="24"/>
                <w:szCs w:val="32"/>
                <w:highlight w:val="none"/>
                <w:lang w:eastAsia="zh-CN"/>
              </w:rPr>
              <w:t>环保投资和“三同时”验收</w:t>
            </w:r>
          </w:p>
          <w:p w14:paraId="27707740">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Cs/>
                <w:color w:val="auto"/>
                <w:sz w:val="24"/>
                <w:highlight w:val="none"/>
              </w:rPr>
              <w:t>本项目</w:t>
            </w:r>
            <w:r>
              <w:rPr>
                <w:rFonts w:hint="default" w:ascii="Times New Roman" w:hAnsi="Times New Roman" w:eastAsia="宋体" w:cs="Times New Roman"/>
                <w:bCs/>
                <w:color w:val="auto"/>
                <w:sz w:val="24"/>
                <w:highlight w:val="none"/>
                <w:lang w:eastAsia="zh-CN"/>
              </w:rPr>
              <w:t>总投资</w:t>
            </w:r>
            <w:r>
              <w:rPr>
                <w:rFonts w:hint="default" w:ascii="Times New Roman" w:hAnsi="Times New Roman" w:eastAsia="宋体" w:cs="Times New Roman"/>
                <w:bCs/>
                <w:color w:val="auto"/>
                <w:sz w:val="24"/>
                <w:highlight w:val="none"/>
                <w:lang w:val="en-US" w:eastAsia="zh-CN"/>
              </w:rPr>
              <w:t>60</w:t>
            </w:r>
            <w:r>
              <w:rPr>
                <w:rFonts w:hint="default" w:ascii="Times New Roman" w:hAnsi="Times New Roman" w:eastAsia="宋体" w:cs="Times New Roman"/>
                <w:bCs/>
                <w:color w:val="auto"/>
                <w:sz w:val="24"/>
                <w:highlight w:val="none"/>
                <w:lang w:eastAsia="zh-CN"/>
              </w:rPr>
              <w:t>万元，</w:t>
            </w:r>
            <w:r>
              <w:rPr>
                <w:rFonts w:hint="default" w:ascii="Times New Roman" w:hAnsi="Times New Roman" w:eastAsia="宋体" w:cs="Times New Roman"/>
                <w:bCs/>
                <w:color w:val="auto"/>
                <w:sz w:val="24"/>
                <w:highlight w:val="none"/>
              </w:rPr>
              <w:t>环保</w:t>
            </w:r>
            <w:r>
              <w:rPr>
                <w:rFonts w:hint="default" w:ascii="Times New Roman" w:hAnsi="Times New Roman" w:eastAsia="宋体" w:cs="Times New Roman"/>
                <w:bCs/>
                <w:color w:val="auto"/>
                <w:sz w:val="24"/>
                <w:highlight w:val="none"/>
                <w:lang w:eastAsia="zh-CN"/>
              </w:rPr>
              <w:t>投资</w:t>
            </w:r>
            <w:r>
              <w:rPr>
                <w:rFonts w:hint="default" w:ascii="Times New Roman" w:hAnsi="Times New Roman" w:eastAsia="宋体" w:cs="Times New Roman"/>
                <w:bCs/>
                <w:color w:val="auto"/>
                <w:sz w:val="24"/>
                <w:highlight w:val="none"/>
              </w:rPr>
              <w:t>约</w:t>
            </w:r>
            <w:r>
              <w:rPr>
                <w:rFonts w:hint="default" w:ascii="Times New Roman" w:hAnsi="Times New Roman" w:eastAsia="宋体" w:cs="Times New Roman"/>
                <w:bCs/>
                <w:color w:val="auto"/>
                <w:sz w:val="24"/>
                <w:highlight w:val="none"/>
                <w:lang w:val="en-US" w:eastAsia="zh-CN"/>
              </w:rPr>
              <w:t>17</w:t>
            </w:r>
            <w:r>
              <w:rPr>
                <w:rFonts w:hint="default" w:ascii="Times New Roman" w:hAnsi="Times New Roman" w:eastAsia="宋体" w:cs="Times New Roman"/>
                <w:bCs/>
                <w:color w:val="auto"/>
                <w:sz w:val="24"/>
                <w:highlight w:val="none"/>
              </w:rPr>
              <w:t>万元，约占总投资额的</w:t>
            </w:r>
            <w:r>
              <w:rPr>
                <w:rFonts w:hint="default" w:ascii="Times New Roman" w:hAnsi="Times New Roman" w:eastAsia="宋体" w:cs="Times New Roman"/>
                <w:bCs/>
                <w:color w:val="auto"/>
                <w:sz w:val="24"/>
                <w:highlight w:val="none"/>
                <w:lang w:val="en-US" w:eastAsia="zh-CN"/>
              </w:rPr>
              <w:t>28.33</w:t>
            </w:r>
            <w:r>
              <w:rPr>
                <w:rFonts w:hint="default" w:ascii="Times New Roman" w:hAnsi="Times New Roman" w:eastAsia="宋体" w:cs="Times New Roman"/>
                <w:bCs/>
                <w:color w:val="auto"/>
                <w:sz w:val="24"/>
                <w:highlight w:val="none"/>
              </w:rPr>
              <w:t>%，具体环保</w:t>
            </w:r>
            <w:r>
              <w:rPr>
                <w:rFonts w:hint="default" w:ascii="Times New Roman" w:hAnsi="Times New Roman" w:eastAsia="宋体" w:cs="Times New Roman"/>
                <w:bCs/>
                <w:color w:val="auto"/>
                <w:sz w:val="24"/>
                <w:highlight w:val="none"/>
                <w:lang w:eastAsia="zh-CN"/>
              </w:rPr>
              <w:t>投资</w:t>
            </w:r>
            <w:r>
              <w:rPr>
                <w:rFonts w:hint="default" w:ascii="Times New Roman" w:hAnsi="Times New Roman" w:eastAsia="宋体" w:cs="Times New Roman"/>
                <w:bCs/>
                <w:color w:val="auto"/>
                <w:sz w:val="24"/>
                <w:highlight w:val="none"/>
              </w:rPr>
              <w:t>估算见表</w:t>
            </w:r>
            <w:r>
              <w:rPr>
                <w:rFonts w:hint="default" w:ascii="Times New Roman" w:hAnsi="Times New Roman" w:eastAsia="宋体" w:cs="Times New Roman"/>
                <w:bCs/>
                <w:color w:val="auto"/>
                <w:sz w:val="24"/>
                <w:highlight w:val="none"/>
                <w:lang w:val="en-US" w:eastAsia="zh-CN"/>
              </w:rPr>
              <w:t>4-8，“三同时”验收一览表见表4-9</w:t>
            </w:r>
            <w:r>
              <w:rPr>
                <w:rFonts w:hint="default" w:ascii="Times New Roman" w:hAnsi="Times New Roman" w:eastAsia="宋体" w:cs="Times New Roman"/>
                <w:bCs/>
                <w:color w:val="auto"/>
                <w:sz w:val="24"/>
                <w:highlight w:val="none"/>
              </w:rPr>
              <w:t>。</w:t>
            </w:r>
          </w:p>
          <w:p w14:paraId="303AFEDE">
            <w:pPr>
              <w:keepNext w:val="0"/>
              <w:keepLines w:val="0"/>
              <w:suppressLineNumbers w:val="0"/>
              <w:snapToGrid w:val="0"/>
              <w:spacing w:before="0" w:beforeAutospacing="0" w:after="0" w:afterAutospacing="0" w:line="360" w:lineRule="auto"/>
              <w:ind w:left="0" w:right="0" w:firstLine="482" w:firstLineChars="200"/>
              <w:jc w:val="center"/>
              <w:rPr>
                <w:rFonts w:hint="default" w:ascii="Times New Roman" w:hAnsi="Times New Roman" w:eastAsia="宋体" w:cs="Times New Roman"/>
                <w:b/>
                <w:color w:val="auto"/>
                <w:spacing w:val="6"/>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 xml:space="preserve">4-8  </w:t>
            </w:r>
            <w:r>
              <w:rPr>
                <w:rFonts w:hint="default" w:ascii="Times New Roman" w:hAnsi="Times New Roman" w:eastAsia="宋体" w:cs="Times New Roman"/>
                <w:b/>
                <w:color w:val="auto"/>
                <w:spacing w:val="6"/>
                <w:sz w:val="24"/>
                <w:highlight w:val="none"/>
              </w:rPr>
              <w:t>建设项目环境保护投资一览表</w:t>
            </w:r>
          </w:p>
          <w:tbl>
            <w:tblPr>
              <w:tblStyle w:val="25"/>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1791"/>
              <w:gridCol w:w="3643"/>
              <w:gridCol w:w="2070"/>
            </w:tblGrid>
            <w:tr w14:paraId="48708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noWrap w:val="0"/>
                  <w:vAlign w:val="center"/>
                </w:tcPr>
                <w:p w14:paraId="00E4844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791" w:type="dxa"/>
                  <w:noWrap w:val="0"/>
                  <w:vAlign w:val="center"/>
                </w:tcPr>
                <w:p w14:paraId="24DEBEE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项目名称及内容</w:t>
                  </w:r>
                </w:p>
              </w:tc>
              <w:tc>
                <w:tcPr>
                  <w:tcW w:w="3643" w:type="dxa"/>
                  <w:noWrap w:val="0"/>
                  <w:vAlign w:val="center"/>
                </w:tcPr>
                <w:p w14:paraId="4E68B90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处理方法</w:t>
                  </w:r>
                </w:p>
              </w:tc>
              <w:tc>
                <w:tcPr>
                  <w:tcW w:w="2070" w:type="dxa"/>
                  <w:noWrap w:val="0"/>
                  <w:vAlign w:val="center"/>
                </w:tcPr>
                <w:p w14:paraId="468CA0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投资估算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万元）</w:t>
                  </w:r>
                </w:p>
              </w:tc>
            </w:tr>
            <w:tr w14:paraId="58D3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vMerge w:val="restart"/>
                  <w:noWrap w:val="0"/>
                  <w:vAlign w:val="center"/>
                </w:tcPr>
                <w:p w14:paraId="617EB5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w:t>
                  </w:r>
                </w:p>
              </w:tc>
              <w:tc>
                <w:tcPr>
                  <w:tcW w:w="1791" w:type="dxa"/>
                  <w:vMerge w:val="restart"/>
                  <w:noWrap w:val="0"/>
                  <w:vAlign w:val="center"/>
                </w:tcPr>
                <w:p w14:paraId="73A7A8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废气治理</w:t>
                  </w:r>
                </w:p>
              </w:tc>
              <w:tc>
                <w:tcPr>
                  <w:tcW w:w="3643" w:type="dxa"/>
                  <w:noWrap w:val="0"/>
                  <w:vAlign w:val="center"/>
                </w:tcPr>
                <w:p w14:paraId="0202482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旋风除尘器</w:t>
                  </w:r>
                </w:p>
              </w:tc>
              <w:tc>
                <w:tcPr>
                  <w:tcW w:w="2070" w:type="dxa"/>
                  <w:noWrap w:val="0"/>
                  <w:vAlign w:val="center"/>
                </w:tcPr>
                <w:p w14:paraId="6E343CD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r>
            <w:tr w14:paraId="0A687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vMerge w:val="continue"/>
                  <w:noWrap w:val="0"/>
                  <w:vAlign w:val="center"/>
                </w:tcPr>
                <w:p w14:paraId="67CCBB1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791" w:type="dxa"/>
                  <w:vMerge w:val="continue"/>
                  <w:noWrap w:val="0"/>
                  <w:vAlign w:val="center"/>
                </w:tcPr>
                <w:p w14:paraId="0450212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3643" w:type="dxa"/>
                  <w:noWrap w:val="0"/>
                  <w:vAlign w:val="center"/>
                </w:tcPr>
                <w:p w14:paraId="441A9A0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布袋除尘器</w:t>
                  </w:r>
                </w:p>
              </w:tc>
              <w:tc>
                <w:tcPr>
                  <w:tcW w:w="2070" w:type="dxa"/>
                  <w:noWrap w:val="0"/>
                  <w:vAlign w:val="center"/>
                </w:tcPr>
                <w:p w14:paraId="7B81C45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r>
            <w:tr w14:paraId="2397B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vMerge w:val="continue"/>
                  <w:noWrap w:val="0"/>
                  <w:vAlign w:val="center"/>
                </w:tcPr>
                <w:p w14:paraId="772C97F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1791" w:type="dxa"/>
                  <w:vMerge w:val="continue"/>
                  <w:noWrap w:val="0"/>
                  <w:vAlign w:val="center"/>
                </w:tcPr>
                <w:p w14:paraId="4F6CC2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3643" w:type="dxa"/>
                  <w:noWrap w:val="0"/>
                  <w:vAlign w:val="center"/>
                </w:tcPr>
                <w:p w14:paraId="22780E8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排气筒</w:t>
                  </w:r>
                </w:p>
              </w:tc>
              <w:tc>
                <w:tcPr>
                  <w:tcW w:w="2070" w:type="dxa"/>
                  <w:noWrap w:val="0"/>
                  <w:vAlign w:val="center"/>
                </w:tcPr>
                <w:p w14:paraId="2D85207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r>
            <w:tr w14:paraId="3E06D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noWrap w:val="0"/>
                  <w:vAlign w:val="center"/>
                </w:tcPr>
                <w:p w14:paraId="4DAF1B5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p>
              </w:tc>
              <w:tc>
                <w:tcPr>
                  <w:tcW w:w="1791" w:type="dxa"/>
                  <w:noWrap w:val="0"/>
                  <w:vAlign w:val="center"/>
                </w:tcPr>
                <w:p w14:paraId="5078E7C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噪声治理</w:t>
                  </w:r>
                </w:p>
              </w:tc>
              <w:tc>
                <w:tcPr>
                  <w:tcW w:w="3643" w:type="dxa"/>
                  <w:noWrap w:val="0"/>
                  <w:vAlign w:val="center"/>
                </w:tcPr>
                <w:p w14:paraId="7073E31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采取减振垫、隔声措施</w:t>
                  </w:r>
                </w:p>
              </w:tc>
              <w:tc>
                <w:tcPr>
                  <w:tcW w:w="2070" w:type="dxa"/>
                  <w:noWrap w:val="0"/>
                  <w:vAlign w:val="center"/>
                </w:tcPr>
                <w:p w14:paraId="79E660B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1.5</w:t>
                  </w:r>
                </w:p>
              </w:tc>
            </w:tr>
            <w:tr w14:paraId="1E1B6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3" w:type="dxa"/>
                  <w:noWrap w:val="0"/>
                  <w:vAlign w:val="center"/>
                </w:tcPr>
                <w:p w14:paraId="771D5E4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791" w:type="dxa"/>
                  <w:noWrap w:val="0"/>
                  <w:vAlign w:val="center"/>
                </w:tcPr>
                <w:p w14:paraId="5712664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防渗处理</w:t>
                  </w:r>
                </w:p>
              </w:tc>
              <w:tc>
                <w:tcPr>
                  <w:tcW w:w="3643" w:type="dxa"/>
                  <w:noWrap w:val="0"/>
                  <w:vAlign w:val="center"/>
                </w:tcPr>
                <w:p w14:paraId="35C05FB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灰渣库防渗</w:t>
                  </w:r>
                </w:p>
              </w:tc>
              <w:tc>
                <w:tcPr>
                  <w:tcW w:w="2070" w:type="dxa"/>
                  <w:noWrap w:val="0"/>
                  <w:vAlign w:val="center"/>
                </w:tcPr>
                <w:p w14:paraId="364156F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r>
            <w:tr w14:paraId="55AB2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07" w:type="dxa"/>
                  <w:gridSpan w:val="3"/>
                  <w:noWrap w:val="0"/>
                  <w:vAlign w:val="center"/>
                </w:tcPr>
                <w:p w14:paraId="428255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2070" w:type="dxa"/>
                  <w:noWrap w:val="0"/>
                  <w:vAlign w:val="center"/>
                </w:tcPr>
                <w:p w14:paraId="32D0F9E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r>
          </w:tbl>
          <w:p w14:paraId="7DF6AD6D">
            <w:pPr>
              <w:adjustRightInd w:val="0"/>
              <w:snapToGrid w:val="0"/>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表4-</w:t>
            </w:r>
            <w:r>
              <w:rPr>
                <w:rFonts w:hint="default" w:ascii="Times New Roman" w:hAnsi="Times New Roman" w:eastAsia="宋体" w:cs="Times New Roman"/>
                <w:b/>
                <w:bCs/>
                <w:color w:val="auto"/>
                <w:sz w:val="24"/>
                <w:highlight w:val="none"/>
                <w:lang w:val="en-US" w:eastAsia="zh-CN"/>
              </w:rPr>
              <w:t xml:space="preserve">9  </w:t>
            </w:r>
            <w:r>
              <w:rPr>
                <w:rFonts w:hint="default" w:ascii="Times New Roman" w:hAnsi="Times New Roman" w:eastAsia="宋体" w:cs="Times New Roman"/>
                <w:b/>
                <w:bCs/>
                <w:color w:val="auto"/>
                <w:sz w:val="24"/>
                <w:highlight w:val="none"/>
              </w:rPr>
              <w:t>环境保护“三同时”验收一览表</w:t>
            </w:r>
          </w:p>
          <w:tbl>
            <w:tblPr>
              <w:tblStyle w:val="25"/>
              <w:tblW w:w="827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081"/>
              <w:gridCol w:w="728"/>
              <w:gridCol w:w="1062"/>
              <w:gridCol w:w="1062"/>
              <w:gridCol w:w="1063"/>
              <w:gridCol w:w="1063"/>
              <w:gridCol w:w="1517"/>
            </w:tblGrid>
            <w:tr w14:paraId="3C610F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tcBorders>
                    <w:left w:val="single" w:color="auto" w:sz="0" w:space="0"/>
                  </w:tcBorders>
                  <w:vAlign w:val="center"/>
                </w:tcPr>
                <w:p w14:paraId="30625E91">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治理项目</w:t>
                  </w:r>
                </w:p>
              </w:tc>
              <w:tc>
                <w:tcPr>
                  <w:tcW w:w="1809" w:type="dxa"/>
                  <w:gridSpan w:val="2"/>
                  <w:vAlign w:val="center"/>
                </w:tcPr>
                <w:p w14:paraId="06B41E6D">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1062" w:type="dxa"/>
                  <w:vAlign w:val="center"/>
                </w:tcPr>
                <w:p w14:paraId="626CCB7F">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环保设施名称</w:t>
                  </w:r>
                </w:p>
              </w:tc>
              <w:tc>
                <w:tcPr>
                  <w:tcW w:w="1062" w:type="dxa"/>
                  <w:vAlign w:val="center"/>
                </w:tcPr>
                <w:p w14:paraId="0928F63A">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1063" w:type="dxa"/>
                  <w:vAlign w:val="center"/>
                </w:tcPr>
                <w:p w14:paraId="52535FB0">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063" w:type="dxa"/>
                  <w:vAlign w:val="center"/>
                </w:tcPr>
                <w:p w14:paraId="04AC78F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验收监测因子</w:t>
                  </w:r>
                </w:p>
              </w:tc>
              <w:tc>
                <w:tcPr>
                  <w:tcW w:w="1517" w:type="dxa"/>
                  <w:tcBorders>
                    <w:right w:val="single" w:color="auto" w:sz="4" w:space="0"/>
                  </w:tcBorders>
                  <w:vAlign w:val="center"/>
                </w:tcPr>
                <w:p w14:paraId="5C1AA0A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验收标准</w:t>
                  </w:r>
                </w:p>
              </w:tc>
            </w:tr>
            <w:tr w14:paraId="24B63B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701" w:type="dxa"/>
                  <w:vMerge w:val="restart"/>
                  <w:tcBorders>
                    <w:left w:val="single" w:color="auto" w:sz="4" w:space="0"/>
                  </w:tcBorders>
                  <w:vAlign w:val="center"/>
                </w:tcPr>
                <w:p w14:paraId="3E49658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809" w:type="dxa"/>
                  <w:gridSpan w:val="2"/>
                  <w:vMerge w:val="restart"/>
                  <w:vAlign w:val="center"/>
                </w:tcPr>
                <w:p w14:paraId="6466C50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10t/h生物质蒸汽锅炉</w:t>
                  </w:r>
                </w:p>
              </w:tc>
              <w:tc>
                <w:tcPr>
                  <w:tcW w:w="1062" w:type="dxa"/>
                  <w:vAlign w:val="center"/>
                </w:tcPr>
                <w:p w14:paraId="5A04FAE8">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1台旋风除尘器</w:t>
                  </w:r>
                </w:p>
              </w:tc>
              <w:tc>
                <w:tcPr>
                  <w:tcW w:w="1062" w:type="dxa"/>
                  <w:vMerge w:val="restart"/>
                  <w:vAlign w:val="center"/>
                </w:tcPr>
                <w:p w14:paraId="52D6F9A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1根</w:t>
                  </w:r>
                  <w:r>
                    <w:rPr>
                      <w:rFonts w:hint="default" w:ascii="Times New Roman" w:hAnsi="Times New Roman" w:eastAsia="宋体" w:cs="Times New Roman"/>
                      <w:color w:val="auto"/>
                      <w:sz w:val="21"/>
                      <w:szCs w:val="21"/>
                      <w:highlight w:val="none"/>
                      <w:lang w:val="en-US" w:eastAsia="zh-CN"/>
                    </w:rPr>
                    <w:t>40m</w:t>
                  </w:r>
                  <w:r>
                    <w:rPr>
                      <w:rFonts w:hint="default" w:ascii="Times New Roman" w:hAnsi="Times New Roman" w:eastAsia="宋体" w:cs="Times New Roman"/>
                      <w:color w:val="auto"/>
                      <w:sz w:val="21"/>
                      <w:szCs w:val="21"/>
                      <w:highlight w:val="none"/>
                    </w:rPr>
                    <w:t>高排气筒进口、出口</w:t>
                  </w:r>
                </w:p>
              </w:tc>
              <w:tc>
                <w:tcPr>
                  <w:tcW w:w="1063" w:type="dxa"/>
                  <w:vMerge w:val="restart"/>
                  <w:vAlign w:val="center"/>
                </w:tcPr>
                <w:p w14:paraId="0F8E005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3次/d，共监测2天</w:t>
                  </w:r>
                </w:p>
              </w:tc>
              <w:tc>
                <w:tcPr>
                  <w:tcW w:w="1063" w:type="dxa"/>
                  <w:vMerge w:val="restart"/>
                  <w:vAlign w:val="center"/>
                </w:tcPr>
                <w:p w14:paraId="10732F0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、颗粒物、汞及其化合物、林格曼黑度</w:t>
                  </w:r>
                </w:p>
              </w:tc>
              <w:tc>
                <w:tcPr>
                  <w:tcW w:w="1517" w:type="dxa"/>
                  <w:vMerge w:val="restart"/>
                  <w:tcBorders>
                    <w:right w:val="single" w:color="auto" w:sz="4" w:space="0"/>
                  </w:tcBorders>
                  <w:vAlign w:val="center"/>
                </w:tcPr>
                <w:p w14:paraId="382688E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《锅炉大气污染物排放标准》（GB13271-2014）表2新建锅炉大气污染物排放浓度限值中</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燃煤锅炉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的排放浓度限值</w:t>
                  </w:r>
                </w:p>
              </w:tc>
            </w:tr>
            <w:tr w14:paraId="556A12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701" w:type="dxa"/>
                  <w:vMerge w:val="continue"/>
                  <w:tcBorders>
                    <w:left w:val="single" w:color="auto" w:sz="4" w:space="0"/>
                  </w:tcBorders>
                  <w:vAlign w:val="center"/>
                </w:tcPr>
                <w:p w14:paraId="60AF4CEC">
                  <w:pPr>
                    <w:jc w:val="center"/>
                    <w:rPr>
                      <w:rFonts w:hint="default" w:ascii="Times New Roman" w:hAnsi="Times New Roman" w:eastAsia="宋体" w:cs="Times New Roman"/>
                      <w:color w:val="auto"/>
                      <w:highlight w:val="none"/>
                    </w:rPr>
                  </w:pPr>
                </w:p>
              </w:tc>
              <w:tc>
                <w:tcPr>
                  <w:tcW w:w="1809" w:type="dxa"/>
                  <w:gridSpan w:val="2"/>
                  <w:vMerge w:val="continue"/>
                  <w:vAlign w:val="center"/>
                </w:tcPr>
                <w:p w14:paraId="514B4F2D">
                  <w:pPr>
                    <w:jc w:val="center"/>
                    <w:rPr>
                      <w:rFonts w:hint="default" w:ascii="Times New Roman" w:hAnsi="Times New Roman" w:eastAsia="宋体" w:cs="Times New Roman"/>
                      <w:color w:val="auto"/>
                      <w:highlight w:val="none"/>
                    </w:rPr>
                  </w:pPr>
                </w:p>
              </w:tc>
              <w:tc>
                <w:tcPr>
                  <w:tcW w:w="1062" w:type="dxa"/>
                  <w:vAlign w:val="center"/>
                </w:tcPr>
                <w:p w14:paraId="14D80ECF">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1台布袋除尘器</w:t>
                  </w:r>
                </w:p>
              </w:tc>
              <w:tc>
                <w:tcPr>
                  <w:tcW w:w="1062" w:type="dxa"/>
                  <w:vMerge w:val="continue"/>
                  <w:vAlign w:val="center"/>
                </w:tcPr>
                <w:p w14:paraId="41381157">
                  <w:pPr>
                    <w:jc w:val="center"/>
                    <w:rPr>
                      <w:rFonts w:hint="default" w:ascii="Times New Roman" w:hAnsi="Times New Roman" w:eastAsia="宋体" w:cs="Times New Roman"/>
                      <w:color w:val="auto"/>
                      <w:sz w:val="21"/>
                      <w:szCs w:val="21"/>
                      <w:highlight w:val="none"/>
                      <w:lang w:eastAsia="zh-CN"/>
                    </w:rPr>
                  </w:pPr>
                </w:p>
              </w:tc>
              <w:tc>
                <w:tcPr>
                  <w:tcW w:w="1063" w:type="dxa"/>
                  <w:vMerge w:val="continue"/>
                  <w:vAlign w:val="center"/>
                </w:tcPr>
                <w:p w14:paraId="66583C62">
                  <w:pPr>
                    <w:jc w:val="center"/>
                    <w:rPr>
                      <w:rFonts w:hint="default" w:ascii="Times New Roman" w:hAnsi="Times New Roman" w:eastAsia="宋体" w:cs="Times New Roman"/>
                      <w:color w:val="auto"/>
                      <w:sz w:val="21"/>
                      <w:szCs w:val="21"/>
                      <w:highlight w:val="none"/>
                      <w:lang w:eastAsia="zh-CN"/>
                    </w:rPr>
                  </w:pPr>
                </w:p>
              </w:tc>
              <w:tc>
                <w:tcPr>
                  <w:tcW w:w="1063" w:type="dxa"/>
                  <w:vMerge w:val="continue"/>
                  <w:vAlign w:val="center"/>
                </w:tcPr>
                <w:p w14:paraId="6332B479">
                  <w:pPr>
                    <w:jc w:val="center"/>
                    <w:rPr>
                      <w:rFonts w:hint="default" w:ascii="Times New Roman" w:hAnsi="Times New Roman" w:eastAsia="宋体" w:cs="Times New Roman"/>
                      <w:color w:val="auto"/>
                      <w:sz w:val="21"/>
                      <w:szCs w:val="21"/>
                      <w:highlight w:val="none"/>
                      <w:lang w:eastAsia="zh-CN"/>
                    </w:rPr>
                  </w:pPr>
                </w:p>
              </w:tc>
              <w:tc>
                <w:tcPr>
                  <w:tcW w:w="1517" w:type="dxa"/>
                  <w:vMerge w:val="continue"/>
                  <w:tcBorders>
                    <w:right w:val="single" w:color="auto" w:sz="4" w:space="0"/>
                  </w:tcBorders>
                  <w:vAlign w:val="center"/>
                </w:tcPr>
                <w:p w14:paraId="64726D79">
                  <w:pPr>
                    <w:jc w:val="center"/>
                    <w:rPr>
                      <w:rFonts w:hint="default" w:ascii="Times New Roman" w:hAnsi="Times New Roman" w:eastAsia="宋体" w:cs="Times New Roman"/>
                      <w:color w:val="auto"/>
                      <w:sz w:val="21"/>
                      <w:szCs w:val="21"/>
                      <w:highlight w:val="none"/>
                      <w:lang w:eastAsia="zh-CN"/>
                    </w:rPr>
                  </w:pPr>
                </w:p>
              </w:tc>
            </w:tr>
            <w:tr w14:paraId="5F4B67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701" w:type="dxa"/>
                  <w:vMerge w:val="continue"/>
                  <w:tcBorders>
                    <w:left w:val="single" w:color="auto" w:sz="4" w:space="0"/>
                  </w:tcBorders>
                  <w:vAlign w:val="center"/>
                </w:tcPr>
                <w:p w14:paraId="7F5720E3">
                  <w:pPr>
                    <w:jc w:val="center"/>
                    <w:rPr>
                      <w:rFonts w:hint="default" w:ascii="Times New Roman" w:hAnsi="Times New Roman" w:eastAsia="宋体" w:cs="Times New Roman"/>
                      <w:color w:val="auto"/>
                      <w:sz w:val="21"/>
                      <w:szCs w:val="21"/>
                      <w:highlight w:val="none"/>
                      <w:lang w:eastAsia="zh-CN"/>
                    </w:rPr>
                  </w:pPr>
                </w:p>
              </w:tc>
              <w:tc>
                <w:tcPr>
                  <w:tcW w:w="1809" w:type="dxa"/>
                  <w:gridSpan w:val="2"/>
                  <w:vMerge w:val="continue"/>
                  <w:vAlign w:val="center"/>
                </w:tcPr>
                <w:p w14:paraId="4C540485">
                  <w:pPr>
                    <w:jc w:val="center"/>
                    <w:rPr>
                      <w:rFonts w:hint="default" w:ascii="Times New Roman" w:hAnsi="Times New Roman" w:eastAsia="宋体" w:cs="Times New Roman"/>
                      <w:color w:val="auto"/>
                      <w:sz w:val="21"/>
                      <w:szCs w:val="21"/>
                      <w:highlight w:val="none"/>
                      <w:lang w:eastAsia="zh-CN"/>
                    </w:rPr>
                  </w:pPr>
                </w:p>
              </w:tc>
              <w:tc>
                <w:tcPr>
                  <w:tcW w:w="1062" w:type="dxa"/>
                  <w:vAlign w:val="center"/>
                </w:tcPr>
                <w:p w14:paraId="4E0ED9D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1根</w:t>
                  </w:r>
                  <w:r>
                    <w:rPr>
                      <w:rFonts w:hint="default" w:ascii="Times New Roman" w:hAnsi="Times New Roman" w:eastAsia="宋体" w:cs="Times New Roman"/>
                      <w:color w:val="auto"/>
                      <w:sz w:val="21"/>
                      <w:szCs w:val="21"/>
                      <w:highlight w:val="none"/>
                      <w:lang w:val="en-US" w:eastAsia="zh-CN"/>
                    </w:rPr>
                    <w:t>40m</w:t>
                  </w:r>
                  <w:r>
                    <w:rPr>
                      <w:rFonts w:hint="default" w:ascii="Times New Roman" w:hAnsi="Times New Roman" w:eastAsia="宋体" w:cs="Times New Roman"/>
                      <w:color w:val="auto"/>
                      <w:sz w:val="21"/>
                      <w:szCs w:val="21"/>
                      <w:highlight w:val="none"/>
                    </w:rPr>
                    <w:t>高排气筒</w:t>
                  </w:r>
                </w:p>
              </w:tc>
              <w:tc>
                <w:tcPr>
                  <w:tcW w:w="1062" w:type="dxa"/>
                  <w:vMerge w:val="continue"/>
                  <w:vAlign w:val="center"/>
                </w:tcPr>
                <w:p w14:paraId="4D80FF1F">
                  <w:pPr>
                    <w:jc w:val="center"/>
                    <w:rPr>
                      <w:rFonts w:hint="default" w:ascii="Times New Roman" w:hAnsi="Times New Roman" w:eastAsia="宋体" w:cs="Times New Roman"/>
                      <w:color w:val="auto"/>
                      <w:sz w:val="21"/>
                      <w:szCs w:val="21"/>
                      <w:highlight w:val="none"/>
                      <w:lang w:eastAsia="zh-CN"/>
                    </w:rPr>
                  </w:pPr>
                </w:p>
              </w:tc>
              <w:tc>
                <w:tcPr>
                  <w:tcW w:w="1063" w:type="dxa"/>
                  <w:vMerge w:val="continue"/>
                  <w:vAlign w:val="center"/>
                </w:tcPr>
                <w:p w14:paraId="177783D8">
                  <w:pPr>
                    <w:jc w:val="center"/>
                    <w:rPr>
                      <w:rFonts w:hint="default" w:ascii="Times New Roman" w:hAnsi="Times New Roman" w:eastAsia="宋体" w:cs="Times New Roman"/>
                      <w:color w:val="auto"/>
                      <w:sz w:val="21"/>
                      <w:szCs w:val="21"/>
                      <w:highlight w:val="none"/>
                      <w:lang w:eastAsia="zh-CN"/>
                    </w:rPr>
                  </w:pPr>
                </w:p>
              </w:tc>
              <w:tc>
                <w:tcPr>
                  <w:tcW w:w="1063" w:type="dxa"/>
                  <w:vMerge w:val="continue"/>
                  <w:vAlign w:val="center"/>
                </w:tcPr>
                <w:p w14:paraId="7245678E">
                  <w:pPr>
                    <w:jc w:val="center"/>
                    <w:rPr>
                      <w:rFonts w:hint="default" w:ascii="Times New Roman" w:hAnsi="Times New Roman" w:eastAsia="宋体" w:cs="Times New Roman"/>
                      <w:color w:val="auto"/>
                      <w:sz w:val="21"/>
                      <w:szCs w:val="21"/>
                      <w:highlight w:val="none"/>
                      <w:lang w:eastAsia="zh-CN"/>
                    </w:rPr>
                  </w:pPr>
                </w:p>
              </w:tc>
              <w:tc>
                <w:tcPr>
                  <w:tcW w:w="1517" w:type="dxa"/>
                  <w:vMerge w:val="continue"/>
                  <w:tcBorders>
                    <w:right w:val="single" w:color="auto" w:sz="4" w:space="0"/>
                  </w:tcBorders>
                  <w:vAlign w:val="center"/>
                </w:tcPr>
                <w:p w14:paraId="24F4518B">
                  <w:pPr>
                    <w:jc w:val="center"/>
                    <w:rPr>
                      <w:rFonts w:hint="default" w:ascii="Times New Roman" w:hAnsi="Times New Roman" w:eastAsia="宋体" w:cs="Times New Roman"/>
                      <w:color w:val="auto"/>
                      <w:sz w:val="21"/>
                      <w:szCs w:val="21"/>
                      <w:highlight w:val="none"/>
                      <w:lang w:eastAsia="zh-CN"/>
                    </w:rPr>
                  </w:pPr>
                </w:p>
              </w:tc>
            </w:tr>
            <w:tr w14:paraId="238C5E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1" w:type="dxa"/>
                  <w:vMerge w:val="continue"/>
                  <w:tcBorders>
                    <w:left w:val="single" w:color="auto" w:sz="4" w:space="0"/>
                  </w:tcBorders>
                  <w:vAlign w:val="center"/>
                </w:tcPr>
                <w:p w14:paraId="77AAB238">
                  <w:pPr>
                    <w:jc w:val="center"/>
                    <w:rPr>
                      <w:rFonts w:hint="default" w:ascii="Times New Roman" w:hAnsi="Times New Roman" w:eastAsia="宋体" w:cs="Times New Roman"/>
                      <w:color w:val="auto"/>
                      <w:sz w:val="21"/>
                      <w:szCs w:val="21"/>
                      <w:highlight w:val="none"/>
                    </w:rPr>
                  </w:pPr>
                </w:p>
              </w:tc>
              <w:tc>
                <w:tcPr>
                  <w:tcW w:w="1809" w:type="dxa"/>
                  <w:gridSpan w:val="2"/>
                  <w:vAlign w:val="center"/>
                </w:tcPr>
                <w:p w14:paraId="6E4C5B01">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灰渣库</w:t>
                  </w:r>
                </w:p>
              </w:tc>
              <w:tc>
                <w:tcPr>
                  <w:tcW w:w="1062" w:type="dxa"/>
                  <w:vAlign w:val="center"/>
                </w:tcPr>
                <w:p w14:paraId="6AD3B647">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rPr>
                    <w:t>全封闭</w:t>
                  </w:r>
                  <w:r>
                    <w:rPr>
                      <w:rFonts w:hint="default" w:ascii="Times New Roman" w:hAnsi="Times New Roman" w:eastAsia="宋体" w:cs="Times New Roman"/>
                      <w:bCs/>
                      <w:color w:val="auto"/>
                      <w:sz w:val="21"/>
                      <w:szCs w:val="21"/>
                      <w:highlight w:val="none"/>
                      <w:lang w:eastAsia="zh-CN"/>
                    </w:rPr>
                    <w:t>灰渣库</w:t>
                  </w:r>
                </w:p>
              </w:tc>
              <w:tc>
                <w:tcPr>
                  <w:tcW w:w="1062" w:type="dxa"/>
                  <w:vAlign w:val="center"/>
                </w:tcPr>
                <w:p w14:paraId="336DA491">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厂界上风向1个点位、下风向3个点位</w:t>
                  </w:r>
                </w:p>
              </w:tc>
              <w:tc>
                <w:tcPr>
                  <w:tcW w:w="1063" w:type="dxa"/>
                  <w:vAlign w:val="center"/>
                </w:tcPr>
                <w:p w14:paraId="1F95DE8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4次/d，共监测2天</w:t>
                  </w:r>
                </w:p>
              </w:tc>
              <w:tc>
                <w:tcPr>
                  <w:tcW w:w="1063" w:type="dxa"/>
                  <w:vAlign w:val="center"/>
                </w:tcPr>
                <w:p w14:paraId="0C4F67C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517" w:type="dxa"/>
                  <w:tcBorders>
                    <w:right w:val="single" w:color="auto" w:sz="4" w:space="0"/>
                  </w:tcBorders>
                  <w:vAlign w:val="center"/>
                </w:tcPr>
                <w:p w14:paraId="09D3DFD3">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《大气污染物综合排放标准》（GB16297-1996）表2新污染源大气污染物排放限值中“无组织排放监控浓度限值”1.0mg/m</w:t>
                  </w:r>
                  <w:r>
                    <w:rPr>
                      <w:rFonts w:hint="default" w:ascii="Times New Roman" w:hAnsi="Times New Roman" w:eastAsia="宋体" w:cs="Times New Roman"/>
                      <w:color w:val="auto"/>
                      <w:sz w:val="21"/>
                      <w:szCs w:val="21"/>
                      <w:highlight w:val="none"/>
                      <w:vertAlign w:val="superscript"/>
                    </w:rPr>
                    <w:t>3</w:t>
                  </w:r>
                </w:p>
              </w:tc>
            </w:tr>
            <w:tr w14:paraId="74351B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tcBorders>
                    <w:left w:val="single" w:color="auto" w:sz="4" w:space="0"/>
                  </w:tcBorders>
                  <w:vAlign w:val="center"/>
                </w:tcPr>
                <w:p w14:paraId="6C9AD30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w:t>
                  </w:r>
                </w:p>
              </w:tc>
              <w:tc>
                <w:tcPr>
                  <w:tcW w:w="1809" w:type="dxa"/>
                  <w:gridSpan w:val="2"/>
                  <w:vAlign w:val="center"/>
                </w:tcPr>
                <w:p w14:paraId="5AC38C0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软水制备废水</w:t>
                  </w:r>
                </w:p>
              </w:tc>
              <w:tc>
                <w:tcPr>
                  <w:tcW w:w="1062" w:type="dxa"/>
                  <w:vMerge w:val="restart"/>
                  <w:vAlign w:val="center"/>
                </w:tcPr>
                <w:p w14:paraId="400A55EE">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用于厂区运输道路和物料堆场降尘洒水</w:t>
                  </w:r>
                </w:p>
              </w:tc>
              <w:tc>
                <w:tcPr>
                  <w:tcW w:w="1062" w:type="dxa"/>
                  <w:vMerge w:val="restart"/>
                  <w:vAlign w:val="center"/>
                </w:tcPr>
                <w:p w14:paraId="51E528D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063" w:type="dxa"/>
                  <w:vMerge w:val="restart"/>
                  <w:vAlign w:val="center"/>
                </w:tcPr>
                <w:p w14:paraId="4534CB8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063" w:type="dxa"/>
                  <w:vMerge w:val="restart"/>
                  <w:vAlign w:val="center"/>
                </w:tcPr>
                <w:p w14:paraId="0E13947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517" w:type="dxa"/>
                  <w:vMerge w:val="restart"/>
                  <w:tcBorders>
                    <w:right w:val="single" w:color="auto" w:sz="4" w:space="0"/>
                  </w:tcBorders>
                  <w:vAlign w:val="center"/>
                </w:tcPr>
                <w:p w14:paraId="2116315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不外排</w:t>
                  </w:r>
                </w:p>
              </w:tc>
            </w:tr>
            <w:tr w14:paraId="145717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left w:val="single" w:color="auto" w:sz="4" w:space="0"/>
                  </w:tcBorders>
                  <w:vAlign w:val="center"/>
                </w:tcPr>
                <w:p w14:paraId="0A64DBC2">
                  <w:pPr>
                    <w:jc w:val="center"/>
                    <w:rPr>
                      <w:rFonts w:hint="default" w:ascii="Times New Roman" w:hAnsi="Times New Roman" w:eastAsia="宋体" w:cs="Times New Roman"/>
                      <w:color w:val="auto"/>
                      <w:szCs w:val="21"/>
                      <w:highlight w:val="none"/>
                    </w:rPr>
                  </w:pPr>
                </w:p>
              </w:tc>
              <w:tc>
                <w:tcPr>
                  <w:tcW w:w="1809" w:type="dxa"/>
                  <w:gridSpan w:val="2"/>
                  <w:vAlign w:val="center"/>
                </w:tcPr>
                <w:p w14:paraId="40C681F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锅炉排污水</w:t>
                  </w:r>
                </w:p>
              </w:tc>
              <w:tc>
                <w:tcPr>
                  <w:tcW w:w="1062" w:type="dxa"/>
                  <w:vMerge w:val="continue"/>
                  <w:vAlign w:val="center"/>
                </w:tcPr>
                <w:p w14:paraId="10CCE026">
                  <w:pPr>
                    <w:jc w:val="center"/>
                    <w:rPr>
                      <w:rFonts w:hint="default" w:ascii="Times New Roman" w:hAnsi="Times New Roman" w:eastAsia="宋体" w:cs="Times New Roman"/>
                      <w:color w:val="auto"/>
                      <w:szCs w:val="21"/>
                      <w:highlight w:val="none"/>
                    </w:rPr>
                  </w:pPr>
                </w:p>
              </w:tc>
              <w:tc>
                <w:tcPr>
                  <w:tcW w:w="1062" w:type="dxa"/>
                  <w:vMerge w:val="continue"/>
                  <w:vAlign w:val="center"/>
                </w:tcPr>
                <w:p w14:paraId="7D1160D8">
                  <w:pPr>
                    <w:jc w:val="center"/>
                    <w:rPr>
                      <w:rFonts w:hint="default" w:ascii="Times New Roman" w:hAnsi="Times New Roman" w:eastAsia="宋体" w:cs="Times New Roman"/>
                      <w:color w:val="auto"/>
                      <w:szCs w:val="21"/>
                      <w:highlight w:val="none"/>
                    </w:rPr>
                  </w:pPr>
                </w:p>
              </w:tc>
              <w:tc>
                <w:tcPr>
                  <w:tcW w:w="1063" w:type="dxa"/>
                  <w:vMerge w:val="continue"/>
                  <w:vAlign w:val="center"/>
                </w:tcPr>
                <w:p w14:paraId="383CAD2E">
                  <w:pPr>
                    <w:jc w:val="center"/>
                    <w:rPr>
                      <w:rFonts w:hint="default" w:ascii="Times New Roman" w:hAnsi="Times New Roman" w:eastAsia="宋体" w:cs="Times New Roman"/>
                      <w:color w:val="auto"/>
                      <w:szCs w:val="21"/>
                      <w:highlight w:val="none"/>
                    </w:rPr>
                  </w:pPr>
                </w:p>
              </w:tc>
              <w:tc>
                <w:tcPr>
                  <w:tcW w:w="1063" w:type="dxa"/>
                  <w:vMerge w:val="continue"/>
                  <w:vAlign w:val="center"/>
                </w:tcPr>
                <w:p w14:paraId="05B48006">
                  <w:pPr>
                    <w:jc w:val="center"/>
                    <w:rPr>
                      <w:rFonts w:hint="default" w:ascii="Times New Roman" w:hAnsi="Times New Roman" w:eastAsia="宋体" w:cs="Times New Roman"/>
                      <w:color w:val="auto"/>
                      <w:szCs w:val="21"/>
                      <w:highlight w:val="none"/>
                    </w:rPr>
                  </w:pPr>
                </w:p>
              </w:tc>
              <w:tc>
                <w:tcPr>
                  <w:tcW w:w="1517" w:type="dxa"/>
                  <w:vMerge w:val="continue"/>
                  <w:tcBorders>
                    <w:right w:val="single" w:color="auto" w:sz="4" w:space="0"/>
                  </w:tcBorders>
                  <w:vAlign w:val="center"/>
                </w:tcPr>
                <w:p w14:paraId="177A9BB5">
                  <w:pPr>
                    <w:jc w:val="center"/>
                    <w:rPr>
                      <w:rFonts w:hint="default" w:ascii="Times New Roman" w:hAnsi="Times New Roman" w:eastAsia="宋体" w:cs="Times New Roman"/>
                      <w:color w:val="auto"/>
                      <w:szCs w:val="21"/>
                      <w:highlight w:val="none"/>
                    </w:rPr>
                  </w:pPr>
                </w:p>
              </w:tc>
            </w:tr>
            <w:tr w14:paraId="0AF058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tcBorders>
                    <w:left w:val="single" w:color="auto" w:sz="4" w:space="0"/>
                  </w:tcBorders>
                  <w:vAlign w:val="center"/>
                </w:tcPr>
                <w:p w14:paraId="2993423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809" w:type="dxa"/>
                  <w:gridSpan w:val="2"/>
                  <w:vMerge w:val="restart"/>
                  <w:vAlign w:val="center"/>
                </w:tcPr>
                <w:p w14:paraId="3F6E815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设备噪声</w:t>
                  </w:r>
                </w:p>
              </w:tc>
              <w:tc>
                <w:tcPr>
                  <w:tcW w:w="1062" w:type="dxa"/>
                  <w:vMerge w:val="restart"/>
                  <w:vAlign w:val="center"/>
                </w:tcPr>
                <w:p w14:paraId="16B63627">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隔声、</w:t>
                  </w:r>
                  <w:r>
                    <w:rPr>
                      <w:rFonts w:hint="eastAsia" w:ascii="Times New Roman" w:hAnsi="Times New Roman" w:eastAsia="宋体" w:cs="Times New Roman"/>
                      <w:color w:val="auto"/>
                      <w:sz w:val="21"/>
                      <w:szCs w:val="21"/>
                      <w:highlight w:val="none"/>
                      <w:lang w:eastAsia="zh-CN"/>
                    </w:rPr>
                    <w:t>减振</w:t>
                  </w:r>
                </w:p>
              </w:tc>
              <w:tc>
                <w:tcPr>
                  <w:tcW w:w="1062" w:type="dxa"/>
                  <w:vAlign w:val="center"/>
                </w:tcPr>
                <w:p w14:paraId="66EC8E1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厂界四周</w:t>
                  </w:r>
                </w:p>
              </w:tc>
              <w:tc>
                <w:tcPr>
                  <w:tcW w:w="1063" w:type="dxa"/>
                  <w:vAlign w:val="center"/>
                </w:tcPr>
                <w:p w14:paraId="3666FD9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昼夜各2次，共监测2天</w:t>
                  </w:r>
                </w:p>
              </w:tc>
              <w:tc>
                <w:tcPr>
                  <w:tcW w:w="1063" w:type="dxa"/>
                  <w:vAlign w:val="center"/>
                </w:tcPr>
                <w:p w14:paraId="442E904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1517" w:type="dxa"/>
                  <w:tcBorders>
                    <w:right w:val="single" w:color="auto" w:sz="4" w:space="0"/>
                  </w:tcBorders>
                  <w:vAlign w:val="center"/>
                </w:tcPr>
                <w:p w14:paraId="0CBCCD7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《工业企业厂界环境噪声排放标准》（GB12348-2008）中</w:t>
                  </w:r>
                  <w:r>
                    <w:rPr>
                      <w:rFonts w:hint="default" w:ascii="Times New Roman" w:hAnsi="Times New Roman" w:eastAsia="宋体" w:cs="Times New Roman"/>
                      <w:color w:val="auto"/>
                      <w:sz w:val="21"/>
                      <w:szCs w:val="21"/>
                      <w:highlight w:val="none"/>
                      <w:lang w:eastAsia="zh-CN"/>
                    </w:rPr>
                    <w:t>3类</w:t>
                  </w:r>
                  <w:r>
                    <w:rPr>
                      <w:rFonts w:hint="default" w:ascii="Times New Roman" w:hAnsi="Times New Roman" w:eastAsia="宋体" w:cs="Times New Roman"/>
                      <w:color w:val="auto"/>
                      <w:sz w:val="21"/>
                      <w:szCs w:val="21"/>
                      <w:highlight w:val="none"/>
                    </w:rPr>
                    <w:t>标准</w:t>
                  </w:r>
                </w:p>
              </w:tc>
            </w:tr>
            <w:tr w14:paraId="45B726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left w:val="single" w:color="auto" w:sz="4" w:space="0"/>
                  </w:tcBorders>
                  <w:vAlign w:val="center"/>
                </w:tcPr>
                <w:p w14:paraId="12EF8625">
                  <w:pPr>
                    <w:jc w:val="center"/>
                    <w:rPr>
                      <w:rFonts w:hint="default" w:ascii="Times New Roman" w:hAnsi="Times New Roman" w:eastAsia="宋体" w:cs="Times New Roman"/>
                      <w:color w:val="auto"/>
                      <w:sz w:val="21"/>
                      <w:szCs w:val="21"/>
                      <w:highlight w:val="none"/>
                    </w:rPr>
                  </w:pPr>
                </w:p>
              </w:tc>
              <w:tc>
                <w:tcPr>
                  <w:tcW w:w="1809" w:type="dxa"/>
                  <w:gridSpan w:val="2"/>
                  <w:vMerge w:val="continue"/>
                  <w:vAlign w:val="center"/>
                </w:tcPr>
                <w:p w14:paraId="35DE5117">
                  <w:pPr>
                    <w:jc w:val="center"/>
                    <w:rPr>
                      <w:rFonts w:hint="default" w:ascii="Times New Roman" w:hAnsi="Times New Roman" w:eastAsia="宋体" w:cs="Times New Roman"/>
                      <w:color w:val="auto"/>
                      <w:sz w:val="21"/>
                      <w:szCs w:val="21"/>
                      <w:highlight w:val="none"/>
                    </w:rPr>
                  </w:pPr>
                </w:p>
              </w:tc>
              <w:tc>
                <w:tcPr>
                  <w:tcW w:w="1062" w:type="dxa"/>
                  <w:vMerge w:val="continue"/>
                  <w:vAlign w:val="center"/>
                </w:tcPr>
                <w:p w14:paraId="2D66ADCC">
                  <w:pPr>
                    <w:jc w:val="center"/>
                    <w:rPr>
                      <w:rFonts w:hint="default" w:ascii="Times New Roman" w:hAnsi="Times New Roman" w:eastAsia="宋体" w:cs="Times New Roman"/>
                      <w:color w:val="auto"/>
                      <w:sz w:val="21"/>
                      <w:szCs w:val="21"/>
                      <w:highlight w:val="none"/>
                    </w:rPr>
                  </w:pPr>
                </w:p>
              </w:tc>
              <w:tc>
                <w:tcPr>
                  <w:tcW w:w="1062" w:type="dxa"/>
                  <w:shd w:val="clear" w:color="auto" w:fill="auto"/>
                  <w:vAlign w:val="center"/>
                </w:tcPr>
                <w:p w14:paraId="379C9B9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rPr>
                    <w:t>南侧敏感点</w:t>
                  </w:r>
                </w:p>
              </w:tc>
              <w:tc>
                <w:tcPr>
                  <w:tcW w:w="1063" w:type="dxa"/>
                  <w:vMerge w:val="restart"/>
                  <w:vAlign w:val="center"/>
                </w:tcPr>
                <w:p w14:paraId="2CEEEEE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昼夜各2次，共监测2天</w:t>
                  </w:r>
                </w:p>
              </w:tc>
              <w:tc>
                <w:tcPr>
                  <w:tcW w:w="1063" w:type="dxa"/>
                  <w:vMerge w:val="restart"/>
                  <w:vAlign w:val="center"/>
                </w:tcPr>
                <w:p w14:paraId="75B328D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1517" w:type="dxa"/>
                  <w:vMerge w:val="restart"/>
                  <w:tcBorders>
                    <w:right w:val="single" w:color="auto" w:sz="4" w:space="0"/>
                  </w:tcBorders>
                  <w:vAlign w:val="center"/>
                </w:tcPr>
                <w:p w14:paraId="5A7CD24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《声环境质量标准》（GB3096-2008）2类标准</w:t>
                  </w:r>
                </w:p>
              </w:tc>
            </w:tr>
            <w:tr w14:paraId="316D2A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left w:val="single" w:color="auto" w:sz="4" w:space="0"/>
                  </w:tcBorders>
                  <w:vAlign w:val="center"/>
                </w:tcPr>
                <w:p w14:paraId="7FDF6901">
                  <w:pPr>
                    <w:jc w:val="center"/>
                    <w:rPr>
                      <w:rFonts w:hint="default" w:ascii="Times New Roman" w:hAnsi="Times New Roman" w:eastAsia="宋体" w:cs="Times New Roman"/>
                      <w:color w:val="auto"/>
                      <w:sz w:val="21"/>
                      <w:szCs w:val="21"/>
                      <w:highlight w:val="none"/>
                    </w:rPr>
                  </w:pPr>
                </w:p>
              </w:tc>
              <w:tc>
                <w:tcPr>
                  <w:tcW w:w="1809" w:type="dxa"/>
                  <w:gridSpan w:val="2"/>
                  <w:vMerge w:val="continue"/>
                  <w:vAlign w:val="center"/>
                </w:tcPr>
                <w:p w14:paraId="523A7066">
                  <w:pPr>
                    <w:jc w:val="center"/>
                    <w:rPr>
                      <w:rFonts w:hint="default" w:ascii="Times New Roman" w:hAnsi="Times New Roman" w:eastAsia="宋体" w:cs="Times New Roman"/>
                      <w:color w:val="auto"/>
                      <w:sz w:val="21"/>
                      <w:szCs w:val="21"/>
                      <w:highlight w:val="none"/>
                    </w:rPr>
                  </w:pPr>
                </w:p>
              </w:tc>
              <w:tc>
                <w:tcPr>
                  <w:tcW w:w="1062" w:type="dxa"/>
                  <w:vMerge w:val="continue"/>
                  <w:vAlign w:val="center"/>
                </w:tcPr>
                <w:p w14:paraId="6B62B087">
                  <w:pPr>
                    <w:jc w:val="center"/>
                    <w:rPr>
                      <w:rFonts w:hint="default" w:ascii="Times New Roman" w:hAnsi="Times New Roman" w:eastAsia="宋体" w:cs="Times New Roman"/>
                      <w:color w:val="auto"/>
                      <w:sz w:val="21"/>
                      <w:szCs w:val="21"/>
                      <w:highlight w:val="none"/>
                    </w:rPr>
                  </w:pPr>
                </w:p>
              </w:tc>
              <w:tc>
                <w:tcPr>
                  <w:tcW w:w="1062" w:type="dxa"/>
                  <w:shd w:val="clear" w:color="auto" w:fill="auto"/>
                  <w:vAlign w:val="center"/>
                </w:tcPr>
                <w:p w14:paraId="06378CD3">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color w:val="auto"/>
                      <w:kern w:val="0"/>
                      <w:sz w:val="21"/>
                      <w:szCs w:val="21"/>
                      <w:highlight w:val="none"/>
                      <w:lang w:val="en-US" w:eastAsia="zh-CN"/>
                    </w:rPr>
                    <w:t>西南侧敏感点</w:t>
                  </w:r>
                </w:p>
              </w:tc>
              <w:tc>
                <w:tcPr>
                  <w:tcW w:w="1063" w:type="dxa"/>
                  <w:vMerge w:val="continue"/>
                  <w:vAlign w:val="center"/>
                </w:tcPr>
                <w:p w14:paraId="2FC32687">
                  <w:pPr>
                    <w:jc w:val="center"/>
                    <w:rPr>
                      <w:rFonts w:hint="default" w:ascii="Times New Roman" w:hAnsi="Times New Roman" w:eastAsia="宋体" w:cs="Times New Roman"/>
                      <w:color w:val="auto"/>
                      <w:sz w:val="21"/>
                      <w:szCs w:val="21"/>
                      <w:highlight w:val="none"/>
                    </w:rPr>
                  </w:pPr>
                </w:p>
              </w:tc>
              <w:tc>
                <w:tcPr>
                  <w:tcW w:w="1063" w:type="dxa"/>
                  <w:vMerge w:val="continue"/>
                  <w:vAlign w:val="center"/>
                </w:tcPr>
                <w:p w14:paraId="06086424">
                  <w:pPr>
                    <w:jc w:val="center"/>
                    <w:rPr>
                      <w:rFonts w:hint="default" w:ascii="Times New Roman" w:hAnsi="Times New Roman" w:eastAsia="宋体" w:cs="Times New Roman"/>
                      <w:color w:val="auto"/>
                      <w:sz w:val="21"/>
                      <w:szCs w:val="21"/>
                      <w:highlight w:val="none"/>
                    </w:rPr>
                  </w:pPr>
                </w:p>
              </w:tc>
              <w:tc>
                <w:tcPr>
                  <w:tcW w:w="1517" w:type="dxa"/>
                  <w:vMerge w:val="continue"/>
                  <w:tcBorders>
                    <w:right w:val="single" w:color="auto" w:sz="4" w:space="0"/>
                  </w:tcBorders>
                  <w:vAlign w:val="center"/>
                </w:tcPr>
                <w:p w14:paraId="2BA948B5">
                  <w:pPr>
                    <w:jc w:val="center"/>
                    <w:rPr>
                      <w:rFonts w:hint="default" w:ascii="Times New Roman" w:hAnsi="Times New Roman" w:eastAsia="宋体" w:cs="Times New Roman"/>
                      <w:color w:val="auto"/>
                      <w:sz w:val="21"/>
                      <w:szCs w:val="21"/>
                      <w:highlight w:val="none"/>
                    </w:rPr>
                  </w:pPr>
                </w:p>
              </w:tc>
            </w:tr>
            <w:tr w14:paraId="41C94E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restart"/>
                  <w:tcBorders>
                    <w:left w:val="single" w:color="auto" w:sz="4" w:space="0"/>
                  </w:tcBorders>
                  <w:vAlign w:val="center"/>
                </w:tcPr>
                <w:p w14:paraId="53EA635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081" w:type="dxa"/>
                  <w:vAlign w:val="center"/>
                </w:tcPr>
                <w:p w14:paraId="081E3074">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生物质蒸汽锅炉</w:t>
                  </w:r>
                </w:p>
              </w:tc>
              <w:tc>
                <w:tcPr>
                  <w:tcW w:w="728" w:type="dxa"/>
                  <w:vAlign w:val="center"/>
                </w:tcPr>
                <w:p w14:paraId="7C8F3A6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炉渣</w:t>
                  </w:r>
                </w:p>
              </w:tc>
              <w:tc>
                <w:tcPr>
                  <w:tcW w:w="1062" w:type="dxa"/>
                  <w:vAlign w:val="center"/>
                </w:tcPr>
                <w:p w14:paraId="68AA70DC">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堆存于全封闭灰渣库内</w:t>
                  </w:r>
                </w:p>
              </w:tc>
              <w:tc>
                <w:tcPr>
                  <w:tcW w:w="1062" w:type="dxa"/>
                  <w:vAlign w:val="center"/>
                </w:tcPr>
                <w:p w14:paraId="7A0C3EA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2C60ED4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398BBD9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517" w:type="dxa"/>
                  <w:vMerge w:val="restart"/>
                  <w:tcBorders>
                    <w:right w:val="single" w:color="auto" w:sz="4" w:space="0"/>
                  </w:tcBorders>
                  <w:vAlign w:val="center"/>
                </w:tcPr>
                <w:p w14:paraId="76A2FA7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《一般工业固体废物贮存和填埋污染控制标准》（GB18599-2020）</w:t>
                  </w:r>
                </w:p>
              </w:tc>
            </w:tr>
            <w:tr w14:paraId="3B2A76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left w:val="single" w:color="auto" w:sz="4" w:space="0"/>
                  </w:tcBorders>
                  <w:vAlign w:val="center"/>
                </w:tcPr>
                <w:p w14:paraId="6791EC7B">
                  <w:pPr>
                    <w:jc w:val="center"/>
                    <w:rPr>
                      <w:rFonts w:hint="default" w:ascii="Times New Roman" w:hAnsi="Times New Roman" w:eastAsia="宋体" w:cs="Times New Roman"/>
                      <w:color w:val="auto"/>
                      <w:sz w:val="21"/>
                      <w:szCs w:val="21"/>
                      <w:highlight w:val="none"/>
                    </w:rPr>
                  </w:pPr>
                </w:p>
              </w:tc>
              <w:tc>
                <w:tcPr>
                  <w:tcW w:w="1081" w:type="dxa"/>
                  <w:vAlign w:val="center"/>
                </w:tcPr>
                <w:p w14:paraId="69388DF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1台旋风除尘器和</w:t>
                  </w:r>
                  <w:r>
                    <w:rPr>
                      <w:rFonts w:hint="default" w:ascii="Times New Roman" w:hAnsi="Times New Roman" w:eastAsia="宋体" w:cs="Times New Roman"/>
                      <w:color w:val="auto"/>
                      <w:sz w:val="21"/>
                      <w:szCs w:val="21"/>
                      <w:highlight w:val="none"/>
                    </w:rPr>
                    <w:t>1台</w:t>
                  </w:r>
                  <w:r>
                    <w:rPr>
                      <w:rFonts w:hint="default" w:ascii="Times New Roman" w:hAnsi="Times New Roman" w:eastAsia="宋体" w:cs="Times New Roman"/>
                      <w:color w:val="auto"/>
                      <w:sz w:val="21"/>
                      <w:szCs w:val="21"/>
                      <w:highlight w:val="none"/>
                      <w:lang w:eastAsia="zh-CN"/>
                    </w:rPr>
                    <w:t>布袋除尘器</w:t>
                  </w:r>
                </w:p>
              </w:tc>
              <w:tc>
                <w:tcPr>
                  <w:tcW w:w="728" w:type="dxa"/>
                  <w:vAlign w:val="center"/>
                </w:tcPr>
                <w:p w14:paraId="3D8A33E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除尘灰</w:t>
                  </w:r>
                </w:p>
              </w:tc>
              <w:tc>
                <w:tcPr>
                  <w:tcW w:w="1062" w:type="dxa"/>
                  <w:vAlign w:val="center"/>
                </w:tcPr>
                <w:p w14:paraId="4AEAC1D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装袋后堆存于全封闭灰渣库内</w:t>
                  </w:r>
                </w:p>
              </w:tc>
              <w:tc>
                <w:tcPr>
                  <w:tcW w:w="1062" w:type="dxa"/>
                  <w:vAlign w:val="center"/>
                </w:tcPr>
                <w:p w14:paraId="0B59CF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196F538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4EE5D1F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517" w:type="dxa"/>
                  <w:vMerge w:val="continue"/>
                  <w:tcBorders>
                    <w:right w:val="single" w:color="auto" w:sz="4" w:space="0"/>
                  </w:tcBorders>
                  <w:vAlign w:val="center"/>
                </w:tcPr>
                <w:p w14:paraId="2EEC7F52">
                  <w:pPr>
                    <w:jc w:val="center"/>
                    <w:rPr>
                      <w:rFonts w:hint="default" w:ascii="Times New Roman" w:hAnsi="Times New Roman" w:eastAsia="宋体" w:cs="Times New Roman"/>
                      <w:color w:val="auto"/>
                      <w:sz w:val="21"/>
                      <w:szCs w:val="21"/>
                      <w:highlight w:val="none"/>
                    </w:rPr>
                  </w:pPr>
                </w:p>
              </w:tc>
            </w:tr>
            <w:tr w14:paraId="58BB1F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vMerge w:val="continue"/>
                  <w:tcBorders>
                    <w:left w:val="single" w:color="auto" w:sz="4" w:space="0"/>
                  </w:tcBorders>
                  <w:vAlign w:val="center"/>
                </w:tcPr>
                <w:p w14:paraId="2A7B66FD">
                  <w:pPr>
                    <w:jc w:val="center"/>
                    <w:rPr>
                      <w:rFonts w:hint="default" w:ascii="Times New Roman" w:hAnsi="Times New Roman" w:eastAsia="宋体" w:cs="Times New Roman"/>
                      <w:color w:val="auto"/>
                      <w:sz w:val="21"/>
                      <w:szCs w:val="21"/>
                      <w:highlight w:val="none"/>
                    </w:rPr>
                  </w:pPr>
                </w:p>
              </w:tc>
              <w:tc>
                <w:tcPr>
                  <w:tcW w:w="1081" w:type="dxa"/>
                  <w:vAlign w:val="center"/>
                </w:tcPr>
                <w:p w14:paraId="533C8DF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软水制备装置</w:t>
                  </w:r>
                </w:p>
              </w:tc>
              <w:tc>
                <w:tcPr>
                  <w:tcW w:w="728" w:type="dxa"/>
                  <w:vAlign w:val="center"/>
                </w:tcPr>
                <w:p w14:paraId="3FC3E56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废饱和树脂</w:t>
                  </w:r>
                </w:p>
              </w:tc>
              <w:tc>
                <w:tcPr>
                  <w:tcW w:w="1062" w:type="dxa"/>
                  <w:vAlign w:val="center"/>
                </w:tcPr>
                <w:p w14:paraId="6C370AC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由销售厂家直接回收，不在厂区内储存</w:t>
                  </w:r>
                </w:p>
              </w:tc>
              <w:tc>
                <w:tcPr>
                  <w:tcW w:w="1062" w:type="dxa"/>
                  <w:vAlign w:val="center"/>
                </w:tcPr>
                <w:p w14:paraId="7211D86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51546AD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3" w:type="dxa"/>
                  <w:vAlign w:val="center"/>
                </w:tcPr>
                <w:p w14:paraId="37B97C4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517" w:type="dxa"/>
                  <w:vMerge w:val="continue"/>
                  <w:tcBorders>
                    <w:right w:val="single" w:color="auto" w:sz="4" w:space="0"/>
                  </w:tcBorders>
                  <w:vAlign w:val="center"/>
                </w:tcPr>
                <w:p w14:paraId="7E31846E">
                  <w:pPr>
                    <w:jc w:val="center"/>
                    <w:rPr>
                      <w:rFonts w:hint="default" w:ascii="Times New Roman" w:hAnsi="Times New Roman" w:eastAsia="宋体" w:cs="Times New Roman"/>
                      <w:color w:val="auto"/>
                      <w:sz w:val="21"/>
                      <w:szCs w:val="21"/>
                      <w:highlight w:val="none"/>
                    </w:rPr>
                  </w:pPr>
                </w:p>
              </w:tc>
            </w:tr>
            <w:bookmarkEnd w:id="25"/>
            <w:bookmarkEnd w:id="26"/>
            <w:bookmarkEnd w:id="27"/>
            <w:bookmarkEnd w:id="28"/>
          </w:tbl>
          <w:p w14:paraId="285FFF31">
            <w:pPr>
              <w:widowControl/>
              <w:spacing w:line="360" w:lineRule="auto"/>
              <w:ind w:firstLine="480" w:firstLineChars="200"/>
              <w:jc w:val="left"/>
              <w:rPr>
                <w:rFonts w:hint="default" w:ascii="Times New Roman" w:hAnsi="Times New Roman" w:eastAsia="宋体" w:cs="Times New Roman"/>
                <w:color w:val="auto"/>
                <w:sz w:val="24"/>
                <w:highlight w:val="none"/>
              </w:rPr>
            </w:pPr>
          </w:p>
        </w:tc>
      </w:tr>
    </w:tbl>
    <w:p w14:paraId="1BC8A164">
      <w:pPr>
        <w:rPr>
          <w:rFonts w:hint="default" w:ascii="Times New Roman" w:hAnsi="Times New Roman" w:eastAsia="宋体" w:cs="Times New Roman"/>
          <w:color w:val="auto"/>
          <w:sz w:val="28"/>
          <w:szCs w:val="28"/>
          <w:highlight w:val="none"/>
        </w:rPr>
      </w:pPr>
    </w:p>
    <w:p w14:paraId="0F4ECE61">
      <w:pPr>
        <w:rPr>
          <w:rFonts w:hint="default" w:ascii="Times New Roman" w:hAnsi="Times New Roman" w:eastAsia="宋体" w:cs="Times New Roman"/>
          <w:color w:val="auto"/>
          <w:sz w:val="28"/>
          <w:szCs w:val="28"/>
          <w:highlight w:val="none"/>
        </w:rPr>
        <w:sectPr>
          <w:pgSz w:w="11906" w:h="16838"/>
          <w:pgMar w:top="1440" w:right="1800" w:bottom="1440" w:left="1800" w:header="851" w:footer="992" w:gutter="0"/>
          <w:cols w:space="425" w:num="1"/>
          <w:docGrid w:type="lines" w:linePitch="312" w:charSpace="0"/>
        </w:sectPr>
      </w:pPr>
    </w:p>
    <w:p w14:paraId="5FBADD15">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五、环境保护措施监督检查清单</w:t>
      </w:r>
    </w:p>
    <w:tbl>
      <w:tblPr>
        <w:tblStyle w:val="26"/>
        <w:tblW w:w="91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1730"/>
        <w:gridCol w:w="1675"/>
        <w:gridCol w:w="1674"/>
        <w:gridCol w:w="2478"/>
      </w:tblGrid>
      <w:tr w14:paraId="48FBF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1639" w:type="dxa"/>
            <w:vAlign w:val="center"/>
            <mc:AlternateContent>
              <mc:Choice Requires="wpsCustomData">
                <wpsCustomData:diagonals>
                  <wpsCustomData:diagonal from="10000" to="30000">
                    <wpsCustomData:border w:val="single" w:color="auto" w:sz="4" w:space="0"/>
                  </wpsCustomData:diagonal>
                </wpsCustomData:diagonals>
              </mc:Choice>
            </mc:AlternateContent>
          </w:tcPr>
          <w:p w14:paraId="55E1A0DF">
            <w:pPr>
              <w:snapToGrid w:val="0"/>
              <w:jc w:val="center"/>
              <w:rPr>
                <w:rFonts w:hint="default" w:ascii="Times New Roman" w:hAnsi="Times New Roman" w:eastAsia="宋体" w:cs="Times New Roman"/>
                <w:b/>
                <w:bCs/>
                <w:color w:val="auto"/>
                <w:sz w:val="24"/>
                <w:szCs w:val="24"/>
                <w:highlight w:val="none"/>
              </w:rPr>
            </w:pPr>
          </w:p>
          <w:p w14:paraId="1E450607">
            <w:pPr>
              <w:snapToGrid w:val="0"/>
              <w:spacing w:line="240" w:lineRule="auto"/>
              <w:jc w:val="left"/>
              <w:rPr>
                <w:rFonts w:hint="default" w:ascii="Times New Roman" w:hAnsi="Times New Roman" w:eastAsia="宋体" w:cs="Times New Roman"/>
                <w:b/>
                <w:bCs/>
                <w:color w:val="auto"/>
                <w:sz w:val="24"/>
                <w:szCs w:val="24"/>
                <w:highlight w:val="none"/>
              </w:rPr>
            </w:pPr>
          </w:p>
          <w:p w14:paraId="4610E1DA">
            <w:pPr>
              <w:snapToGrid w:val="0"/>
              <w:spacing w:line="240" w:lineRule="auto"/>
              <w:jc w:val="left"/>
              <mc:AlternateContent>
                <mc:Choice Requires="wpsCustomData">
                  <wpsCustomData:diagonalParaType/>
                </mc:Choice>
              </mc:AlternateConten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内容</w:t>
            </w:r>
          </w:p>
          <w:p w14:paraId="6AE67C46">
            <w:pPr>
              <w:snapToGrid w:val="0"/>
              <w:jc w:val="righ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要素</w:t>
            </w:r>
          </w:p>
          <w:p w14:paraId="6220AFD3">
            <w:pPr>
              <w:snapToGrid w:val="0"/>
              <w:jc w:val="left"/>
              <w:rPr>
                <w:rFonts w:hint="default" w:ascii="Times New Roman" w:hAnsi="Times New Roman" w:eastAsia="宋体" w:cs="Times New Roman"/>
                <w:b/>
                <w:bCs/>
                <w:color w:val="auto"/>
                <w:sz w:val="24"/>
                <w:szCs w:val="24"/>
                <w:highlight w:val="none"/>
              </w:rPr>
            </w:pPr>
          </w:p>
        </w:tc>
        <w:tc>
          <w:tcPr>
            <w:tcW w:w="1730" w:type="dxa"/>
            <w:vAlign w:val="center"/>
          </w:tcPr>
          <w:p w14:paraId="243EF431">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排放口（编号、名称）/污染源</w:t>
            </w:r>
          </w:p>
        </w:tc>
        <w:tc>
          <w:tcPr>
            <w:tcW w:w="1675" w:type="dxa"/>
            <w:vAlign w:val="center"/>
          </w:tcPr>
          <w:p w14:paraId="2BE09309">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污染物项目</w:t>
            </w:r>
          </w:p>
        </w:tc>
        <w:tc>
          <w:tcPr>
            <w:tcW w:w="1674" w:type="dxa"/>
            <w:vAlign w:val="center"/>
          </w:tcPr>
          <w:p w14:paraId="3901A956">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环境保护措施</w:t>
            </w:r>
          </w:p>
        </w:tc>
        <w:tc>
          <w:tcPr>
            <w:tcW w:w="2478" w:type="dxa"/>
            <w:vAlign w:val="center"/>
          </w:tcPr>
          <w:p w14:paraId="5D8E4173">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执行标准</w:t>
            </w:r>
          </w:p>
        </w:tc>
      </w:tr>
      <w:tr w14:paraId="25E07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restart"/>
            <w:vAlign w:val="center"/>
          </w:tcPr>
          <w:p w14:paraId="25A0039E">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大气环境</w:t>
            </w:r>
          </w:p>
        </w:tc>
        <w:tc>
          <w:tcPr>
            <w:tcW w:w="1730" w:type="dxa"/>
            <w:vMerge w:val="restart"/>
            <w:vAlign w:val="center"/>
          </w:tcPr>
          <w:p w14:paraId="1F8FB4D0">
            <w:pPr>
              <w:snapToGrid w:val="0"/>
              <w:jc w:val="center"/>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4"/>
                <w:highlight w:val="none"/>
                <w:lang w:eastAsia="zh-CN"/>
              </w:rPr>
              <w:t>10t/h生物质蒸汽锅炉</w:t>
            </w:r>
          </w:p>
        </w:tc>
        <w:tc>
          <w:tcPr>
            <w:tcW w:w="1675" w:type="dxa"/>
            <w:vAlign w:val="center"/>
          </w:tcPr>
          <w:p w14:paraId="3BD8860D">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Cs/>
                <w:color w:val="auto"/>
                <w:sz w:val="24"/>
                <w:szCs w:val="24"/>
                <w:highlight w:val="none"/>
                <w:lang w:val="en-US" w:eastAsia="zh-CN"/>
              </w:rPr>
              <w:t>颗粒物</w:t>
            </w:r>
          </w:p>
        </w:tc>
        <w:tc>
          <w:tcPr>
            <w:tcW w:w="1674" w:type="dxa"/>
            <w:vMerge w:val="restart"/>
            <w:vAlign w:val="center"/>
          </w:tcPr>
          <w:p w14:paraId="6A6EA272">
            <w:pPr>
              <w:snapToGrid w:val="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旋风除尘器</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布袋除尘器</w:t>
            </w:r>
            <w:r>
              <w:rPr>
                <w:rFonts w:hint="default" w:ascii="Times New Roman" w:hAnsi="Times New Roman" w:eastAsia="宋体" w:cs="Times New Roman"/>
                <w:color w:val="auto"/>
                <w:sz w:val="24"/>
                <w:szCs w:val="24"/>
                <w:highlight w:val="none"/>
              </w:rPr>
              <w:t>+1根</w:t>
            </w:r>
            <w:r>
              <w:rPr>
                <w:rFonts w:hint="default" w:ascii="Times New Roman" w:hAnsi="Times New Roman" w:eastAsia="宋体" w:cs="Times New Roman"/>
                <w:color w:val="auto"/>
                <w:sz w:val="24"/>
                <w:szCs w:val="24"/>
                <w:highlight w:val="none"/>
                <w:lang w:val="en-US" w:eastAsia="zh-CN"/>
              </w:rPr>
              <w:t>40m</w:t>
            </w:r>
            <w:r>
              <w:rPr>
                <w:rFonts w:hint="default" w:ascii="Times New Roman" w:hAnsi="Times New Roman" w:eastAsia="宋体" w:cs="Times New Roman"/>
                <w:color w:val="auto"/>
                <w:sz w:val="24"/>
                <w:szCs w:val="24"/>
                <w:highlight w:val="none"/>
              </w:rPr>
              <w:t>高</w:t>
            </w:r>
            <w:r>
              <w:rPr>
                <w:rFonts w:hint="default" w:ascii="Times New Roman" w:hAnsi="Times New Roman" w:eastAsia="宋体" w:cs="Times New Roman"/>
                <w:color w:val="auto"/>
                <w:sz w:val="24"/>
                <w:szCs w:val="24"/>
                <w:highlight w:val="none"/>
                <w:lang w:eastAsia="zh-CN"/>
              </w:rPr>
              <w:t>排气筒</w:t>
            </w:r>
          </w:p>
        </w:tc>
        <w:tc>
          <w:tcPr>
            <w:tcW w:w="2478" w:type="dxa"/>
            <w:vMerge w:val="restart"/>
            <w:vAlign w:val="center"/>
          </w:tcPr>
          <w:p w14:paraId="46E9FE99">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《锅炉大气污染物排放标准》（GB13271-2014）表2新建锅炉大气污染物排放浓度限值中燃煤锅炉的排放浓度限值</w:t>
            </w:r>
          </w:p>
        </w:tc>
      </w:tr>
      <w:tr w14:paraId="4E174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4B26196C">
            <w:pPr>
              <w:jc w:val="center"/>
              <w:rPr>
                <w:rFonts w:hint="default" w:ascii="Times New Roman" w:hAnsi="Times New Roman" w:eastAsia="宋体" w:cs="Times New Roman"/>
                <w:b/>
                <w:bCs/>
                <w:color w:val="auto"/>
                <w:sz w:val="24"/>
                <w:szCs w:val="24"/>
                <w:highlight w:val="none"/>
              </w:rPr>
            </w:pPr>
          </w:p>
        </w:tc>
        <w:tc>
          <w:tcPr>
            <w:tcW w:w="1730" w:type="dxa"/>
            <w:vMerge w:val="continue"/>
            <w:vAlign w:val="center"/>
          </w:tcPr>
          <w:p w14:paraId="2FDB6385">
            <w:pPr>
              <w:snapToGrid w:val="0"/>
              <w:jc w:val="center"/>
              <w:rPr>
                <w:rFonts w:hint="default" w:ascii="Times New Roman" w:hAnsi="Times New Roman" w:eastAsia="宋体" w:cs="Times New Roman"/>
                <w:color w:val="auto"/>
                <w:sz w:val="24"/>
                <w:szCs w:val="24"/>
                <w:highlight w:val="none"/>
              </w:rPr>
            </w:pPr>
          </w:p>
        </w:tc>
        <w:tc>
          <w:tcPr>
            <w:tcW w:w="1675" w:type="dxa"/>
            <w:vAlign w:val="center"/>
          </w:tcPr>
          <w:p w14:paraId="4BFCD6BF">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二氧化硫</w:t>
            </w:r>
          </w:p>
        </w:tc>
        <w:tc>
          <w:tcPr>
            <w:tcW w:w="1674" w:type="dxa"/>
            <w:vMerge w:val="continue"/>
            <w:vAlign w:val="center"/>
          </w:tcPr>
          <w:p w14:paraId="3AB67BB7">
            <w:pPr>
              <w:snapToGrid w:val="0"/>
              <w:jc w:val="center"/>
              <w:rPr>
                <w:rFonts w:hint="default" w:ascii="Times New Roman" w:hAnsi="Times New Roman" w:eastAsia="宋体" w:cs="Times New Roman"/>
                <w:bCs/>
                <w:color w:val="auto"/>
                <w:sz w:val="24"/>
                <w:szCs w:val="24"/>
                <w:highlight w:val="none"/>
              </w:rPr>
            </w:pPr>
          </w:p>
        </w:tc>
        <w:tc>
          <w:tcPr>
            <w:tcW w:w="2478" w:type="dxa"/>
            <w:vMerge w:val="continue"/>
            <w:vAlign w:val="center"/>
          </w:tcPr>
          <w:p w14:paraId="44D440E5">
            <w:pPr>
              <w:jc w:val="center"/>
              <w:rPr>
                <w:rFonts w:hint="default" w:ascii="Times New Roman" w:hAnsi="Times New Roman" w:eastAsia="宋体" w:cs="Times New Roman"/>
                <w:color w:val="auto"/>
                <w:sz w:val="24"/>
                <w:szCs w:val="24"/>
                <w:highlight w:val="none"/>
              </w:rPr>
            </w:pPr>
          </w:p>
        </w:tc>
      </w:tr>
      <w:tr w14:paraId="5E4E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7C6120DF">
            <w:pPr>
              <w:jc w:val="center"/>
              <w:rPr>
                <w:rFonts w:hint="default" w:ascii="Times New Roman" w:hAnsi="Times New Roman" w:eastAsia="宋体" w:cs="Times New Roman"/>
                <w:b/>
                <w:bCs/>
                <w:color w:val="auto"/>
                <w:sz w:val="24"/>
                <w:szCs w:val="24"/>
                <w:highlight w:val="none"/>
              </w:rPr>
            </w:pPr>
          </w:p>
        </w:tc>
        <w:tc>
          <w:tcPr>
            <w:tcW w:w="1730" w:type="dxa"/>
            <w:vMerge w:val="continue"/>
            <w:vAlign w:val="center"/>
          </w:tcPr>
          <w:p w14:paraId="74A0BE62">
            <w:pPr>
              <w:snapToGrid w:val="0"/>
              <w:jc w:val="center"/>
              <w:rPr>
                <w:rFonts w:hint="default" w:ascii="Times New Roman" w:hAnsi="Times New Roman" w:eastAsia="宋体" w:cs="Times New Roman"/>
                <w:color w:val="auto"/>
                <w:sz w:val="24"/>
                <w:szCs w:val="24"/>
                <w:highlight w:val="none"/>
              </w:rPr>
            </w:pPr>
          </w:p>
        </w:tc>
        <w:tc>
          <w:tcPr>
            <w:tcW w:w="1675" w:type="dxa"/>
            <w:vAlign w:val="center"/>
          </w:tcPr>
          <w:p w14:paraId="6A2A2DB4">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氮氧化物</w:t>
            </w:r>
          </w:p>
        </w:tc>
        <w:tc>
          <w:tcPr>
            <w:tcW w:w="1674" w:type="dxa"/>
            <w:vMerge w:val="continue"/>
            <w:vAlign w:val="center"/>
          </w:tcPr>
          <w:p w14:paraId="65247F32">
            <w:pPr>
              <w:snapToGrid w:val="0"/>
              <w:jc w:val="center"/>
              <w:rPr>
                <w:rFonts w:hint="default" w:ascii="Times New Roman" w:hAnsi="Times New Roman" w:eastAsia="宋体" w:cs="Times New Roman"/>
                <w:bCs/>
                <w:color w:val="auto"/>
                <w:sz w:val="24"/>
                <w:szCs w:val="24"/>
                <w:highlight w:val="none"/>
              </w:rPr>
            </w:pPr>
          </w:p>
        </w:tc>
        <w:tc>
          <w:tcPr>
            <w:tcW w:w="2478" w:type="dxa"/>
            <w:vMerge w:val="continue"/>
            <w:vAlign w:val="center"/>
          </w:tcPr>
          <w:p w14:paraId="31C98E87">
            <w:pPr>
              <w:jc w:val="center"/>
              <w:rPr>
                <w:rFonts w:hint="default" w:ascii="Times New Roman" w:hAnsi="Times New Roman" w:eastAsia="宋体" w:cs="Times New Roman"/>
                <w:color w:val="auto"/>
                <w:sz w:val="24"/>
                <w:szCs w:val="24"/>
                <w:highlight w:val="none"/>
              </w:rPr>
            </w:pPr>
          </w:p>
        </w:tc>
      </w:tr>
      <w:tr w14:paraId="5F83B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1776CA43">
            <w:pPr>
              <w:jc w:val="center"/>
              <w:rPr>
                <w:rFonts w:hint="default" w:ascii="Times New Roman" w:hAnsi="Times New Roman" w:eastAsia="宋体" w:cs="Times New Roman"/>
                <w:b/>
                <w:bCs/>
                <w:color w:val="auto"/>
                <w:sz w:val="24"/>
                <w:szCs w:val="24"/>
                <w:highlight w:val="none"/>
              </w:rPr>
            </w:pPr>
          </w:p>
        </w:tc>
        <w:tc>
          <w:tcPr>
            <w:tcW w:w="1730" w:type="dxa"/>
            <w:vMerge w:val="continue"/>
            <w:vAlign w:val="center"/>
          </w:tcPr>
          <w:p w14:paraId="75BF1924">
            <w:pPr>
              <w:snapToGrid w:val="0"/>
              <w:jc w:val="center"/>
              <w:rPr>
                <w:rFonts w:hint="default" w:ascii="Times New Roman" w:hAnsi="Times New Roman" w:eastAsia="宋体" w:cs="Times New Roman"/>
                <w:color w:val="auto"/>
                <w:sz w:val="24"/>
                <w:szCs w:val="24"/>
                <w:highlight w:val="none"/>
              </w:rPr>
            </w:pPr>
          </w:p>
        </w:tc>
        <w:tc>
          <w:tcPr>
            <w:tcW w:w="1675" w:type="dxa"/>
            <w:vAlign w:val="center"/>
          </w:tcPr>
          <w:p w14:paraId="767BBD77">
            <w:pPr>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汞及其化合物</w:t>
            </w:r>
          </w:p>
        </w:tc>
        <w:tc>
          <w:tcPr>
            <w:tcW w:w="1674" w:type="dxa"/>
            <w:vMerge w:val="continue"/>
            <w:vAlign w:val="center"/>
          </w:tcPr>
          <w:p w14:paraId="47387070">
            <w:pPr>
              <w:snapToGrid w:val="0"/>
              <w:jc w:val="center"/>
              <w:rPr>
                <w:rFonts w:hint="default" w:ascii="Times New Roman" w:hAnsi="Times New Roman" w:eastAsia="宋体" w:cs="Times New Roman"/>
                <w:bCs/>
                <w:color w:val="auto"/>
                <w:sz w:val="24"/>
                <w:szCs w:val="24"/>
                <w:highlight w:val="none"/>
              </w:rPr>
            </w:pPr>
          </w:p>
        </w:tc>
        <w:tc>
          <w:tcPr>
            <w:tcW w:w="2478" w:type="dxa"/>
            <w:vMerge w:val="continue"/>
            <w:vAlign w:val="center"/>
          </w:tcPr>
          <w:p w14:paraId="0C91137B">
            <w:pPr>
              <w:jc w:val="center"/>
              <w:rPr>
                <w:rFonts w:hint="default" w:ascii="Times New Roman" w:hAnsi="Times New Roman" w:eastAsia="宋体" w:cs="Times New Roman"/>
                <w:color w:val="auto"/>
                <w:sz w:val="24"/>
                <w:szCs w:val="24"/>
                <w:highlight w:val="none"/>
              </w:rPr>
            </w:pPr>
          </w:p>
        </w:tc>
      </w:tr>
      <w:tr w14:paraId="48846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5B379F61">
            <w:pPr>
              <w:jc w:val="center"/>
              <w:rPr>
                <w:rFonts w:hint="default" w:ascii="Times New Roman" w:hAnsi="Times New Roman" w:eastAsia="宋体" w:cs="Times New Roman"/>
                <w:b/>
                <w:bCs/>
                <w:color w:val="auto"/>
                <w:sz w:val="24"/>
                <w:szCs w:val="24"/>
                <w:highlight w:val="none"/>
              </w:rPr>
            </w:pPr>
          </w:p>
        </w:tc>
        <w:tc>
          <w:tcPr>
            <w:tcW w:w="1730" w:type="dxa"/>
            <w:vMerge w:val="continue"/>
            <w:vAlign w:val="center"/>
          </w:tcPr>
          <w:p w14:paraId="22E784D1">
            <w:pPr>
              <w:snapToGrid w:val="0"/>
              <w:jc w:val="center"/>
              <w:rPr>
                <w:rFonts w:hint="default" w:ascii="Times New Roman" w:hAnsi="Times New Roman" w:eastAsia="宋体" w:cs="Times New Roman"/>
                <w:color w:val="auto"/>
                <w:sz w:val="24"/>
                <w:szCs w:val="24"/>
                <w:highlight w:val="none"/>
              </w:rPr>
            </w:pPr>
          </w:p>
        </w:tc>
        <w:tc>
          <w:tcPr>
            <w:tcW w:w="1675" w:type="dxa"/>
            <w:vAlign w:val="center"/>
          </w:tcPr>
          <w:p w14:paraId="0476B787">
            <w:pPr>
              <w:jc w:val="center"/>
              <w:rPr>
                <w:rFonts w:hint="default" w:ascii="Times New Roman" w:hAnsi="Times New Roman" w:eastAsia="宋体" w:cs="Times New Roman"/>
                <w:bCs/>
                <w:color w:val="auto"/>
                <w:spacing w:val="0"/>
                <w:sz w:val="24"/>
                <w:szCs w:val="24"/>
                <w:highlight w:val="none"/>
              </w:rPr>
            </w:pPr>
            <w:r>
              <w:rPr>
                <w:rFonts w:hint="default" w:ascii="Times New Roman" w:hAnsi="Times New Roman" w:eastAsia="宋体" w:cs="Times New Roman"/>
                <w:bCs/>
                <w:color w:val="auto"/>
                <w:spacing w:val="0"/>
                <w:sz w:val="24"/>
                <w:szCs w:val="24"/>
                <w:highlight w:val="none"/>
              </w:rPr>
              <w:t>烟气黑度</w:t>
            </w:r>
          </w:p>
        </w:tc>
        <w:tc>
          <w:tcPr>
            <w:tcW w:w="1674" w:type="dxa"/>
            <w:vMerge w:val="continue"/>
            <w:vAlign w:val="center"/>
          </w:tcPr>
          <w:p w14:paraId="2B98B939">
            <w:pPr>
              <w:snapToGrid w:val="0"/>
              <w:jc w:val="center"/>
              <w:rPr>
                <w:rFonts w:hint="default" w:ascii="Times New Roman" w:hAnsi="Times New Roman" w:eastAsia="宋体" w:cs="Times New Roman"/>
                <w:bCs/>
                <w:color w:val="auto"/>
                <w:sz w:val="24"/>
                <w:szCs w:val="24"/>
                <w:highlight w:val="none"/>
              </w:rPr>
            </w:pPr>
          </w:p>
        </w:tc>
        <w:tc>
          <w:tcPr>
            <w:tcW w:w="2478" w:type="dxa"/>
            <w:vMerge w:val="continue"/>
            <w:vAlign w:val="center"/>
          </w:tcPr>
          <w:p w14:paraId="3B65ACAC">
            <w:pPr>
              <w:jc w:val="center"/>
              <w:rPr>
                <w:rFonts w:hint="default" w:ascii="Times New Roman" w:hAnsi="Times New Roman" w:eastAsia="宋体" w:cs="Times New Roman"/>
                <w:color w:val="auto"/>
                <w:sz w:val="24"/>
                <w:szCs w:val="24"/>
                <w:highlight w:val="none"/>
              </w:rPr>
            </w:pPr>
          </w:p>
        </w:tc>
      </w:tr>
      <w:tr w14:paraId="3BF0C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7E53427E">
            <w:pPr>
              <w:jc w:val="center"/>
              <w:rPr>
                <w:rFonts w:hint="default" w:ascii="Times New Roman" w:hAnsi="Times New Roman" w:eastAsia="宋体" w:cs="Times New Roman"/>
                <w:b/>
                <w:bCs/>
                <w:color w:val="auto"/>
                <w:sz w:val="24"/>
                <w:szCs w:val="24"/>
                <w:highlight w:val="none"/>
              </w:rPr>
            </w:pPr>
          </w:p>
        </w:tc>
        <w:tc>
          <w:tcPr>
            <w:tcW w:w="1730" w:type="dxa"/>
            <w:vAlign w:val="center"/>
          </w:tcPr>
          <w:p w14:paraId="46B49193">
            <w:pPr>
              <w:snapToGrid w:val="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灰渣库</w:t>
            </w:r>
          </w:p>
        </w:tc>
        <w:tc>
          <w:tcPr>
            <w:tcW w:w="1675" w:type="dxa"/>
            <w:vAlign w:val="center"/>
          </w:tcPr>
          <w:p w14:paraId="211A0A6B">
            <w:pPr>
              <w:jc w:val="center"/>
              <w:rPr>
                <w:rFonts w:hint="default" w:ascii="Times New Roman" w:hAnsi="Times New Roman" w:eastAsia="宋体" w:cs="Times New Roman"/>
                <w:bCs/>
                <w:color w:val="auto"/>
                <w:spacing w:val="0"/>
                <w:sz w:val="24"/>
                <w:szCs w:val="24"/>
                <w:highlight w:val="none"/>
              </w:rPr>
            </w:pPr>
            <w:r>
              <w:rPr>
                <w:rFonts w:hint="default" w:ascii="Times New Roman" w:hAnsi="Times New Roman" w:eastAsia="宋体" w:cs="Times New Roman"/>
                <w:bCs/>
                <w:color w:val="auto"/>
                <w:spacing w:val="0"/>
                <w:sz w:val="24"/>
                <w:szCs w:val="24"/>
                <w:highlight w:val="none"/>
              </w:rPr>
              <w:t>颗粒物</w:t>
            </w:r>
          </w:p>
        </w:tc>
        <w:tc>
          <w:tcPr>
            <w:tcW w:w="1674" w:type="dxa"/>
            <w:vAlign w:val="center"/>
          </w:tcPr>
          <w:p w14:paraId="1A5E87F9">
            <w:pPr>
              <w:jc w:val="center"/>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全封闭</w:t>
            </w:r>
            <w:r>
              <w:rPr>
                <w:rFonts w:hint="default" w:ascii="Times New Roman" w:hAnsi="Times New Roman" w:eastAsia="宋体" w:cs="Times New Roman"/>
                <w:bCs/>
                <w:color w:val="auto"/>
                <w:sz w:val="24"/>
                <w:szCs w:val="24"/>
                <w:highlight w:val="none"/>
                <w:lang w:eastAsia="zh-CN"/>
              </w:rPr>
              <w:t>灰渣库</w:t>
            </w:r>
          </w:p>
        </w:tc>
        <w:tc>
          <w:tcPr>
            <w:tcW w:w="2478" w:type="dxa"/>
            <w:vAlign w:val="center"/>
          </w:tcPr>
          <w:p w14:paraId="4C9FFC46">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《大气污染物综合排放标准》（GB16297-1996）表2新污染源大气污染物排放限值中“无组织排放监控浓度限值”1.0mg/m</w:t>
            </w:r>
            <w:r>
              <w:rPr>
                <w:rFonts w:hint="default" w:ascii="Times New Roman" w:hAnsi="Times New Roman" w:eastAsia="宋体" w:cs="Times New Roman"/>
                <w:color w:val="auto"/>
                <w:sz w:val="24"/>
                <w:szCs w:val="24"/>
                <w:highlight w:val="none"/>
                <w:vertAlign w:val="superscript"/>
              </w:rPr>
              <w:t>3</w:t>
            </w:r>
          </w:p>
        </w:tc>
      </w:tr>
      <w:tr w14:paraId="1F956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restart"/>
            <w:vAlign w:val="center"/>
          </w:tcPr>
          <w:p w14:paraId="38F6DDA8">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地表水环境</w:t>
            </w:r>
          </w:p>
        </w:tc>
        <w:tc>
          <w:tcPr>
            <w:tcW w:w="1730" w:type="dxa"/>
            <w:vAlign w:val="center"/>
          </w:tcPr>
          <w:p w14:paraId="2B422E6A">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软水制备设施</w:t>
            </w:r>
          </w:p>
        </w:tc>
        <w:tc>
          <w:tcPr>
            <w:tcW w:w="1675" w:type="dxa"/>
            <w:vAlign w:val="center"/>
          </w:tcPr>
          <w:p w14:paraId="32D4A310">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软水制备废水</w:t>
            </w:r>
          </w:p>
        </w:tc>
        <w:tc>
          <w:tcPr>
            <w:tcW w:w="1674" w:type="dxa"/>
            <w:vMerge w:val="restart"/>
            <w:vAlign w:val="center"/>
          </w:tcPr>
          <w:p w14:paraId="56A8AA09">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用于厂区运输道路和物料堆场降尘洒水</w:t>
            </w:r>
          </w:p>
        </w:tc>
        <w:tc>
          <w:tcPr>
            <w:tcW w:w="2478" w:type="dxa"/>
            <w:vMerge w:val="restart"/>
            <w:vAlign w:val="center"/>
          </w:tcPr>
          <w:p w14:paraId="0D5CB4A3">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不外排</w:t>
            </w:r>
          </w:p>
        </w:tc>
      </w:tr>
      <w:tr w14:paraId="629F6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2FD14B1F">
            <w:pPr>
              <w:jc w:val="center"/>
              <w:rPr>
                <w:rFonts w:hint="default" w:ascii="Times New Roman" w:hAnsi="Times New Roman" w:eastAsia="宋体" w:cs="Times New Roman"/>
                <w:b/>
                <w:bCs/>
                <w:color w:val="auto"/>
                <w:sz w:val="24"/>
                <w:szCs w:val="24"/>
                <w:highlight w:val="none"/>
              </w:rPr>
            </w:pPr>
          </w:p>
        </w:tc>
        <w:tc>
          <w:tcPr>
            <w:tcW w:w="1730" w:type="dxa"/>
            <w:vAlign w:val="center"/>
          </w:tcPr>
          <w:p w14:paraId="64B1A83B">
            <w:pPr>
              <w:jc w:val="center"/>
              <w:rPr>
                <w:rFonts w:hint="default" w:ascii="Times New Roman" w:hAnsi="Times New Roman" w:eastAsia="宋体" w:cs="Times New Roman"/>
                <w:color w:val="auto"/>
                <w:sz w:val="24"/>
                <w:szCs w:val="24"/>
                <w:highlight w:val="none"/>
                <w:lang w:val="de-DE" w:eastAsia="zh-CN"/>
              </w:rPr>
            </w:pPr>
            <w:r>
              <w:rPr>
                <w:rFonts w:hint="default" w:ascii="Times New Roman" w:hAnsi="Times New Roman" w:eastAsia="宋体" w:cs="Times New Roman"/>
                <w:color w:val="auto"/>
                <w:sz w:val="24"/>
                <w:szCs w:val="24"/>
                <w:highlight w:val="none"/>
                <w:lang w:eastAsia="zh-CN"/>
              </w:rPr>
              <w:t>10t/h生物质蒸汽锅炉</w:t>
            </w:r>
          </w:p>
        </w:tc>
        <w:tc>
          <w:tcPr>
            <w:tcW w:w="1675" w:type="dxa"/>
            <w:vAlign w:val="center"/>
          </w:tcPr>
          <w:p w14:paraId="53299B62">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锅炉排污水</w:t>
            </w:r>
          </w:p>
        </w:tc>
        <w:tc>
          <w:tcPr>
            <w:tcW w:w="1674" w:type="dxa"/>
            <w:vMerge w:val="continue"/>
            <w:vAlign w:val="center"/>
          </w:tcPr>
          <w:p w14:paraId="3E81A2DF">
            <w:pPr>
              <w:jc w:val="center"/>
              <w:rPr>
                <w:rFonts w:hint="default" w:ascii="Times New Roman" w:hAnsi="Times New Roman" w:eastAsia="宋体" w:cs="Times New Roman"/>
                <w:color w:val="auto"/>
                <w:sz w:val="24"/>
                <w:szCs w:val="24"/>
                <w:highlight w:val="none"/>
              </w:rPr>
            </w:pPr>
          </w:p>
        </w:tc>
        <w:tc>
          <w:tcPr>
            <w:tcW w:w="2478" w:type="dxa"/>
            <w:vMerge w:val="continue"/>
            <w:vAlign w:val="center"/>
          </w:tcPr>
          <w:p w14:paraId="4BA08840">
            <w:pPr>
              <w:jc w:val="center"/>
              <w:rPr>
                <w:rFonts w:hint="default" w:ascii="Times New Roman" w:hAnsi="Times New Roman" w:eastAsia="宋体" w:cs="Times New Roman"/>
                <w:color w:val="auto"/>
                <w:sz w:val="24"/>
                <w:szCs w:val="24"/>
                <w:highlight w:val="none"/>
              </w:rPr>
            </w:pPr>
          </w:p>
        </w:tc>
      </w:tr>
      <w:tr w14:paraId="6BF7A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6C4DA2B5">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声环境</w:t>
            </w:r>
          </w:p>
        </w:tc>
        <w:tc>
          <w:tcPr>
            <w:tcW w:w="1730" w:type="dxa"/>
            <w:vAlign w:val="center"/>
          </w:tcPr>
          <w:p w14:paraId="76E2182A">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给水泵、</w:t>
            </w:r>
            <w:r>
              <w:rPr>
                <w:rFonts w:hint="default" w:ascii="Times New Roman" w:hAnsi="Times New Roman" w:eastAsia="宋体" w:cs="Times New Roman"/>
                <w:color w:val="auto"/>
                <w:sz w:val="24"/>
                <w:szCs w:val="24"/>
                <w:highlight w:val="none"/>
                <w:lang w:eastAsia="zh-CN"/>
              </w:rPr>
              <w:t>循环水</w:t>
            </w:r>
            <w:r>
              <w:rPr>
                <w:rFonts w:hint="default" w:ascii="Times New Roman" w:hAnsi="Times New Roman" w:eastAsia="宋体" w:cs="Times New Roman"/>
                <w:color w:val="auto"/>
                <w:sz w:val="24"/>
                <w:szCs w:val="24"/>
                <w:highlight w:val="none"/>
              </w:rPr>
              <w:t>泵、风机等设备</w:t>
            </w:r>
          </w:p>
        </w:tc>
        <w:tc>
          <w:tcPr>
            <w:tcW w:w="1675" w:type="dxa"/>
            <w:vAlign w:val="center"/>
          </w:tcPr>
          <w:p w14:paraId="14A3D4CB">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噪声</w:t>
            </w:r>
          </w:p>
        </w:tc>
        <w:tc>
          <w:tcPr>
            <w:tcW w:w="1674" w:type="dxa"/>
            <w:vAlign w:val="center"/>
          </w:tcPr>
          <w:p w14:paraId="12D35C92">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基础</w:t>
            </w:r>
            <w:r>
              <w:rPr>
                <w:rFonts w:hint="eastAsia" w:ascii="Times New Roman" w:hAnsi="Times New Roman" w:eastAsia="宋体" w:cs="Times New Roman"/>
                <w:color w:val="auto"/>
                <w:sz w:val="24"/>
                <w:szCs w:val="24"/>
                <w:highlight w:val="none"/>
                <w:lang w:eastAsia="zh-CN"/>
              </w:rPr>
              <w:t>减振</w:t>
            </w:r>
            <w:r>
              <w:rPr>
                <w:rFonts w:hint="default" w:ascii="Times New Roman" w:hAnsi="Times New Roman" w:eastAsia="宋体" w:cs="Times New Roman"/>
                <w:color w:val="auto"/>
                <w:sz w:val="24"/>
                <w:szCs w:val="24"/>
                <w:highlight w:val="none"/>
              </w:rPr>
              <w:t>措施、隔声</w:t>
            </w:r>
          </w:p>
        </w:tc>
        <w:tc>
          <w:tcPr>
            <w:tcW w:w="2478" w:type="dxa"/>
            <w:vAlign w:val="center"/>
          </w:tcPr>
          <w:p w14:paraId="304243E0">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《工业企业厂界环境噪声排放标准》（GB12348-2008）</w:t>
            </w:r>
            <w:r>
              <w:rPr>
                <w:rFonts w:hint="default" w:ascii="Times New Roman" w:hAnsi="Times New Roman" w:eastAsia="宋体" w:cs="Times New Roman"/>
                <w:color w:val="auto"/>
                <w:sz w:val="24"/>
                <w:szCs w:val="24"/>
                <w:highlight w:val="none"/>
                <w:lang w:eastAsia="zh-CN"/>
              </w:rPr>
              <w:t>3类</w:t>
            </w:r>
            <w:r>
              <w:rPr>
                <w:rFonts w:hint="default" w:ascii="Times New Roman" w:hAnsi="Times New Roman" w:eastAsia="宋体" w:cs="Times New Roman"/>
                <w:color w:val="auto"/>
                <w:sz w:val="24"/>
                <w:szCs w:val="24"/>
                <w:highlight w:val="none"/>
              </w:rPr>
              <w:t>标准</w:t>
            </w:r>
          </w:p>
        </w:tc>
      </w:tr>
      <w:tr w14:paraId="7D486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7AAC3FA1">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电磁辐射</w:t>
            </w:r>
          </w:p>
        </w:tc>
        <w:tc>
          <w:tcPr>
            <w:tcW w:w="1730" w:type="dxa"/>
            <w:vAlign w:val="center"/>
          </w:tcPr>
          <w:p w14:paraId="6A4D440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675" w:type="dxa"/>
            <w:vAlign w:val="center"/>
          </w:tcPr>
          <w:p w14:paraId="429E179E">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674" w:type="dxa"/>
            <w:vAlign w:val="center"/>
          </w:tcPr>
          <w:p w14:paraId="1EBFFC60">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2478" w:type="dxa"/>
            <w:vAlign w:val="center"/>
          </w:tcPr>
          <w:p w14:paraId="2A0E6142">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14:paraId="605F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restart"/>
            <w:vAlign w:val="center"/>
          </w:tcPr>
          <w:p w14:paraId="340DC9DB">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固体废物</w:t>
            </w:r>
          </w:p>
        </w:tc>
        <w:tc>
          <w:tcPr>
            <w:tcW w:w="1730" w:type="dxa"/>
            <w:vAlign w:val="center"/>
          </w:tcPr>
          <w:p w14:paraId="350271C7">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生物质蒸汽锅炉</w:t>
            </w:r>
          </w:p>
        </w:tc>
        <w:tc>
          <w:tcPr>
            <w:tcW w:w="1675" w:type="dxa"/>
            <w:vAlign w:val="center"/>
          </w:tcPr>
          <w:p w14:paraId="0CFE3899">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炉渣</w:t>
            </w:r>
          </w:p>
        </w:tc>
        <w:tc>
          <w:tcPr>
            <w:tcW w:w="1674" w:type="dxa"/>
            <w:vAlign w:val="center"/>
          </w:tcPr>
          <w:p w14:paraId="6B2F447F">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堆存于全封闭灰渣库内</w:t>
            </w:r>
            <w:r>
              <w:rPr>
                <w:rFonts w:hint="default" w:ascii="Times New Roman" w:hAnsi="Times New Roman" w:eastAsia="宋体" w:cs="Times New Roman"/>
                <w:color w:val="auto"/>
                <w:sz w:val="24"/>
                <w:szCs w:val="24"/>
                <w:highlight w:val="none"/>
                <w:lang w:eastAsia="zh-CN"/>
              </w:rPr>
              <w:t>作为原料回用于厂区现有加气混凝土砌块生产线</w:t>
            </w:r>
          </w:p>
        </w:tc>
        <w:tc>
          <w:tcPr>
            <w:tcW w:w="2478" w:type="dxa"/>
            <w:vMerge w:val="restart"/>
            <w:vAlign w:val="center"/>
          </w:tcPr>
          <w:p w14:paraId="1F023CB7">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《一般工业固体废物贮存和填埋污染控制标准》（GB18599-2020）</w:t>
            </w:r>
          </w:p>
        </w:tc>
      </w:tr>
      <w:tr w14:paraId="0605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03848700">
            <w:pPr>
              <w:jc w:val="center"/>
              <w:rPr>
                <w:rFonts w:hint="default" w:ascii="Times New Roman" w:hAnsi="Times New Roman" w:eastAsia="宋体" w:cs="Times New Roman"/>
                <w:b/>
                <w:bCs/>
                <w:color w:val="auto"/>
                <w:sz w:val="24"/>
                <w:szCs w:val="24"/>
                <w:highlight w:val="none"/>
              </w:rPr>
            </w:pPr>
          </w:p>
        </w:tc>
        <w:tc>
          <w:tcPr>
            <w:tcW w:w="1730" w:type="dxa"/>
            <w:vAlign w:val="center"/>
          </w:tcPr>
          <w:p w14:paraId="278428FF">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旋风除尘器</w:t>
            </w:r>
            <w:r>
              <w:rPr>
                <w:rFonts w:hint="default" w:ascii="Times New Roman" w:hAnsi="Times New Roman" w:eastAsia="宋体" w:cs="Times New Roman"/>
                <w:color w:val="auto"/>
                <w:sz w:val="24"/>
                <w:szCs w:val="24"/>
                <w:highlight w:val="none"/>
              </w:rPr>
              <w:t>和1台</w:t>
            </w:r>
            <w:r>
              <w:rPr>
                <w:rFonts w:hint="default" w:ascii="Times New Roman" w:hAnsi="Times New Roman" w:eastAsia="宋体" w:cs="Times New Roman"/>
                <w:color w:val="auto"/>
                <w:sz w:val="24"/>
                <w:szCs w:val="24"/>
                <w:highlight w:val="none"/>
                <w:lang w:eastAsia="zh-CN"/>
              </w:rPr>
              <w:t>布袋除尘器</w:t>
            </w:r>
          </w:p>
        </w:tc>
        <w:tc>
          <w:tcPr>
            <w:tcW w:w="1675" w:type="dxa"/>
            <w:vAlign w:val="center"/>
          </w:tcPr>
          <w:p w14:paraId="057A2F0A">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除尘灰</w:t>
            </w:r>
          </w:p>
        </w:tc>
        <w:tc>
          <w:tcPr>
            <w:tcW w:w="1674" w:type="dxa"/>
            <w:vAlign w:val="center"/>
          </w:tcPr>
          <w:p w14:paraId="10F8A066">
            <w:pPr>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装袋后堆存于全封闭灰渣库内</w:t>
            </w:r>
            <w:r>
              <w:rPr>
                <w:rFonts w:hint="default" w:ascii="Times New Roman" w:hAnsi="Times New Roman" w:eastAsia="宋体" w:cs="Times New Roman"/>
                <w:color w:val="auto"/>
                <w:sz w:val="24"/>
                <w:szCs w:val="24"/>
                <w:highlight w:val="none"/>
                <w:lang w:eastAsia="zh-CN"/>
              </w:rPr>
              <w:t>，作为原料回用于厂区现有加气混凝土砌块生产线</w:t>
            </w:r>
          </w:p>
        </w:tc>
        <w:tc>
          <w:tcPr>
            <w:tcW w:w="2478" w:type="dxa"/>
            <w:vMerge w:val="continue"/>
            <w:vAlign w:val="center"/>
          </w:tcPr>
          <w:p w14:paraId="4F2E3CF3">
            <w:pPr>
              <w:jc w:val="center"/>
              <w:rPr>
                <w:rFonts w:hint="default" w:ascii="Times New Roman" w:hAnsi="Times New Roman" w:eastAsia="宋体" w:cs="Times New Roman"/>
                <w:color w:val="auto"/>
                <w:sz w:val="24"/>
                <w:szCs w:val="24"/>
                <w:highlight w:val="none"/>
              </w:rPr>
            </w:pPr>
          </w:p>
        </w:tc>
      </w:tr>
      <w:tr w14:paraId="4D8A0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Merge w:val="continue"/>
            <w:vAlign w:val="center"/>
          </w:tcPr>
          <w:p w14:paraId="55C77A49">
            <w:pPr>
              <w:jc w:val="center"/>
              <w:rPr>
                <w:rFonts w:hint="default" w:ascii="Times New Roman" w:hAnsi="Times New Roman" w:eastAsia="宋体" w:cs="Times New Roman"/>
                <w:b/>
                <w:bCs/>
                <w:color w:val="auto"/>
                <w:sz w:val="24"/>
                <w:szCs w:val="24"/>
                <w:highlight w:val="none"/>
              </w:rPr>
            </w:pPr>
          </w:p>
        </w:tc>
        <w:tc>
          <w:tcPr>
            <w:tcW w:w="1730" w:type="dxa"/>
            <w:vAlign w:val="center"/>
          </w:tcPr>
          <w:p w14:paraId="2DE7F792">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软水制备装置</w:t>
            </w:r>
          </w:p>
        </w:tc>
        <w:tc>
          <w:tcPr>
            <w:tcW w:w="1675" w:type="dxa"/>
            <w:vAlign w:val="center"/>
          </w:tcPr>
          <w:p w14:paraId="087111F9">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废饱和树脂</w:t>
            </w:r>
          </w:p>
        </w:tc>
        <w:tc>
          <w:tcPr>
            <w:tcW w:w="1674" w:type="dxa"/>
            <w:vAlign w:val="center"/>
          </w:tcPr>
          <w:p w14:paraId="23635BBB">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由销售厂家直接回收</w:t>
            </w:r>
          </w:p>
        </w:tc>
        <w:tc>
          <w:tcPr>
            <w:tcW w:w="2478" w:type="dxa"/>
            <w:vMerge w:val="continue"/>
            <w:vAlign w:val="center"/>
          </w:tcPr>
          <w:p w14:paraId="5AEE91C7">
            <w:pPr>
              <w:jc w:val="center"/>
              <w:rPr>
                <w:rFonts w:hint="default" w:ascii="Times New Roman" w:hAnsi="Times New Roman" w:eastAsia="宋体" w:cs="Times New Roman"/>
                <w:color w:val="auto"/>
                <w:sz w:val="24"/>
                <w:szCs w:val="24"/>
                <w:highlight w:val="none"/>
              </w:rPr>
            </w:pPr>
          </w:p>
        </w:tc>
      </w:tr>
      <w:tr w14:paraId="03BA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11A87B9C">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土壤及地下水污染防治措施</w:t>
            </w:r>
          </w:p>
        </w:tc>
        <w:tc>
          <w:tcPr>
            <w:tcW w:w="7557" w:type="dxa"/>
            <w:gridSpan w:val="4"/>
            <w:vAlign w:val="center"/>
          </w:tcPr>
          <w:p w14:paraId="3A18F36D">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的防渗系数小于1×10</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vertAlign w:val="superscript"/>
              </w:rPr>
              <w:t>7</w:t>
            </w:r>
            <w:r>
              <w:rPr>
                <w:rFonts w:hint="default" w:ascii="Times New Roman" w:hAnsi="Times New Roman" w:eastAsia="宋体" w:cs="Times New Roman"/>
                <w:color w:val="auto"/>
                <w:sz w:val="24"/>
                <w:szCs w:val="24"/>
                <w:highlight w:val="none"/>
              </w:rPr>
              <w:t>cm/s，采用混凝土</w:t>
            </w:r>
            <w:r>
              <w:rPr>
                <w:rFonts w:hint="default" w:ascii="Times New Roman" w:hAnsi="Times New Roman" w:eastAsia="宋体" w:cs="Times New Roman"/>
                <w:color w:val="auto"/>
                <w:sz w:val="24"/>
                <w:szCs w:val="24"/>
                <w:highlight w:val="none"/>
                <w:lang w:val="en-US" w:eastAsia="zh-CN"/>
              </w:rPr>
              <w:t>+防水材料</w:t>
            </w:r>
            <w:r>
              <w:rPr>
                <w:rFonts w:hint="default" w:ascii="Times New Roman" w:hAnsi="Times New Roman" w:eastAsia="宋体" w:cs="Times New Roman"/>
                <w:color w:val="auto"/>
                <w:sz w:val="24"/>
                <w:szCs w:val="24"/>
                <w:highlight w:val="none"/>
              </w:rPr>
              <w:t>铺设，达到防渗的目的；</w:t>
            </w:r>
            <w:r>
              <w:rPr>
                <w:rFonts w:hint="default" w:ascii="Times New Roman" w:hAnsi="Times New Roman" w:eastAsia="宋体" w:cs="Times New Roman"/>
                <w:color w:val="auto"/>
                <w:sz w:val="24"/>
                <w:szCs w:val="24"/>
                <w:highlight w:val="none"/>
                <w:lang w:eastAsia="zh-CN"/>
              </w:rPr>
              <w:t>生物质燃料库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锅炉房</w:t>
            </w:r>
            <w:r>
              <w:rPr>
                <w:rFonts w:hint="default" w:ascii="Times New Roman" w:hAnsi="Times New Roman" w:eastAsia="宋体" w:cs="Times New Roman"/>
                <w:color w:val="auto"/>
                <w:sz w:val="24"/>
                <w:szCs w:val="24"/>
                <w:highlight w:val="none"/>
              </w:rPr>
              <w:t>为简单防渗区。</w:t>
            </w:r>
          </w:p>
          <w:p w14:paraId="0CBC1265">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通过采取严格有效的防渗措施，可以有效降低非正常工况发生的污染物</w:t>
            </w:r>
            <w:r>
              <w:rPr>
                <w:rFonts w:hint="default" w:ascii="Times New Roman" w:hAnsi="Times New Roman" w:eastAsia="宋体" w:cs="Times New Roman"/>
                <w:color w:val="auto"/>
                <w:sz w:val="24"/>
                <w:szCs w:val="24"/>
                <w:highlight w:val="none"/>
                <w:lang w:eastAsia="zh-CN"/>
              </w:rPr>
              <w:t>泄漏事故</w:t>
            </w:r>
            <w:r>
              <w:rPr>
                <w:rFonts w:hint="default" w:ascii="Times New Roman" w:hAnsi="Times New Roman" w:eastAsia="宋体" w:cs="Times New Roman"/>
                <w:color w:val="auto"/>
                <w:sz w:val="24"/>
                <w:szCs w:val="24"/>
                <w:highlight w:val="none"/>
              </w:rPr>
              <w:t>；在发生</w:t>
            </w:r>
            <w:r>
              <w:rPr>
                <w:rFonts w:hint="default" w:ascii="Times New Roman" w:hAnsi="Times New Roman" w:eastAsia="宋体" w:cs="Times New Roman"/>
                <w:color w:val="auto"/>
                <w:sz w:val="24"/>
                <w:szCs w:val="24"/>
                <w:highlight w:val="none"/>
                <w:lang w:eastAsia="zh-CN"/>
              </w:rPr>
              <w:t>泄漏</w:t>
            </w:r>
            <w:r>
              <w:rPr>
                <w:rFonts w:hint="default" w:ascii="Times New Roman" w:hAnsi="Times New Roman" w:eastAsia="宋体" w:cs="Times New Roman"/>
                <w:color w:val="auto"/>
                <w:sz w:val="24"/>
                <w:szCs w:val="24"/>
                <w:highlight w:val="none"/>
              </w:rPr>
              <w:t>情况下，采取有效的应急措施，可以污染物进入地下水、土壤环境的风险降到最低。</w:t>
            </w:r>
          </w:p>
        </w:tc>
      </w:tr>
      <w:tr w14:paraId="00E90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1A94651F">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生态保护措施</w:t>
            </w:r>
          </w:p>
        </w:tc>
        <w:tc>
          <w:tcPr>
            <w:tcW w:w="7557" w:type="dxa"/>
            <w:gridSpan w:val="4"/>
            <w:vAlign w:val="center"/>
          </w:tcPr>
          <w:p w14:paraId="311D20B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r>
      <w:tr w14:paraId="4271E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5BFAB94B">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环境风险</w:t>
            </w:r>
          </w:p>
          <w:p w14:paraId="7B010596">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防范措施</w:t>
            </w:r>
          </w:p>
        </w:tc>
        <w:tc>
          <w:tcPr>
            <w:tcW w:w="7557" w:type="dxa"/>
            <w:gridSpan w:val="4"/>
            <w:vAlign w:val="center"/>
          </w:tcPr>
          <w:p w14:paraId="1E497E0C">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（1）储存、使用过程的风险控制措施</w:t>
            </w:r>
          </w:p>
          <w:p w14:paraId="42A58E00">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生物质燃料库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锅炉房</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严禁吸烟和使用明火，防止火源进入；设置明显标志；安全设施、消防器材齐备；</w:t>
            </w:r>
            <w:r>
              <w:rPr>
                <w:rFonts w:hint="default" w:ascii="Times New Roman" w:hAnsi="Times New Roman" w:eastAsia="宋体" w:cs="Times New Roman"/>
                <w:color w:val="auto"/>
                <w:sz w:val="24"/>
                <w:szCs w:val="24"/>
                <w:highlight w:val="none"/>
                <w:lang w:eastAsia="zh-CN"/>
              </w:rPr>
              <w:t>生物质燃料库</w:t>
            </w:r>
            <w:r>
              <w:rPr>
                <w:rFonts w:hint="default" w:ascii="Times New Roman" w:hAnsi="Times New Roman" w:eastAsia="宋体" w:cs="Times New Roman"/>
                <w:color w:val="auto"/>
                <w:sz w:val="24"/>
                <w:szCs w:val="24"/>
                <w:highlight w:val="none"/>
              </w:rPr>
              <w:t>设置温度报警器；制定各种操作规范，加强监督管理，严格安全、环保检查制度，避免环境事件的发生。</w:t>
            </w:r>
          </w:p>
          <w:p w14:paraId="5CCA19CD">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（2）风险防范措施</w:t>
            </w:r>
          </w:p>
          <w:p w14:paraId="5A1E5B45">
            <w:pPr>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生物质燃料库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锅炉房</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处设置灭火器等灭火设施；在强化安全、环保教育，提高安全、环保意识的同时，企业保证预警、监控设施到位。配备救护设备；危险作业增设监护人员并为其配备通讯、救援等设备；按照国家、地方和相关部门要求，编制突发环境事件应急预案；企业根据实际情况，不断充实和完善应急预案的各项措施，并定期组织演练。</w:t>
            </w:r>
          </w:p>
        </w:tc>
      </w:tr>
      <w:tr w14:paraId="72BA5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39" w:type="dxa"/>
            <w:vAlign w:val="center"/>
          </w:tcPr>
          <w:p w14:paraId="289D7E3D">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其他环境</w:t>
            </w:r>
          </w:p>
          <w:p w14:paraId="71703F7D">
            <w:pPr>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管理要求</w:t>
            </w:r>
          </w:p>
        </w:tc>
        <w:tc>
          <w:tcPr>
            <w:tcW w:w="7557" w:type="dxa"/>
            <w:gridSpan w:val="4"/>
            <w:vAlign w:val="center"/>
          </w:tcPr>
          <w:p w14:paraId="7F41ADDB">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无</w:t>
            </w:r>
          </w:p>
        </w:tc>
      </w:tr>
    </w:tbl>
    <w:p w14:paraId="070AA5D7">
      <w:pPr>
        <w:rPr>
          <w:rFonts w:hint="default" w:ascii="Times New Roman" w:hAnsi="Times New Roman" w:eastAsia="宋体" w:cs="Times New Roman"/>
          <w:color w:val="auto"/>
          <w:sz w:val="28"/>
          <w:szCs w:val="28"/>
          <w:highlight w:val="none"/>
        </w:rPr>
      </w:pPr>
    </w:p>
    <w:p w14:paraId="280300F5">
      <w:pPr>
        <w:rPr>
          <w:rFonts w:hint="default" w:ascii="Times New Roman" w:hAnsi="Times New Roman" w:eastAsia="宋体" w:cs="Times New Roman"/>
          <w:color w:val="auto"/>
          <w:sz w:val="28"/>
          <w:szCs w:val="28"/>
          <w:highlight w:val="none"/>
        </w:rPr>
        <w:sectPr>
          <w:pgSz w:w="11906" w:h="16838"/>
          <w:pgMar w:top="1440" w:right="1800" w:bottom="1440" w:left="1800" w:header="851" w:footer="992" w:gutter="0"/>
          <w:cols w:space="425" w:num="1"/>
          <w:docGrid w:type="lines" w:linePitch="312" w:charSpace="0"/>
        </w:sectPr>
      </w:pPr>
    </w:p>
    <w:p w14:paraId="0A82D256">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六、结论</w:t>
      </w:r>
    </w:p>
    <w:tbl>
      <w:tblPr>
        <w:tblStyle w:val="26"/>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43B53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071" w:type="dxa"/>
            <w:vAlign w:val="center"/>
          </w:tcPr>
          <w:p w14:paraId="4CCB9683">
            <w:pPr>
              <w:jc w:val="center"/>
              <w:rPr>
                <w:rFonts w:hint="default" w:ascii="Times New Roman" w:hAnsi="Times New Roman" w:eastAsia="宋体" w:cs="Times New Roman"/>
                <w:color w:val="auto"/>
                <w:sz w:val="24"/>
                <w:highlight w:val="none"/>
              </w:rPr>
            </w:pPr>
          </w:p>
          <w:p w14:paraId="532FEC5F">
            <w:pPr>
              <w:jc w:val="center"/>
              <w:rPr>
                <w:rFonts w:hint="default" w:ascii="Times New Roman" w:hAnsi="Times New Roman" w:eastAsia="宋体" w:cs="Times New Roman"/>
                <w:color w:val="auto"/>
                <w:sz w:val="24"/>
                <w:highlight w:val="none"/>
              </w:rPr>
            </w:pPr>
          </w:p>
          <w:p w14:paraId="7ABDADD8">
            <w:pPr>
              <w:jc w:val="center"/>
              <w:rPr>
                <w:rFonts w:hint="default" w:ascii="Times New Roman" w:hAnsi="Times New Roman" w:eastAsia="宋体" w:cs="Times New Roman"/>
                <w:color w:val="auto"/>
                <w:sz w:val="24"/>
                <w:highlight w:val="none"/>
              </w:rPr>
            </w:pPr>
          </w:p>
          <w:p w14:paraId="5427BE0C">
            <w:pPr>
              <w:jc w:val="center"/>
              <w:rPr>
                <w:rFonts w:hint="default" w:ascii="Times New Roman" w:hAnsi="Times New Roman" w:eastAsia="宋体" w:cs="Times New Roman"/>
                <w:color w:val="auto"/>
                <w:sz w:val="24"/>
                <w:highlight w:val="none"/>
              </w:rPr>
            </w:pPr>
          </w:p>
          <w:p w14:paraId="043D2AA0">
            <w:pPr>
              <w:jc w:val="center"/>
              <w:rPr>
                <w:rFonts w:hint="default" w:ascii="Times New Roman" w:hAnsi="Times New Roman" w:eastAsia="宋体" w:cs="Times New Roman"/>
                <w:color w:val="auto"/>
                <w:sz w:val="24"/>
                <w:highlight w:val="none"/>
              </w:rPr>
            </w:pPr>
          </w:p>
          <w:p w14:paraId="3389B966">
            <w:pPr>
              <w:jc w:val="center"/>
              <w:rPr>
                <w:rFonts w:hint="default" w:ascii="Times New Roman" w:hAnsi="Times New Roman" w:eastAsia="宋体" w:cs="Times New Roman"/>
                <w:color w:val="auto"/>
                <w:sz w:val="24"/>
                <w:highlight w:val="none"/>
              </w:rPr>
            </w:pPr>
          </w:p>
          <w:p w14:paraId="3C8AE85A">
            <w:pPr>
              <w:jc w:val="center"/>
              <w:rPr>
                <w:rFonts w:hint="default" w:ascii="Times New Roman" w:hAnsi="Times New Roman" w:eastAsia="宋体" w:cs="Times New Roman"/>
                <w:color w:val="auto"/>
                <w:sz w:val="24"/>
                <w:highlight w:val="none"/>
              </w:rPr>
            </w:pPr>
          </w:p>
          <w:p w14:paraId="3696501C">
            <w:pPr>
              <w:jc w:val="center"/>
              <w:rPr>
                <w:rFonts w:hint="default" w:ascii="Times New Roman" w:hAnsi="Times New Roman" w:eastAsia="宋体" w:cs="Times New Roman"/>
                <w:color w:val="auto"/>
                <w:sz w:val="24"/>
                <w:highlight w:val="none"/>
              </w:rPr>
            </w:pPr>
          </w:p>
          <w:p w14:paraId="065A5306">
            <w:pPr>
              <w:jc w:val="center"/>
              <w:rPr>
                <w:rFonts w:hint="default" w:ascii="Times New Roman" w:hAnsi="Times New Roman" w:eastAsia="宋体" w:cs="Times New Roman"/>
                <w:color w:val="auto"/>
                <w:sz w:val="24"/>
                <w:highlight w:val="none"/>
              </w:rPr>
            </w:pPr>
          </w:p>
          <w:p w14:paraId="05317CEB">
            <w:pPr>
              <w:jc w:val="center"/>
              <w:rPr>
                <w:rFonts w:hint="default" w:ascii="Times New Roman" w:hAnsi="Times New Roman" w:eastAsia="宋体" w:cs="Times New Roman"/>
                <w:color w:val="auto"/>
                <w:sz w:val="24"/>
                <w:highlight w:val="none"/>
              </w:rPr>
            </w:pPr>
          </w:p>
          <w:p w14:paraId="5AD2AEB3">
            <w:pPr>
              <w:jc w:val="center"/>
              <w:rPr>
                <w:rFonts w:hint="default" w:ascii="Times New Roman" w:hAnsi="Times New Roman" w:eastAsia="宋体" w:cs="Times New Roman"/>
                <w:color w:val="auto"/>
                <w:sz w:val="24"/>
                <w:highlight w:val="none"/>
              </w:rPr>
            </w:pPr>
          </w:p>
          <w:p w14:paraId="7EEC9564">
            <w:pPr>
              <w:jc w:val="center"/>
              <w:rPr>
                <w:rFonts w:hint="default" w:ascii="Times New Roman" w:hAnsi="Times New Roman" w:eastAsia="宋体" w:cs="Times New Roman"/>
                <w:color w:val="auto"/>
                <w:sz w:val="24"/>
                <w:highlight w:val="none"/>
              </w:rPr>
            </w:pPr>
          </w:p>
          <w:p w14:paraId="164C68E2">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项目建设符合国家和地方的相关政策，厂址选择符合当地大气、噪声功能区划的要求，在各项污染防治措施落实后，污染物均能达标排放。因此，该项目在采取相应的环保措施之后，从环保角度讲本项目建设是可行的。</w:t>
            </w:r>
          </w:p>
          <w:p w14:paraId="0149299D">
            <w:pPr>
              <w:jc w:val="center"/>
              <w:rPr>
                <w:rFonts w:hint="default" w:ascii="Times New Roman" w:hAnsi="Times New Roman" w:eastAsia="宋体" w:cs="Times New Roman"/>
                <w:color w:val="auto"/>
                <w:sz w:val="24"/>
                <w:highlight w:val="none"/>
              </w:rPr>
            </w:pPr>
          </w:p>
          <w:p w14:paraId="6FDA636B">
            <w:pPr>
              <w:jc w:val="center"/>
              <w:rPr>
                <w:rFonts w:hint="default" w:ascii="Times New Roman" w:hAnsi="Times New Roman" w:eastAsia="宋体" w:cs="Times New Roman"/>
                <w:color w:val="auto"/>
                <w:sz w:val="24"/>
                <w:highlight w:val="none"/>
              </w:rPr>
            </w:pPr>
          </w:p>
          <w:p w14:paraId="62F0150B">
            <w:pPr>
              <w:jc w:val="center"/>
              <w:rPr>
                <w:rFonts w:hint="default" w:ascii="Times New Roman" w:hAnsi="Times New Roman" w:eastAsia="宋体" w:cs="Times New Roman"/>
                <w:color w:val="auto"/>
                <w:sz w:val="24"/>
                <w:highlight w:val="none"/>
              </w:rPr>
            </w:pPr>
          </w:p>
          <w:p w14:paraId="564CA2EC">
            <w:pPr>
              <w:jc w:val="center"/>
              <w:rPr>
                <w:rFonts w:hint="default" w:ascii="Times New Roman" w:hAnsi="Times New Roman" w:eastAsia="宋体" w:cs="Times New Roman"/>
                <w:color w:val="auto"/>
                <w:sz w:val="24"/>
                <w:highlight w:val="none"/>
              </w:rPr>
            </w:pPr>
          </w:p>
          <w:p w14:paraId="5FD2D3F8">
            <w:pPr>
              <w:jc w:val="center"/>
              <w:rPr>
                <w:rFonts w:hint="default" w:ascii="Times New Roman" w:hAnsi="Times New Roman" w:eastAsia="宋体" w:cs="Times New Roman"/>
                <w:color w:val="auto"/>
                <w:sz w:val="24"/>
                <w:highlight w:val="none"/>
              </w:rPr>
            </w:pPr>
          </w:p>
          <w:p w14:paraId="4D34C260">
            <w:pPr>
              <w:jc w:val="center"/>
              <w:rPr>
                <w:rFonts w:hint="default" w:ascii="Times New Roman" w:hAnsi="Times New Roman" w:eastAsia="宋体" w:cs="Times New Roman"/>
                <w:color w:val="auto"/>
                <w:sz w:val="24"/>
                <w:highlight w:val="none"/>
              </w:rPr>
            </w:pPr>
          </w:p>
          <w:p w14:paraId="57A0693B">
            <w:pPr>
              <w:jc w:val="center"/>
              <w:rPr>
                <w:rFonts w:hint="default" w:ascii="Times New Roman" w:hAnsi="Times New Roman" w:eastAsia="宋体" w:cs="Times New Roman"/>
                <w:color w:val="auto"/>
                <w:sz w:val="24"/>
                <w:highlight w:val="none"/>
              </w:rPr>
            </w:pPr>
          </w:p>
          <w:p w14:paraId="395E3702">
            <w:pPr>
              <w:jc w:val="center"/>
              <w:rPr>
                <w:rFonts w:hint="default" w:ascii="Times New Roman" w:hAnsi="Times New Roman" w:eastAsia="宋体" w:cs="Times New Roman"/>
                <w:color w:val="auto"/>
                <w:sz w:val="24"/>
                <w:highlight w:val="none"/>
              </w:rPr>
            </w:pPr>
          </w:p>
          <w:p w14:paraId="3F5615B3">
            <w:pPr>
              <w:jc w:val="center"/>
              <w:rPr>
                <w:rFonts w:hint="default" w:ascii="Times New Roman" w:hAnsi="Times New Roman" w:eastAsia="宋体" w:cs="Times New Roman"/>
                <w:color w:val="auto"/>
                <w:sz w:val="24"/>
                <w:highlight w:val="none"/>
              </w:rPr>
            </w:pPr>
          </w:p>
          <w:p w14:paraId="75FDB2B7">
            <w:pPr>
              <w:jc w:val="center"/>
              <w:rPr>
                <w:rFonts w:hint="default" w:ascii="Times New Roman" w:hAnsi="Times New Roman" w:eastAsia="宋体" w:cs="Times New Roman"/>
                <w:color w:val="auto"/>
                <w:sz w:val="24"/>
                <w:highlight w:val="none"/>
              </w:rPr>
            </w:pPr>
          </w:p>
          <w:p w14:paraId="5210C8AA">
            <w:pPr>
              <w:jc w:val="center"/>
              <w:rPr>
                <w:rFonts w:hint="default" w:ascii="Times New Roman" w:hAnsi="Times New Roman" w:eastAsia="宋体" w:cs="Times New Roman"/>
                <w:color w:val="auto"/>
                <w:sz w:val="24"/>
                <w:highlight w:val="none"/>
              </w:rPr>
            </w:pPr>
          </w:p>
          <w:p w14:paraId="07CCA8AC">
            <w:pPr>
              <w:jc w:val="center"/>
              <w:rPr>
                <w:rFonts w:hint="default" w:ascii="Times New Roman" w:hAnsi="Times New Roman" w:eastAsia="宋体" w:cs="Times New Roman"/>
                <w:color w:val="auto"/>
                <w:sz w:val="24"/>
                <w:highlight w:val="none"/>
              </w:rPr>
            </w:pPr>
          </w:p>
          <w:p w14:paraId="6D0BB94C">
            <w:pPr>
              <w:jc w:val="center"/>
              <w:rPr>
                <w:rFonts w:hint="default" w:ascii="Times New Roman" w:hAnsi="Times New Roman" w:eastAsia="宋体" w:cs="Times New Roman"/>
                <w:color w:val="auto"/>
                <w:sz w:val="24"/>
                <w:highlight w:val="none"/>
              </w:rPr>
            </w:pPr>
          </w:p>
          <w:p w14:paraId="56609490">
            <w:pPr>
              <w:jc w:val="center"/>
              <w:rPr>
                <w:rFonts w:hint="default" w:ascii="Times New Roman" w:hAnsi="Times New Roman" w:eastAsia="宋体" w:cs="Times New Roman"/>
                <w:color w:val="auto"/>
                <w:sz w:val="24"/>
                <w:highlight w:val="none"/>
              </w:rPr>
            </w:pPr>
          </w:p>
          <w:p w14:paraId="0C4098C4">
            <w:pPr>
              <w:jc w:val="center"/>
              <w:rPr>
                <w:rFonts w:hint="default" w:ascii="Times New Roman" w:hAnsi="Times New Roman" w:eastAsia="宋体" w:cs="Times New Roman"/>
                <w:color w:val="auto"/>
                <w:sz w:val="24"/>
                <w:highlight w:val="none"/>
              </w:rPr>
            </w:pPr>
          </w:p>
          <w:p w14:paraId="3C1F5019">
            <w:pPr>
              <w:jc w:val="center"/>
              <w:rPr>
                <w:rFonts w:hint="default" w:ascii="Times New Roman" w:hAnsi="Times New Roman" w:eastAsia="宋体" w:cs="Times New Roman"/>
                <w:color w:val="auto"/>
                <w:sz w:val="24"/>
                <w:highlight w:val="none"/>
              </w:rPr>
            </w:pPr>
          </w:p>
          <w:p w14:paraId="5BD16D43">
            <w:pPr>
              <w:jc w:val="center"/>
              <w:rPr>
                <w:rFonts w:hint="default" w:ascii="Times New Roman" w:hAnsi="Times New Roman" w:eastAsia="宋体" w:cs="Times New Roman"/>
                <w:color w:val="auto"/>
                <w:sz w:val="24"/>
                <w:highlight w:val="none"/>
              </w:rPr>
            </w:pPr>
          </w:p>
          <w:p w14:paraId="3F8B77AB">
            <w:pPr>
              <w:jc w:val="center"/>
              <w:rPr>
                <w:rFonts w:hint="default" w:ascii="Times New Roman" w:hAnsi="Times New Roman" w:eastAsia="宋体" w:cs="Times New Roman"/>
                <w:color w:val="auto"/>
                <w:sz w:val="24"/>
                <w:highlight w:val="none"/>
              </w:rPr>
            </w:pPr>
          </w:p>
        </w:tc>
      </w:tr>
    </w:tbl>
    <w:p w14:paraId="69F3F56F">
      <w:pPr>
        <w:rPr>
          <w:rFonts w:hint="default" w:ascii="Times New Roman" w:hAnsi="Times New Roman" w:eastAsia="宋体" w:cs="Times New Roman"/>
          <w:color w:val="auto"/>
          <w:sz w:val="28"/>
          <w:szCs w:val="28"/>
          <w:highlight w:val="none"/>
        </w:rPr>
      </w:pPr>
    </w:p>
    <w:p w14:paraId="1819FB92">
      <w:pPr>
        <w:rPr>
          <w:rFonts w:hint="default" w:ascii="Times New Roman" w:hAnsi="Times New Roman" w:eastAsia="宋体" w:cs="Times New Roman"/>
          <w:color w:val="auto"/>
          <w:sz w:val="28"/>
          <w:szCs w:val="28"/>
          <w:highlight w:val="none"/>
        </w:rPr>
      </w:pPr>
    </w:p>
    <w:p w14:paraId="2733909A">
      <w:pPr>
        <w:rPr>
          <w:rFonts w:hint="default" w:ascii="Times New Roman" w:hAnsi="Times New Roman" w:eastAsia="宋体" w:cs="Times New Roman"/>
          <w:color w:val="auto"/>
          <w:sz w:val="28"/>
          <w:szCs w:val="28"/>
          <w:highlight w:val="none"/>
        </w:rPr>
        <w:sectPr>
          <w:pgSz w:w="11906" w:h="16838"/>
          <w:pgMar w:top="1440" w:right="1800" w:bottom="1440" w:left="1800" w:header="851" w:footer="992" w:gutter="0"/>
          <w:cols w:space="425" w:num="1"/>
          <w:docGrid w:type="lines" w:linePitch="312" w:charSpace="0"/>
        </w:sectPr>
      </w:pPr>
    </w:p>
    <w:p w14:paraId="7F7D1EBF">
      <w:pPr>
        <w:jc w:val="center"/>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附表建设项目污染物排放量汇总表</w:t>
      </w:r>
    </w:p>
    <w:tbl>
      <w:tblPr>
        <w:tblStyle w:val="26"/>
        <w:tblW w:w="141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3"/>
        <w:gridCol w:w="1575"/>
        <w:gridCol w:w="1575"/>
        <w:gridCol w:w="1575"/>
        <w:gridCol w:w="1575"/>
        <w:gridCol w:w="1575"/>
        <w:gridCol w:w="1575"/>
        <w:gridCol w:w="1575"/>
        <w:gridCol w:w="1575"/>
      </w:tblGrid>
      <w:tr w14:paraId="2B4D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Align w:val="center"/>
          </w:tcPr>
          <w:p w14:paraId="3E0FA65F">
            <w:pPr>
              <w:snapToGrid w:val="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分类项目</w:t>
            </w:r>
          </w:p>
        </w:tc>
        <w:tc>
          <w:tcPr>
            <w:tcW w:w="1575" w:type="dxa"/>
            <w:vAlign w:val="center"/>
          </w:tcPr>
          <w:p w14:paraId="205D957F">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污染物名称</w:t>
            </w:r>
          </w:p>
        </w:tc>
        <w:tc>
          <w:tcPr>
            <w:tcW w:w="1575" w:type="dxa"/>
            <w:vAlign w:val="center"/>
          </w:tcPr>
          <w:p w14:paraId="3925C407">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现有工程排放量（固体废物产生量）①</w:t>
            </w:r>
          </w:p>
        </w:tc>
        <w:tc>
          <w:tcPr>
            <w:tcW w:w="1575" w:type="dxa"/>
            <w:vAlign w:val="center"/>
          </w:tcPr>
          <w:p w14:paraId="6C4AFED5">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现有工程许可排放量</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2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②</w:t>
            </w:r>
            <w:r>
              <w:rPr>
                <w:rFonts w:hint="default" w:ascii="Times New Roman" w:hAnsi="Times New Roman" w:eastAsia="宋体" w:cs="Times New Roman"/>
                <w:b/>
                <w:bCs/>
                <w:color w:val="auto"/>
                <w:sz w:val="24"/>
                <w:highlight w:val="none"/>
              </w:rPr>
              <w:fldChar w:fldCharType="end"/>
            </w:r>
          </w:p>
        </w:tc>
        <w:tc>
          <w:tcPr>
            <w:tcW w:w="1575" w:type="dxa"/>
            <w:vAlign w:val="center"/>
          </w:tcPr>
          <w:p w14:paraId="6142E259">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在建工程排放量（固体废物产生量）</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3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③</w:t>
            </w:r>
            <w:r>
              <w:rPr>
                <w:rFonts w:hint="default" w:ascii="Times New Roman" w:hAnsi="Times New Roman" w:eastAsia="宋体" w:cs="Times New Roman"/>
                <w:b/>
                <w:bCs/>
                <w:color w:val="auto"/>
                <w:sz w:val="24"/>
                <w:highlight w:val="none"/>
              </w:rPr>
              <w:fldChar w:fldCharType="end"/>
            </w:r>
          </w:p>
        </w:tc>
        <w:tc>
          <w:tcPr>
            <w:tcW w:w="1575" w:type="dxa"/>
            <w:vAlign w:val="center"/>
          </w:tcPr>
          <w:p w14:paraId="7A87AF5F">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本项目排放量（固体废物产生量）</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4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④</w:t>
            </w:r>
            <w:r>
              <w:rPr>
                <w:rFonts w:hint="default" w:ascii="Times New Roman" w:hAnsi="Times New Roman" w:eastAsia="宋体" w:cs="Times New Roman"/>
                <w:b/>
                <w:bCs/>
                <w:color w:val="auto"/>
                <w:sz w:val="24"/>
                <w:highlight w:val="none"/>
              </w:rPr>
              <w:fldChar w:fldCharType="end"/>
            </w:r>
          </w:p>
        </w:tc>
        <w:tc>
          <w:tcPr>
            <w:tcW w:w="1575" w:type="dxa"/>
            <w:vAlign w:val="center"/>
          </w:tcPr>
          <w:p w14:paraId="30558943">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以新带老削减量（新建项目不填）</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5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⑤</w:t>
            </w:r>
            <w:r>
              <w:rPr>
                <w:rFonts w:hint="default" w:ascii="Times New Roman" w:hAnsi="Times New Roman" w:eastAsia="宋体" w:cs="Times New Roman"/>
                <w:b/>
                <w:bCs/>
                <w:color w:val="auto"/>
                <w:sz w:val="24"/>
                <w:highlight w:val="none"/>
              </w:rPr>
              <w:fldChar w:fldCharType="end"/>
            </w:r>
          </w:p>
        </w:tc>
        <w:tc>
          <w:tcPr>
            <w:tcW w:w="1575" w:type="dxa"/>
            <w:vAlign w:val="center"/>
          </w:tcPr>
          <w:p w14:paraId="43ED2EA1">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本项目建成后全厂排放量（固体废物产生量）</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6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⑥</w:t>
            </w:r>
            <w:r>
              <w:rPr>
                <w:rFonts w:hint="default" w:ascii="Times New Roman" w:hAnsi="Times New Roman" w:eastAsia="宋体" w:cs="Times New Roman"/>
                <w:b/>
                <w:bCs/>
                <w:color w:val="auto"/>
                <w:sz w:val="24"/>
                <w:highlight w:val="none"/>
              </w:rPr>
              <w:fldChar w:fldCharType="end"/>
            </w:r>
          </w:p>
        </w:tc>
        <w:tc>
          <w:tcPr>
            <w:tcW w:w="1575" w:type="dxa"/>
            <w:vAlign w:val="center"/>
          </w:tcPr>
          <w:p w14:paraId="541C5FF0">
            <w:pPr>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变化量</w:t>
            </w:r>
            <w:r>
              <w:rPr>
                <w:rFonts w:hint="default" w:ascii="Times New Roman" w:hAnsi="Times New Roman" w:eastAsia="宋体" w:cs="Times New Roman"/>
                <w:b/>
                <w:bCs/>
                <w:color w:val="auto"/>
                <w:sz w:val="24"/>
                <w:highlight w:val="none"/>
              </w:rPr>
              <w:fldChar w:fldCharType="begin"/>
            </w:r>
            <w:r>
              <w:rPr>
                <w:rFonts w:hint="default" w:ascii="Times New Roman" w:hAnsi="Times New Roman" w:eastAsia="宋体" w:cs="Times New Roman"/>
                <w:b/>
                <w:bCs/>
                <w:color w:val="auto"/>
                <w:sz w:val="24"/>
                <w:highlight w:val="none"/>
              </w:rPr>
              <w:instrText xml:space="preserve"> = 7 \* GB3 \* MERGEFORMAT </w:instrText>
            </w:r>
            <w:r>
              <w:rPr>
                <w:rFonts w:hint="default" w:ascii="Times New Roman" w:hAnsi="Times New Roman" w:eastAsia="宋体" w:cs="Times New Roman"/>
                <w:b/>
                <w:bCs/>
                <w:color w:val="auto"/>
                <w:sz w:val="24"/>
                <w:highlight w:val="none"/>
              </w:rPr>
              <w:fldChar w:fldCharType="separate"/>
            </w:r>
            <w:r>
              <w:rPr>
                <w:rFonts w:hint="default" w:ascii="Times New Roman" w:hAnsi="Times New Roman" w:eastAsia="宋体" w:cs="Times New Roman"/>
                <w:b/>
                <w:bCs/>
                <w:color w:val="auto"/>
                <w:sz w:val="24"/>
                <w:highlight w:val="none"/>
              </w:rPr>
              <w:t>⑦</w:t>
            </w:r>
            <w:r>
              <w:rPr>
                <w:rFonts w:hint="default" w:ascii="Times New Roman" w:hAnsi="Times New Roman" w:eastAsia="宋体" w:cs="Times New Roman"/>
                <w:b/>
                <w:bCs/>
                <w:color w:val="auto"/>
                <w:sz w:val="24"/>
                <w:highlight w:val="none"/>
              </w:rPr>
              <w:fldChar w:fldCharType="end"/>
            </w:r>
          </w:p>
        </w:tc>
      </w:tr>
      <w:tr w14:paraId="531F0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restart"/>
            <w:vAlign w:val="center"/>
          </w:tcPr>
          <w:p w14:paraId="464A268E">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废气</w:t>
            </w:r>
          </w:p>
        </w:tc>
        <w:tc>
          <w:tcPr>
            <w:tcW w:w="1575" w:type="dxa"/>
            <w:vAlign w:val="center"/>
          </w:tcPr>
          <w:p w14:paraId="2D800020">
            <w:pPr>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颗粒物</w:t>
            </w:r>
          </w:p>
        </w:tc>
        <w:tc>
          <w:tcPr>
            <w:tcW w:w="1575" w:type="dxa"/>
            <w:vAlign w:val="center"/>
          </w:tcPr>
          <w:p w14:paraId="7A45BA6C">
            <w:pPr>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0.37</w:t>
            </w:r>
            <w:r>
              <w:rPr>
                <w:rFonts w:hint="default" w:ascii="Times New Roman" w:hAnsi="Times New Roman" w:eastAsia="宋体" w:cs="Times New Roman"/>
                <w:color w:val="auto"/>
                <w:kern w:val="2"/>
                <w:sz w:val="24"/>
                <w:szCs w:val="24"/>
                <w:highlight w:val="none"/>
                <w:lang w:val="en-US" w:eastAsia="zh-CN" w:bidi="ar-SA"/>
              </w:rPr>
              <w:t>t/a</w:t>
            </w:r>
          </w:p>
        </w:tc>
        <w:tc>
          <w:tcPr>
            <w:tcW w:w="1575" w:type="dxa"/>
            <w:vAlign w:val="center"/>
          </w:tcPr>
          <w:p w14:paraId="2A1B1C0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4E35947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6144AE0D">
            <w:pPr>
              <w:snapToGrid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0.006</w:t>
            </w:r>
            <w:r>
              <w:rPr>
                <w:rFonts w:hint="default" w:ascii="Times New Roman" w:hAnsi="Times New Roman" w:eastAsia="宋体" w:cs="Times New Roman"/>
                <w:color w:val="auto"/>
                <w:kern w:val="2"/>
                <w:sz w:val="24"/>
                <w:szCs w:val="24"/>
                <w:highlight w:val="none"/>
                <w:lang w:val="en-US" w:eastAsia="zh-CN" w:bidi="ar-SA"/>
              </w:rPr>
              <w:t>t/a</w:t>
            </w:r>
          </w:p>
        </w:tc>
        <w:tc>
          <w:tcPr>
            <w:tcW w:w="1575" w:type="dxa"/>
            <w:vAlign w:val="center"/>
          </w:tcPr>
          <w:p w14:paraId="2149AC29">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09086494">
            <w:pPr>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0.007</w:t>
            </w:r>
            <w:r>
              <w:rPr>
                <w:rFonts w:hint="default" w:ascii="Times New Roman" w:hAnsi="Times New Roman" w:eastAsia="宋体" w:cs="Times New Roman"/>
                <w:color w:val="auto"/>
                <w:kern w:val="2"/>
                <w:sz w:val="24"/>
                <w:szCs w:val="24"/>
                <w:highlight w:val="none"/>
                <w:lang w:val="en-US" w:eastAsia="zh-CN" w:bidi="ar-SA"/>
              </w:rPr>
              <w:t>t/a</w:t>
            </w:r>
          </w:p>
        </w:tc>
        <w:tc>
          <w:tcPr>
            <w:tcW w:w="1575" w:type="dxa"/>
            <w:vAlign w:val="center"/>
          </w:tcPr>
          <w:p w14:paraId="1D221182">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lang w:val="en-US" w:eastAsia="zh-CN"/>
              </w:rPr>
              <w:t>0.006</w:t>
            </w:r>
            <w:r>
              <w:rPr>
                <w:rFonts w:hint="default" w:ascii="Times New Roman" w:hAnsi="Times New Roman" w:eastAsia="宋体" w:cs="Times New Roman"/>
                <w:color w:val="auto"/>
                <w:kern w:val="2"/>
                <w:sz w:val="24"/>
                <w:szCs w:val="24"/>
                <w:highlight w:val="none"/>
                <w:lang w:val="en-US" w:eastAsia="zh-CN" w:bidi="ar-SA"/>
              </w:rPr>
              <w:t>t/a</w:t>
            </w:r>
          </w:p>
        </w:tc>
      </w:tr>
      <w:tr w14:paraId="3F770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31235688">
            <w:pPr>
              <w:jc w:val="center"/>
              <w:rPr>
                <w:rFonts w:hint="default" w:ascii="Times New Roman" w:hAnsi="Times New Roman" w:eastAsia="宋体" w:cs="Times New Roman"/>
                <w:color w:val="auto"/>
                <w:sz w:val="24"/>
                <w:szCs w:val="24"/>
                <w:highlight w:val="none"/>
              </w:rPr>
            </w:pPr>
          </w:p>
        </w:tc>
        <w:tc>
          <w:tcPr>
            <w:tcW w:w="1575" w:type="dxa"/>
            <w:vAlign w:val="center"/>
          </w:tcPr>
          <w:p w14:paraId="30C084C8">
            <w:pPr>
              <w:bidi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二氧化硫</w:t>
            </w:r>
          </w:p>
        </w:tc>
        <w:tc>
          <w:tcPr>
            <w:tcW w:w="1575" w:type="dxa"/>
            <w:vAlign w:val="center"/>
          </w:tcPr>
          <w:p w14:paraId="0D4E7D9F">
            <w:pPr>
              <w:widowControl/>
              <w:jc w:val="center"/>
              <w:textAlignment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0</w:t>
            </w:r>
          </w:p>
        </w:tc>
        <w:tc>
          <w:tcPr>
            <w:tcW w:w="1575" w:type="dxa"/>
            <w:vAlign w:val="center"/>
          </w:tcPr>
          <w:p w14:paraId="0C098C1E">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068B4FD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25663AD2">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2.047t/a</w:t>
            </w:r>
          </w:p>
        </w:tc>
        <w:tc>
          <w:tcPr>
            <w:tcW w:w="1575" w:type="dxa"/>
            <w:vAlign w:val="center"/>
          </w:tcPr>
          <w:p w14:paraId="42D08E8D">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48F25B40">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2.047t/a</w:t>
            </w:r>
          </w:p>
        </w:tc>
        <w:tc>
          <w:tcPr>
            <w:tcW w:w="1575" w:type="dxa"/>
            <w:shd w:val="clear" w:color="auto" w:fill="auto"/>
            <w:vAlign w:val="center"/>
          </w:tcPr>
          <w:p w14:paraId="09AB5DA9">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+2.047t/a</w:t>
            </w:r>
          </w:p>
        </w:tc>
      </w:tr>
      <w:tr w14:paraId="5114D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104AAA56">
            <w:pPr>
              <w:jc w:val="center"/>
              <w:rPr>
                <w:rFonts w:hint="default" w:ascii="Times New Roman" w:hAnsi="Times New Roman" w:eastAsia="宋体" w:cs="Times New Roman"/>
                <w:color w:val="auto"/>
                <w:sz w:val="24"/>
                <w:szCs w:val="24"/>
                <w:highlight w:val="none"/>
              </w:rPr>
            </w:pPr>
          </w:p>
        </w:tc>
        <w:tc>
          <w:tcPr>
            <w:tcW w:w="1575" w:type="dxa"/>
            <w:vAlign w:val="center"/>
          </w:tcPr>
          <w:p w14:paraId="72F5A339">
            <w:pPr>
              <w:bidi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氮氧化物</w:t>
            </w:r>
          </w:p>
        </w:tc>
        <w:tc>
          <w:tcPr>
            <w:tcW w:w="1575" w:type="dxa"/>
            <w:vAlign w:val="center"/>
          </w:tcPr>
          <w:p w14:paraId="74E82B56">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0</w:t>
            </w:r>
          </w:p>
        </w:tc>
        <w:tc>
          <w:tcPr>
            <w:tcW w:w="1575" w:type="dxa"/>
            <w:vAlign w:val="center"/>
          </w:tcPr>
          <w:p w14:paraId="41B043DF">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5691C3BC">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7DCCEF35">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2.175t/a</w:t>
            </w:r>
          </w:p>
        </w:tc>
        <w:tc>
          <w:tcPr>
            <w:tcW w:w="1575" w:type="dxa"/>
            <w:vAlign w:val="center"/>
          </w:tcPr>
          <w:p w14:paraId="7FFEB6C4">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42943550">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2.175t/a</w:t>
            </w:r>
          </w:p>
        </w:tc>
        <w:tc>
          <w:tcPr>
            <w:tcW w:w="1575" w:type="dxa"/>
            <w:shd w:val="clear" w:color="auto" w:fill="auto"/>
            <w:vAlign w:val="center"/>
          </w:tcPr>
          <w:p w14:paraId="0DB5AB9C">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+2.175t/a</w:t>
            </w:r>
          </w:p>
        </w:tc>
      </w:tr>
      <w:tr w14:paraId="542EB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07F2F7AB">
            <w:pPr>
              <w:jc w:val="center"/>
              <w:rPr>
                <w:rFonts w:hint="default" w:ascii="Times New Roman" w:hAnsi="Times New Roman" w:eastAsia="宋体" w:cs="Times New Roman"/>
                <w:color w:val="auto"/>
                <w:sz w:val="24"/>
                <w:szCs w:val="24"/>
                <w:highlight w:val="none"/>
              </w:rPr>
            </w:pPr>
          </w:p>
        </w:tc>
        <w:tc>
          <w:tcPr>
            <w:tcW w:w="1575" w:type="dxa"/>
            <w:vAlign w:val="center"/>
          </w:tcPr>
          <w:p w14:paraId="16BD4015">
            <w:pPr>
              <w:bidi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汞及其化合物</w:t>
            </w:r>
          </w:p>
        </w:tc>
        <w:tc>
          <w:tcPr>
            <w:tcW w:w="1575" w:type="dxa"/>
            <w:vAlign w:val="center"/>
          </w:tcPr>
          <w:p w14:paraId="66585643">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0</w:t>
            </w:r>
          </w:p>
        </w:tc>
        <w:tc>
          <w:tcPr>
            <w:tcW w:w="1575" w:type="dxa"/>
            <w:vAlign w:val="center"/>
          </w:tcPr>
          <w:p w14:paraId="3122B057">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2DD64AB5">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58045D20">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0.000018t/a</w:t>
            </w:r>
          </w:p>
        </w:tc>
        <w:tc>
          <w:tcPr>
            <w:tcW w:w="1575" w:type="dxa"/>
            <w:vAlign w:val="center"/>
          </w:tcPr>
          <w:p w14:paraId="55028BF2">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shd w:val="clear" w:color="auto" w:fill="auto"/>
            <w:vAlign w:val="center"/>
          </w:tcPr>
          <w:p w14:paraId="0CDE8F20">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0.000018t/a</w:t>
            </w:r>
          </w:p>
        </w:tc>
        <w:tc>
          <w:tcPr>
            <w:tcW w:w="1575" w:type="dxa"/>
            <w:shd w:val="clear" w:color="auto" w:fill="auto"/>
            <w:vAlign w:val="center"/>
          </w:tcPr>
          <w:p w14:paraId="685DE1F1">
            <w:pPr>
              <w:bidi w:val="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+0.000018t/a</w:t>
            </w:r>
          </w:p>
        </w:tc>
      </w:tr>
      <w:tr w14:paraId="01D00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Align w:val="center"/>
          </w:tcPr>
          <w:p w14:paraId="0988BAF8">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废水</w:t>
            </w:r>
          </w:p>
        </w:tc>
        <w:tc>
          <w:tcPr>
            <w:tcW w:w="1575" w:type="dxa"/>
            <w:vAlign w:val="center"/>
          </w:tcPr>
          <w:p w14:paraId="04A773CD">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33B4E1E7">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6EEA30C5">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30C38584">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24A3DCFC">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739E6AD9">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012FD876">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4D112842">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r>
      <w:tr w14:paraId="26CF9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restart"/>
            <w:vAlign w:val="center"/>
          </w:tcPr>
          <w:p w14:paraId="285BF6D7">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一般工业固体废物</w:t>
            </w:r>
          </w:p>
        </w:tc>
        <w:tc>
          <w:tcPr>
            <w:tcW w:w="1575" w:type="dxa"/>
            <w:vAlign w:val="center"/>
          </w:tcPr>
          <w:p w14:paraId="4ADDA683">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不合格产品</w:t>
            </w:r>
          </w:p>
        </w:tc>
        <w:tc>
          <w:tcPr>
            <w:tcW w:w="1575" w:type="dxa"/>
            <w:vAlign w:val="center"/>
          </w:tcPr>
          <w:p w14:paraId="08FC6AAD">
            <w:pPr>
              <w:widowControl/>
              <w:jc w:val="center"/>
              <w:textAlignment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1900</w:t>
            </w:r>
            <w:r>
              <w:rPr>
                <w:rFonts w:hint="default" w:ascii="Times New Roman" w:hAnsi="Times New Roman" w:eastAsia="宋体" w:cs="Times New Roman"/>
                <w:color w:val="auto"/>
                <w:kern w:val="2"/>
                <w:sz w:val="24"/>
                <w:szCs w:val="24"/>
                <w:highlight w:val="none"/>
                <w:lang w:val="en-US" w:eastAsia="zh-CN" w:bidi="ar-SA"/>
              </w:rPr>
              <w:t>t/a</w:t>
            </w:r>
          </w:p>
        </w:tc>
        <w:tc>
          <w:tcPr>
            <w:tcW w:w="1575" w:type="dxa"/>
            <w:vAlign w:val="center"/>
          </w:tcPr>
          <w:p w14:paraId="7E569F16">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49C798F0">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2ECA49DA">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40ACFB86">
            <w:pPr>
              <w:jc w:val="center"/>
              <w:rPr>
                <w:rFonts w:hint="default" w:ascii="Times New Roman" w:hAnsi="Times New Roman" w:eastAsia="宋体" w:cs="Times New Roman"/>
                <w:color w:val="auto"/>
                <w:sz w:val="24"/>
                <w:highlight w:val="none"/>
              </w:rPr>
            </w:pPr>
          </w:p>
        </w:tc>
        <w:tc>
          <w:tcPr>
            <w:tcW w:w="1575" w:type="dxa"/>
            <w:vAlign w:val="center"/>
          </w:tcPr>
          <w:p w14:paraId="580809A3">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1900</w:t>
            </w:r>
            <w:r>
              <w:rPr>
                <w:rFonts w:hint="default" w:ascii="Times New Roman" w:hAnsi="Times New Roman" w:eastAsia="宋体" w:cs="Times New Roman"/>
                <w:color w:val="auto"/>
                <w:kern w:val="2"/>
                <w:sz w:val="24"/>
                <w:szCs w:val="24"/>
                <w:highlight w:val="none"/>
                <w:lang w:val="en-US" w:eastAsia="zh-CN" w:bidi="ar-SA"/>
              </w:rPr>
              <w:t>t/a</w:t>
            </w:r>
          </w:p>
        </w:tc>
        <w:tc>
          <w:tcPr>
            <w:tcW w:w="1575" w:type="dxa"/>
            <w:vAlign w:val="center"/>
          </w:tcPr>
          <w:p w14:paraId="0EA028E6">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0</w:t>
            </w:r>
          </w:p>
        </w:tc>
      </w:tr>
      <w:tr w14:paraId="68BB2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4CC4039F">
            <w:pPr>
              <w:jc w:val="center"/>
              <w:rPr>
                <w:rFonts w:hint="default" w:ascii="Times New Roman" w:hAnsi="Times New Roman" w:eastAsia="宋体" w:cs="Times New Roman"/>
                <w:color w:val="auto"/>
                <w:sz w:val="24"/>
                <w:highlight w:val="none"/>
              </w:rPr>
            </w:pPr>
          </w:p>
        </w:tc>
        <w:tc>
          <w:tcPr>
            <w:tcW w:w="1575" w:type="dxa"/>
            <w:shd w:val="clear" w:color="auto" w:fill="auto"/>
            <w:vAlign w:val="center"/>
          </w:tcPr>
          <w:p w14:paraId="698F9E12">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rPr>
              <w:t>炉渣</w:t>
            </w:r>
          </w:p>
        </w:tc>
        <w:tc>
          <w:tcPr>
            <w:tcW w:w="1575" w:type="dxa"/>
            <w:shd w:val="clear" w:color="auto" w:fill="auto"/>
            <w:vAlign w:val="center"/>
          </w:tcPr>
          <w:p w14:paraId="3551F671">
            <w:pPr>
              <w:widowControl/>
              <w:jc w:val="center"/>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w:t>
            </w:r>
          </w:p>
        </w:tc>
        <w:tc>
          <w:tcPr>
            <w:tcW w:w="1575" w:type="dxa"/>
            <w:shd w:val="clear" w:color="auto" w:fill="auto"/>
            <w:vAlign w:val="center"/>
          </w:tcPr>
          <w:p w14:paraId="7F57D334">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rPr>
              <w:t>/</w:t>
            </w:r>
          </w:p>
        </w:tc>
        <w:tc>
          <w:tcPr>
            <w:tcW w:w="1575" w:type="dxa"/>
            <w:shd w:val="clear" w:color="auto" w:fill="auto"/>
            <w:vAlign w:val="center"/>
          </w:tcPr>
          <w:p w14:paraId="2F2C9B65">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rPr>
              <w:t>/</w:t>
            </w:r>
          </w:p>
        </w:tc>
        <w:tc>
          <w:tcPr>
            <w:tcW w:w="1575" w:type="dxa"/>
            <w:shd w:val="clear" w:color="auto" w:fill="auto"/>
            <w:vAlign w:val="center"/>
          </w:tcPr>
          <w:p w14:paraId="6E3632DE">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lang w:val="en-US" w:eastAsia="zh-CN"/>
              </w:rPr>
              <w:t>113.153</w:t>
            </w:r>
            <w:r>
              <w:rPr>
                <w:rFonts w:hint="default" w:ascii="Times New Roman" w:hAnsi="Times New Roman" w:eastAsia="宋体" w:cs="Times New Roman"/>
                <w:color w:val="auto"/>
                <w:sz w:val="24"/>
                <w:highlight w:val="none"/>
              </w:rPr>
              <w:t>t/a</w:t>
            </w:r>
          </w:p>
        </w:tc>
        <w:tc>
          <w:tcPr>
            <w:tcW w:w="1575" w:type="dxa"/>
            <w:shd w:val="clear" w:color="auto" w:fill="auto"/>
            <w:vAlign w:val="center"/>
          </w:tcPr>
          <w:p w14:paraId="621863AF">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rPr>
              <w:t>/</w:t>
            </w:r>
          </w:p>
        </w:tc>
        <w:tc>
          <w:tcPr>
            <w:tcW w:w="1575" w:type="dxa"/>
            <w:shd w:val="clear" w:color="auto" w:fill="auto"/>
            <w:vAlign w:val="center"/>
          </w:tcPr>
          <w:p w14:paraId="584DC060">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lang w:eastAsia="zh-CN"/>
              </w:rPr>
              <w:t>140.6</w:t>
            </w:r>
            <w:r>
              <w:rPr>
                <w:rFonts w:hint="default" w:ascii="Times New Roman" w:hAnsi="Times New Roman" w:eastAsia="宋体" w:cs="Times New Roman"/>
                <w:color w:val="auto"/>
                <w:sz w:val="24"/>
                <w:highlight w:val="none"/>
              </w:rPr>
              <w:t>t/a</w:t>
            </w:r>
          </w:p>
        </w:tc>
        <w:tc>
          <w:tcPr>
            <w:tcW w:w="1575" w:type="dxa"/>
            <w:shd w:val="clear" w:color="auto" w:fill="auto"/>
            <w:vAlign w:val="center"/>
          </w:tcPr>
          <w:p w14:paraId="30B8F144">
            <w:pPr>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highlight w:val="none"/>
                <w:lang w:val="en-US" w:eastAsia="zh-CN"/>
              </w:rPr>
              <w:t>+113.153</w:t>
            </w:r>
            <w:r>
              <w:rPr>
                <w:rFonts w:hint="default" w:ascii="Times New Roman" w:hAnsi="Times New Roman" w:eastAsia="宋体" w:cs="Times New Roman"/>
                <w:color w:val="auto"/>
                <w:sz w:val="24"/>
                <w:highlight w:val="none"/>
              </w:rPr>
              <w:t>t/a</w:t>
            </w:r>
          </w:p>
        </w:tc>
      </w:tr>
      <w:tr w14:paraId="45BDF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38EC498C">
            <w:pPr>
              <w:jc w:val="center"/>
              <w:rPr>
                <w:rFonts w:hint="default" w:ascii="Times New Roman" w:hAnsi="Times New Roman" w:eastAsia="宋体" w:cs="Times New Roman"/>
                <w:color w:val="auto"/>
                <w:sz w:val="24"/>
                <w:highlight w:val="none"/>
              </w:rPr>
            </w:pPr>
          </w:p>
        </w:tc>
        <w:tc>
          <w:tcPr>
            <w:tcW w:w="1575" w:type="dxa"/>
            <w:vAlign w:val="center"/>
          </w:tcPr>
          <w:p w14:paraId="5857DA44">
            <w:pPr>
              <w:jc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sz w:val="24"/>
                <w:highlight w:val="none"/>
              </w:rPr>
              <w:t>除尘灰</w:t>
            </w:r>
          </w:p>
        </w:tc>
        <w:tc>
          <w:tcPr>
            <w:tcW w:w="1575" w:type="dxa"/>
            <w:vAlign w:val="center"/>
          </w:tcPr>
          <w:p w14:paraId="0CA48955">
            <w:pPr>
              <w:widowControl/>
              <w:jc w:val="center"/>
              <w:textAlignment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sz w:val="24"/>
                <w:szCs w:val="24"/>
                <w:highlight w:val="none"/>
                <w:lang w:val="en-US" w:eastAsia="zh-CN"/>
              </w:rPr>
              <w:t>0</w:t>
            </w:r>
          </w:p>
        </w:tc>
        <w:tc>
          <w:tcPr>
            <w:tcW w:w="1575" w:type="dxa"/>
            <w:vAlign w:val="center"/>
          </w:tcPr>
          <w:p w14:paraId="2193A2C4">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3E80B91F">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56306905">
            <w:pPr>
              <w:widowControl/>
              <w:jc w:val="center"/>
              <w:textAlignment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sz w:val="24"/>
                <w:highlight w:val="none"/>
                <w:lang w:val="en-US" w:eastAsia="zh-CN"/>
              </w:rPr>
              <w:t>5.558</w:t>
            </w:r>
            <w:r>
              <w:rPr>
                <w:rFonts w:hint="default" w:ascii="Times New Roman" w:hAnsi="Times New Roman" w:eastAsia="宋体" w:cs="Times New Roman"/>
                <w:color w:val="auto"/>
                <w:sz w:val="24"/>
                <w:highlight w:val="none"/>
              </w:rPr>
              <w:t>t/a</w:t>
            </w:r>
          </w:p>
        </w:tc>
        <w:tc>
          <w:tcPr>
            <w:tcW w:w="1575" w:type="dxa"/>
            <w:vAlign w:val="center"/>
          </w:tcPr>
          <w:p w14:paraId="2463A4B6">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797F87B5">
            <w:pPr>
              <w:widowControl/>
              <w:jc w:val="center"/>
              <w:textAlignment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sz w:val="24"/>
                <w:highlight w:val="none"/>
                <w:lang w:eastAsia="zh-CN"/>
              </w:rPr>
              <w:t>5.558</w:t>
            </w:r>
            <w:r>
              <w:rPr>
                <w:rFonts w:hint="default" w:ascii="Times New Roman" w:hAnsi="Times New Roman" w:eastAsia="宋体" w:cs="Times New Roman"/>
                <w:color w:val="auto"/>
                <w:sz w:val="24"/>
                <w:highlight w:val="none"/>
              </w:rPr>
              <w:t>t/a</w:t>
            </w:r>
          </w:p>
        </w:tc>
        <w:tc>
          <w:tcPr>
            <w:tcW w:w="1575" w:type="dxa"/>
            <w:shd w:val="clear" w:color="auto" w:fill="auto"/>
            <w:vAlign w:val="center"/>
          </w:tcPr>
          <w:p w14:paraId="7ED75D05">
            <w:pPr>
              <w:widowControl/>
              <w:jc w:val="center"/>
              <w:textAlignment w:val="center"/>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highlight w:val="none"/>
                <w:lang w:val="en-US" w:eastAsia="zh-CN"/>
              </w:rPr>
              <w:t>+5.558</w:t>
            </w:r>
            <w:r>
              <w:rPr>
                <w:rFonts w:hint="default" w:ascii="Times New Roman" w:hAnsi="Times New Roman" w:eastAsia="宋体" w:cs="Times New Roman"/>
                <w:color w:val="auto"/>
                <w:sz w:val="24"/>
                <w:highlight w:val="none"/>
              </w:rPr>
              <w:t>t/a</w:t>
            </w:r>
          </w:p>
        </w:tc>
      </w:tr>
      <w:tr w14:paraId="7279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Merge w:val="continue"/>
            <w:vAlign w:val="center"/>
          </w:tcPr>
          <w:p w14:paraId="23C96220">
            <w:pPr>
              <w:jc w:val="center"/>
              <w:rPr>
                <w:rFonts w:hint="default" w:ascii="Times New Roman" w:hAnsi="Times New Roman" w:eastAsia="宋体" w:cs="Times New Roman"/>
                <w:color w:val="auto"/>
                <w:sz w:val="24"/>
                <w:highlight w:val="none"/>
              </w:rPr>
            </w:pPr>
          </w:p>
        </w:tc>
        <w:tc>
          <w:tcPr>
            <w:tcW w:w="1575" w:type="dxa"/>
            <w:vAlign w:val="center"/>
          </w:tcPr>
          <w:p w14:paraId="098A1EE3">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废饱和树脂</w:t>
            </w:r>
          </w:p>
        </w:tc>
        <w:tc>
          <w:tcPr>
            <w:tcW w:w="1575" w:type="dxa"/>
            <w:vAlign w:val="center"/>
          </w:tcPr>
          <w:p w14:paraId="76961F9F">
            <w:pPr>
              <w:widowControl/>
              <w:jc w:val="center"/>
              <w:textAlignment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val="en-US" w:eastAsia="zh-CN"/>
              </w:rPr>
              <w:t>0</w:t>
            </w:r>
          </w:p>
        </w:tc>
        <w:tc>
          <w:tcPr>
            <w:tcW w:w="1575" w:type="dxa"/>
            <w:vAlign w:val="center"/>
          </w:tcPr>
          <w:p w14:paraId="4DCF2775">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46A66D0E">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5B9F6D5E">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0.3</w:t>
            </w:r>
            <w:r>
              <w:rPr>
                <w:rFonts w:hint="default" w:ascii="Times New Roman" w:hAnsi="Times New Roman" w:eastAsia="宋体" w:cs="Times New Roman"/>
                <w:color w:val="auto"/>
                <w:sz w:val="24"/>
                <w:szCs w:val="24"/>
                <w:highlight w:val="none"/>
              </w:rPr>
              <w:t>t/a</w:t>
            </w:r>
          </w:p>
        </w:tc>
        <w:tc>
          <w:tcPr>
            <w:tcW w:w="1575" w:type="dxa"/>
            <w:vAlign w:val="center"/>
          </w:tcPr>
          <w:p w14:paraId="0A477156">
            <w:pPr>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p>
        </w:tc>
        <w:tc>
          <w:tcPr>
            <w:tcW w:w="1575" w:type="dxa"/>
            <w:vAlign w:val="center"/>
          </w:tcPr>
          <w:p w14:paraId="650827BC">
            <w:pPr>
              <w:widowControl/>
              <w:jc w:val="center"/>
              <w:textAlignment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0.3</w:t>
            </w:r>
            <w:r>
              <w:rPr>
                <w:rFonts w:hint="default" w:ascii="Times New Roman" w:hAnsi="Times New Roman" w:eastAsia="宋体" w:cs="Times New Roman"/>
                <w:color w:val="auto"/>
                <w:sz w:val="24"/>
                <w:szCs w:val="24"/>
                <w:highlight w:val="none"/>
              </w:rPr>
              <w:t>t/a</w:t>
            </w:r>
          </w:p>
        </w:tc>
        <w:tc>
          <w:tcPr>
            <w:tcW w:w="1575" w:type="dxa"/>
            <w:shd w:val="clear" w:color="auto" w:fill="auto"/>
            <w:vAlign w:val="center"/>
          </w:tcPr>
          <w:p w14:paraId="40DD4E6D">
            <w:pPr>
              <w:widowControl/>
              <w:jc w:val="center"/>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rPr>
              <w:t>+0.3</w:t>
            </w:r>
            <w:r>
              <w:rPr>
                <w:rFonts w:hint="default" w:ascii="Times New Roman" w:hAnsi="Times New Roman" w:eastAsia="宋体" w:cs="Times New Roman"/>
                <w:color w:val="auto"/>
                <w:sz w:val="24"/>
                <w:szCs w:val="24"/>
                <w:highlight w:val="none"/>
              </w:rPr>
              <w:t>t/a</w:t>
            </w:r>
          </w:p>
        </w:tc>
      </w:tr>
      <w:tr w14:paraId="66947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573" w:type="dxa"/>
            <w:vAlign w:val="center"/>
          </w:tcPr>
          <w:p w14:paraId="311B3A0B">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危险废物</w:t>
            </w:r>
          </w:p>
        </w:tc>
        <w:tc>
          <w:tcPr>
            <w:tcW w:w="1575" w:type="dxa"/>
            <w:vAlign w:val="center"/>
          </w:tcPr>
          <w:p w14:paraId="65A5F82F">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5DB6857E">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521A0E0D">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6E64689E">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62376A32">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6A19168A">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12FB5B77">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c>
          <w:tcPr>
            <w:tcW w:w="1575" w:type="dxa"/>
            <w:vAlign w:val="center"/>
          </w:tcPr>
          <w:p w14:paraId="5FB76D01">
            <w:pPr>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p>
        </w:tc>
      </w:tr>
    </w:tbl>
    <w:p w14:paraId="3018F3E0">
      <w:pPr>
        <w:rPr>
          <w:rFonts w:hint="default" w:ascii="Times New Roman" w:hAnsi="Times New Roman" w:eastAsia="宋体" w:cs="Times New Roman"/>
          <w:color w:val="auto"/>
          <w:highlight w:val="none"/>
        </w:rPr>
      </w:pPr>
    </w:p>
    <w:p w14:paraId="206B4F1B">
      <w:pPr>
        <w:pStyle w:val="29"/>
        <w:rPr>
          <w:rFonts w:hint="default" w:ascii="Times New Roman" w:hAnsi="Times New Roman" w:eastAsia="宋体" w:cs="Times New Roman"/>
          <w:color w:val="auto"/>
          <w:highlight w:val="none"/>
        </w:rPr>
      </w:pPr>
    </w:p>
    <w:p w14:paraId="5ECEC151">
      <w:pPr>
        <w:pStyle w:val="29"/>
        <w:rPr>
          <w:rFonts w:hint="default" w:ascii="Times New Roman" w:hAnsi="Times New Roman" w:eastAsia="宋体" w:cs="Times New Roman"/>
          <w:color w:val="auto"/>
          <w:highlight w:val="none"/>
        </w:rPr>
        <w:sectPr>
          <w:pgSz w:w="16838" w:h="11906" w:orient="landscape"/>
          <w:pgMar w:top="1440" w:right="1800" w:bottom="1440" w:left="1800" w:header="851" w:footer="992" w:gutter="0"/>
          <w:cols w:space="425" w:num="1"/>
          <w:docGrid w:type="lines" w:linePitch="312" w:charSpace="0"/>
        </w:sectPr>
      </w:pPr>
    </w:p>
    <w:p w14:paraId="6447DFF1">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r>
        <w:rPr>
          <w:color w:val="auto"/>
        </w:rPr>
        <w:drawing>
          <wp:inline distT="0" distB="0" distL="114300" distR="114300">
            <wp:extent cx="5273040" cy="7436485"/>
            <wp:effectExtent l="0" t="0" r="3810" b="1206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24"/>
                    <a:stretch>
                      <a:fillRect/>
                    </a:stretch>
                  </pic:blipFill>
                  <pic:spPr>
                    <a:xfrm>
                      <a:off x="0" y="0"/>
                      <a:ext cx="5273040" cy="7436485"/>
                    </a:xfrm>
                    <a:prstGeom prst="rect">
                      <a:avLst/>
                    </a:prstGeom>
                    <a:noFill/>
                    <a:ln>
                      <a:noFill/>
                    </a:ln>
                  </pic:spPr>
                </pic:pic>
              </a:graphicData>
            </a:graphic>
          </wp:inline>
        </w:drawing>
      </w:r>
    </w:p>
    <w:p w14:paraId="64A6CB46">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40604DFC">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2123A15E">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4F6B64AF">
      <w:pPr>
        <w:tabs>
          <w:tab w:val="left" w:pos="1742"/>
        </w:tabs>
        <w:jc w:val="left"/>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bCs/>
          <w:color w:val="auto"/>
          <w:kern w:val="2"/>
          <w:sz w:val="28"/>
          <w:szCs w:val="36"/>
          <w:highlight w:val="none"/>
          <w:lang w:val="en-US" w:eastAsia="zh-CN" w:bidi="ar-SA"/>
        </w:rPr>
        <w:t>附件2</w:t>
      </w:r>
    </w:p>
    <w:p w14:paraId="2340C329">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r>
        <w:rPr>
          <w:rFonts w:hint="default" w:ascii="Times New Roman" w:hAnsi="Times New Roman" w:eastAsia="宋体" w:cs="Times New Roman"/>
          <w:b/>
          <w:bCs/>
          <w:color w:val="auto"/>
          <w:kern w:val="2"/>
          <w:sz w:val="28"/>
          <w:szCs w:val="36"/>
          <w:highlight w:val="none"/>
          <w:lang w:val="en-US" w:eastAsia="zh-CN" w:bidi="ar-SA"/>
        </w:rPr>
        <w:drawing>
          <wp:inline distT="0" distB="0" distL="114300" distR="114300">
            <wp:extent cx="5268595" cy="7445375"/>
            <wp:effectExtent l="0" t="0" r="8255" b="3175"/>
            <wp:docPr id="7" name="图片 7" descr="SKM_C5582504011018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KM_C55825040110180_00"/>
                    <pic:cNvPicPr>
                      <a:picLocks noChangeAspect="1"/>
                    </pic:cNvPicPr>
                  </pic:nvPicPr>
                  <pic:blipFill>
                    <a:blip r:embed="rId25"/>
                    <a:stretch>
                      <a:fillRect/>
                    </a:stretch>
                  </pic:blipFill>
                  <pic:spPr>
                    <a:xfrm>
                      <a:off x="0" y="0"/>
                      <a:ext cx="5268595" cy="7445375"/>
                    </a:xfrm>
                    <a:prstGeom prst="rect">
                      <a:avLst/>
                    </a:prstGeom>
                  </pic:spPr>
                </pic:pic>
              </a:graphicData>
            </a:graphic>
          </wp:inline>
        </w:drawing>
      </w:r>
    </w:p>
    <w:p w14:paraId="494E8A3A">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5681D37F">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1E8E8CD7">
      <w:pPr>
        <w:tabs>
          <w:tab w:val="left" w:pos="1742"/>
        </w:tabs>
        <w:jc w:val="left"/>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bCs/>
          <w:color w:val="auto"/>
          <w:kern w:val="2"/>
          <w:sz w:val="28"/>
          <w:szCs w:val="36"/>
          <w:highlight w:val="none"/>
          <w:lang w:val="en-US" w:eastAsia="zh-CN" w:bidi="ar-SA"/>
        </w:rPr>
        <w:t>附件3</w:t>
      </w:r>
    </w:p>
    <w:p w14:paraId="228C7F4C">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r>
        <w:rPr>
          <w:rFonts w:hint="default" w:ascii="Times New Roman" w:hAnsi="Times New Roman" w:eastAsia="宋体" w:cs="Times New Roman"/>
          <w:b/>
          <w:bCs/>
          <w:color w:val="auto"/>
          <w:kern w:val="2"/>
          <w:sz w:val="28"/>
          <w:szCs w:val="36"/>
          <w:highlight w:val="none"/>
          <w:lang w:val="en-US" w:eastAsia="zh-CN" w:bidi="ar-SA"/>
        </w:rPr>
        <w:drawing>
          <wp:inline distT="0" distB="0" distL="114300" distR="114300">
            <wp:extent cx="5260340" cy="7440295"/>
            <wp:effectExtent l="0" t="0" r="16510" b="8255"/>
            <wp:docPr id="6" name="图片 6" descr="b65f09cedf864e9187cbb66165de89e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65f09cedf864e9187cbb66165de89e5_1"/>
                    <pic:cNvPicPr>
                      <a:picLocks noChangeAspect="1"/>
                    </pic:cNvPicPr>
                  </pic:nvPicPr>
                  <pic:blipFill>
                    <a:blip r:embed="rId26"/>
                    <a:stretch>
                      <a:fillRect/>
                    </a:stretch>
                  </pic:blipFill>
                  <pic:spPr>
                    <a:xfrm>
                      <a:off x="0" y="0"/>
                      <a:ext cx="5260340" cy="7440295"/>
                    </a:xfrm>
                    <a:prstGeom prst="rect">
                      <a:avLst/>
                    </a:prstGeom>
                  </pic:spPr>
                </pic:pic>
              </a:graphicData>
            </a:graphic>
          </wp:inline>
        </w:drawing>
      </w:r>
    </w:p>
    <w:p w14:paraId="6481FD18">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3FD6BF94">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48AAB885">
      <w:pPr>
        <w:tabs>
          <w:tab w:val="left" w:pos="1742"/>
        </w:tabs>
        <w:jc w:val="left"/>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bCs/>
          <w:color w:val="auto"/>
          <w:kern w:val="2"/>
          <w:sz w:val="28"/>
          <w:szCs w:val="36"/>
          <w:highlight w:val="none"/>
          <w:lang w:val="en-US" w:eastAsia="zh-CN" w:bidi="ar-SA"/>
        </w:rPr>
        <w:t>附件4</w:t>
      </w:r>
    </w:p>
    <w:p w14:paraId="4187A82F">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r>
        <w:rPr>
          <w:rFonts w:hint="default" w:ascii="Times New Roman" w:hAnsi="Times New Roman" w:eastAsia="宋体" w:cs="Times New Roman"/>
          <w:color w:val="auto"/>
        </w:rPr>
        <w:drawing>
          <wp:inline distT="0" distB="0" distL="114300" distR="114300">
            <wp:extent cx="5267960" cy="7343775"/>
            <wp:effectExtent l="0" t="0" r="889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27"/>
                    <a:stretch>
                      <a:fillRect/>
                    </a:stretch>
                  </pic:blipFill>
                  <pic:spPr>
                    <a:xfrm>
                      <a:off x="0" y="0"/>
                      <a:ext cx="5267960" cy="7343775"/>
                    </a:xfrm>
                    <a:prstGeom prst="rect">
                      <a:avLst/>
                    </a:prstGeom>
                    <a:noFill/>
                    <a:ln>
                      <a:noFill/>
                    </a:ln>
                  </pic:spPr>
                </pic:pic>
              </a:graphicData>
            </a:graphic>
          </wp:inline>
        </w:drawing>
      </w:r>
    </w:p>
    <w:p w14:paraId="56AB1176">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4103F15F">
      <w:pPr>
        <w:tabs>
          <w:tab w:val="left" w:pos="1742"/>
        </w:tabs>
        <w:jc w:val="left"/>
        <w:rPr>
          <w:rFonts w:hint="default" w:ascii="Times New Roman" w:hAnsi="Times New Roman" w:eastAsia="宋体" w:cs="Times New Roman"/>
          <w:b/>
          <w:bCs/>
          <w:color w:val="auto"/>
          <w:kern w:val="2"/>
          <w:sz w:val="28"/>
          <w:szCs w:val="36"/>
          <w:highlight w:val="none"/>
          <w:lang w:val="en-US" w:eastAsia="zh-CN" w:bidi="ar-SA"/>
        </w:rPr>
      </w:pPr>
    </w:p>
    <w:p w14:paraId="6DFA925B">
      <w:pPr>
        <w:jc w:val="right"/>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9230" cy="7829550"/>
            <wp:effectExtent l="0" t="0" r="762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28"/>
                    <a:stretch>
                      <a:fillRect/>
                    </a:stretch>
                  </pic:blipFill>
                  <pic:spPr>
                    <a:xfrm>
                      <a:off x="0" y="0"/>
                      <a:ext cx="5269230" cy="7829550"/>
                    </a:xfrm>
                    <a:prstGeom prst="rect">
                      <a:avLst/>
                    </a:prstGeom>
                    <a:noFill/>
                    <a:ln>
                      <a:noFill/>
                    </a:ln>
                  </pic:spPr>
                </pic:pic>
              </a:graphicData>
            </a:graphic>
          </wp:inline>
        </w:drawing>
      </w:r>
    </w:p>
    <w:p w14:paraId="453102C2">
      <w:pPr>
        <w:bidi w:val="0"/>
        <w:rPr>
          <w:rFonts w:hint="default" w:ascii="Times New Roman" w:hAnsi="Times New Roman" w:eastAsia="宋体" w:cs="Times New Roman"/>
          <w:color w:val="auto"/>
        </w:rPr>
      </w:pPr>
    </w:p>
    <w:p w14:paraId="03F46FEF">
      <w:pPr>
        <w:bidi w:val="0"/>
        <w:rPr>
          <w:rFonts w:hint="default" w:ascii="Times New Roman" w:hAnsi="Times New Roman" w:eastAsia="宋体" w:cs="Times New Roman"/>
          <w:color w:val="auto"/>
        </w:rPr>
      </w:pPr>
    </w:p>
    <w:p w14:paraId="7729210A">
      <w:pPr>
        <w:bidi w:val="0"/>
        <w:rPr>
          <w:rFonts w:hint="default" w:ascii="Times New Roman" w:hAnsi="Times New Roman" w:eastAsia="宋体" w:cs="Times New Roman"/>
          <w:color w:val="auto"/>
        </w:rPr>
      </w:pPr>
    </w:p>
    <w:p w14:paraId="352BFA04">
      <w:pPr>
        <w:bidi w:val="0"/>
        <w:rPr>
          <w:rFonts w:hint="default" w:ascii="Times New Roman" w:hAnsi="Times New Roman" w:eastAsia="宋体" w:cs="Times New Roman"/>
          <w:color w:val="auto"/>
        </w:rPr>
      </w:pPr>
    </w:p>
    <w:p w14:paraId="6DB2400D">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0975" cy="8143875"/>
            <wp:effectExtent l="0" t="0" r="15875" b="952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29"/>
                    <a:stretch>
                      <a:fillRect/>
                    </a:stretch>
                  </pic:blipFill>
                  <pic:spPr>
                    <a:xfrm>
                      <a:off x="0" y="0"/>
                      <a:ext cx="5260975" cy="8143875"/>
                    </a:xfrm>
                    <a:prstGeom prst="rect">
                      <a:avLst/>
                    </a:prstGeom>
                    <a:noFill/>
                    <a:ln>
                      <a:noFill/>
                    </a:ln>
                  </pic:spPr>
                </pic:pic>
              </a:graphicData>
            </a:graphic>
          </wp:inline>
        </w:drawing>
      </w:r>
    </w:p>
    <w:p w14:paraId="788B5C8E">
      <w:pPr>
        <w:bidi w:val="0"/>
        <w:rPr>
          <w:rFonts w:hint="default" w:ascii="Times New Roman" w:hAnsi="Times New Roman" w:eastAsia="宋体" w:cs="Times New Roman"/>
          <w:color w:val="auto"/>
        </w:rPr>
      </w:pPr>
    </w:p>
    <w:p w14:paraId="266F4CB3">
      <w:pPr>
        <w:bidi w:val="0"/>
        <w:rPr>
          <w:rFonts w:hint="default" w:ascii="Times New Roman" w:hAnsi="Times New Roman" w:eastAsia="宋体" w:cs="Times New Roman"/>
          <w:color w:val="auto"/>
        </w:rPr>
      </w:pPr>
    </w:p>
    <w:p w14:paraId="3EF9D996">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59070" cy="8086725"/>
            <wp:effectExtent l="0" t="0" r="17780" b="952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0"/>
                    <a:stretch>
                      <a:fillRect/>
                    </a:stretch>
                  </pic:blipFill>
                  <pic:spPr>
                    <a:xfrm>
                      <a:off x="0" y="0"/>
                      <a:ext cx="5259070" cy="8086725"/>
                    </a:xfrm>
                    <a:prstGeom prst="rect">
                      <a:avLst/>
                    </a:prstGeom>
                    <a:noFill/>
                    <a:ln>
                      <a:noFill/>
                    </a:ln>
                  </pic:spPr>
                </pic:pic>
              </a:graphicData>
            </a:graphic>
          </wp:inline>
        </w:drawing>
      </w:r>
    </w:p>
    <w:p w14:paraId="529DCF19">
      <w:pPr>
        <w:bidi w:val="0"/>
        <w:rPr>
          <w:rFonts w:hint="default" w:ascii="Times New Roman" w:hAnsi="Times New Roman" w:eastAsia="宋体" w:cs="Times New Roman"/>
          <w:color w:val="auto"/>
        </w:rPr>
      </w:pPr>
    </w:p>
    <w:p w14:paraId="37E46EBD">
      <w:pPr>
        <w:bidi w:val="0"/>
        <w:rPr>
          <w:rFonts w:hint="default" w:ascii="Times New Roman" w:hAnsi="Times New Roman" w:eastAsia="宋体" w:cs="Times New Roman"/>
          <w:color w:val="auto"/>
        </w:rPr>
      </w:pPr>
    </w:p>
    <w:p w14:paraId="5857752F">
      <w:pPr>
        <w:bidi w:val="0"/>
        <w:rPr>
          <w:rFonts w:hint="default" w:ascii="Times New Roman" w:hAnsi="Times New Roman" w:eastAsia="宋体" w:cs="Times New Roman"/>
          <w:color w:val="auto"/>
        </w:rPr>
      </w:pPr>
    </w:p>
    <w:p w14:paraId="2294C541">
      <w:pPr>
        <w:tabs>
          <w:tab w:val="left" w:pos="1742"/>
        </w:tabs>
        <w:jc w:val="left"/>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bCs/>
          <w:color w:val="auto"/>
          <w:kern w:val="2"/>
          <w:sz w:val="28"/>
          <w:szCs w:val="36"/>
          <w:highlight w:val="none"/>
          <w:lang w:val="en-US" w:eastAsia="zh-CN" w:bidi="ar-SA"/>
        </w:rPr>
        <w:t>附件5</w:t>
      </w:r>
    </w:p>
    <w:p w14:paraId="4CE10A6F">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8595" cy="7658100"/>
            <wp:effectExtent l="0" t="0" r="8255" b="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31"/>
                    <a:stretch>
                      <a:fillRect/>
                    </a:stretch>
                  </pic:blipFill>
                  <pic:spPr>
                    <a:xfrm>
                      <a:off x="0" y="0"/>
                      <a:ext cx="5268595" cy="7658100"/>
                    </a:xfrm>
                    <a:prstGeom prst="rect">
                      <a:avLst/>
                    </a:prstGeom>
                    <a:noFill/>
                    <a:ln>
                      <a:noFill/>
                    </a:ln>
                  </pic:spPr>
                </pic:pic>
              </a:graphicData>
            </a:graphic>
          </wp:inline>
        </w:drawing>
      </w:r>
    </w:p>
    <w:p w14:paraId="23759FA9">
      <w:pPr>
        <w:bidi w:val="0"/>
        <w:rPr>
          <w:rFonts w:hint="default" w:ascii="Times New Roman" w:hAnsi="Times New Roman" w:eastAsia="宋体" w:cs="Times New Roman"/>
          <w:color w:val="auto"/>
        </w:rPr>
      </w:pPr>
    </w:p>
    <w:p w14:paraId="2D0C2BCB">
      <w:pPr>
        <w:bidi w:val="0"/>
        <w:rPr>
          <w:rFonts w:hint="default" w:ascii="Times New Roman" w:hAnsi="Times New Roman" w:eastAsia="宋体" w:cs="Times New Roman"/>
          <w:color w:val="auto"/>
        </w:rPr>
      </w:pPr>
    </w:p>
    <w:p w14:paraId="582D8AA1">
      <w:pPr>
        <w:bidi w:val="0"/>
        <w:rPr>
          <w:rFonts w:hint="default" w:ascii="Times New Roman" w:hAnsi="Times New Roman" w:eastAsia="宋体" w:cs="Times New Roman"/>
          <w:color w:val="auto"/>
        </w:rPr>
      </w:pPr>
    </w:p>
    <w:p w14:paraId="32FA6CBF">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9230" cy="7715250"/>
            <wp:effectExtent l="0" t="0" r="7620" b="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2"/>
                    <a:stretch>
                      <a:fillRect/>
                    </a:stretch>
                  </pic:blipFill>
                  <pic:spPr>
                    <a:xfrm>
                      <a:off x="0" y="0"/>
                      <a:ext cx="5269230" cy="7715250"/>
                    </a:xfrm>
                    <a:prstGeom prst="rect">
                      <a:avLst/>
                    </a:prstGeom>
                    <a:noFill/>
                    <a:ln>
                      <a:noFill/>
                    </a:ln>
                  </pic:spPr>
                </pic:pic>
              </a:graphicData>
            </a:graphic>
          </wp:inline>
        </w:drawing>
      </w:r>
    </w:p>
    <w:p w14:paraId="1415D5AB">
      <w:pPr>
        <w:bidi w:val="0"/>
        <w:rPr>
          <w:rFonts w:hint="default" w:ascii="Times New Roman" w:hAnsi="Times New Roman" w:eastAsia="宋体" w:cs="Times New Roman"/>
          <w:color w:val="auto"/>
        </w:rPr>
      </w:pPr>
    </w:p>
    <w:p w14:paraId="434E7BDC">
      <w:pPr>
        <w:bidi w:val="0"/>
        <w:rPr>
          <w:rFonts w:hint="default" w:ascii="Times New Roman" w:hAnsi="Times New Roman" w:eastAsia="宋体" w:cs="Times New Roman"/>
          <w:color w:val="auto"/>
        </w:rPr>
      </w:pPr>
    </w:p>
    <w:p w14:paraId="336E8B2E">
      <w:pPr>
        <w:bidi w:val="0"/>
        <w:rPr>
          <w:rFonts w:hint="default" w:ascii="Times New Roman" w:hAnsi="Times New Roman" w:eastAsia="宋体" w:cs="Times New Roman"/>
          <w:color w:val="auto"/>
        </w:rPr>
      </w:pPr>
    </w:p>
    <w:p w14:paraId="19C05CD3">
      <w:pPr>
        <w:bidi w:val="0"/>
        <w:rPr>
          <w:rFonts w:hint="default" w:ascii="Times New Roman" w:hAnsi="Times New Roman" w:eastAsia="宋体" w:cs="Times New Roman"/>
          <w:color w:val="auto"/>
        </w:rPr>
      </w:pPr>
    </w:p>
    <w:p w14:paraId="57A1E930">
      <w:pPr>
        <w:bidi w:val="0"/>
        <w:rPr>
          <w:rFonts w:hint="default" w:ascii="Times New Roman" w:hAnsi="Times New Roman" w:eastAsia="宋体" w:cs="Times New Roman"/>
          <w:color w:val="auto"/>
        </w:rPr>
      </w:pPr>
    </w:p>
    <w:p w14:paraId="16AF44CF">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59070" cy="8058150"/>
            <wp:effectExtent l="0" t="0" r="17780" b="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33"/>
                    <a:stretch>
                      <a:fillRect/>
                    </a:stretch>
                  </pic:blipFill>
                  <pic:spPr>
                    <a:xfrm>
                      <a:off x="0" y="0"/>
                      <a:ext cx="5259070" cy="8058150"/>
                    </a:xfrm>
                    <a:prstGeom prst="rect">
                      <a:avLst/>
                    </a:prstGeom>
                    <a:noFill/>
                    <a:ln>
                      <a:noFill/>
                    </a:ln>
                  </pic:spPr>
                </pic:pic>
              </a:graphicData>
            </a:graphic>
          </wp:inline>
        </w:drawing>
      </w:r>
    </w:p>
    <w:p w14:paraId="3E8D0BA6">
      <w:pPr>
        <w:bidi w:val="0"/>
        <w:rPr>
          <w:rFonts w:hint="default" w:ascii="Times New Roman" w:hAnsi="Times New Roman" w:eastAsia="宋体" w:cs="Times New Roman"/>
          <w:color w:val="auto"/>
        </w:rPr>
      </w:pPr>
    </w:p>
    <w:p w14:paraId="39F84080">
      <w:pPr>
        <w:bidi w:val="0"/>
        <w:rPr>
          <w:rFonts w:hint="default" w:ascii="Times New Roman" w:hAnsi="Times New Roman" w:eastAsia="宋体" w:cs="Times New Roman"/>
          <w:color w:val="auto"/>
        </w:rPr>
      </w:pPr>
    </w:p>
    <w:p w14:paraId="6C2F696C">
      <w:pPr>
        <w:bidi w:val="0"/>
        <w:rPr>
          <w:rFonts w:hint="default" w:ascii="Times New Roman" w:hAnsi="Times New Roman" w:eastAsia="宋体" w:cs="Times New Roman"/>
          <w:color w:val="auto"/>
        </w:rPr>
      </w:pPr>
    </w:p>
    <w:p w14:paraId="5479FC1E">
      <w:pPr>
        <w:bidi w:val="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59070" cy="8086725"/>
            <wp:effectExtent l="0" t="0" r="17780" b="952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34"/>
                    <a:stretch>
                      <a:fillRect/>
                    </a:stretch>
                  </pic:blipFill>
                  <pic:spPr>
                    <a:xfrm>
                      <a:off x="0" y="0"/>
                      <a:ext cx="5259070" cy="8086725"/>
                    </a:xfrm>
                    <a:prstGeom prst="rect">
                      <a:avLst/>
                    </a:prstGeom>
                    <a:noFill/>
                    <a:ln>
                      <a:noFill/>
                    </a:ln>
                  </pic:spPr>
                </pic:pic>
              </a:graphicData>
            </a:graphic>
          </wp:inline>
        </w:drawing>
      </w:r>
    </w:p>
    <w:p w14:paraId="4C60DA34">
      <w:pPr>
        <w:bidi w:val="0"/>
        <w:rPr>
          <w:rFonts w:hint="default" w:ascii="Times New Roman" w:hAnsi="Times New Roman" w:eastAsia="宋体" w:cs="Times New Roman"/>
          <w:color w:val="auto"/>
        </w:rPr>
      </w:pPr>
    </w:p>
    <w:p w14:paraId="1FF818FD">
      <w:pPr>
        <w:bidi w:val="0"/>
        <w:rPr>
          <w:rFonts w:hint="default" w:ascii="Times New Roman" w:hAnsi="Times New Roman" w:eastAsia="宋体" w:cs="Times New Roman"/>
          <w:color w:val="auto"/>
          <w:lang w:eastAsia="zh-CN"/>
        </w:rPr>
      </w:pPr>
    </w:p>
    <w:p w14:paraId="500CF7AE">
      <w:pPr>
        <w:pStyle w:val="8"/>
        <w:rPr>
          <w:rFonts w:hint="default" w:ascii="Times New Roman" w:hAnsi="Times New Roman" w:eastAsia="宋体" w:cs="Times New Roman"/>
          <w:color w:val="auto"/>
          <w:lang w:val="en-US" w:eastAsia="zh-CN"/>
        </w:rPr>
      </w:pPr>
    </w:p>
    <w:p w14:paraId="55BD0C00">
      <w:pPr>
        <w:jc w:val="right"/>
        <w:rPr>
          <w:rFonts w:hint="default" w:ascii="Times New Roman" w:hAnsi="Times New Roman" w:eastAsia="宋体" w:cs="Times New Roman"/>
          <w:b/>
          <w:color w:val="auto"/>
          <w:sz w:val="28"/>
          <w:szCs w:val="28"/>
          <w:highlight w:val="none"/>
        </w:rPr>
        <w:sectPr>
          <w:pgSz w:w="11906" w:h="16838"/>
          <w:pgMar w:top="1440" w:right="1800" w:bottom="1440" w:left="1800" w:header="851" w:footer="992" w:gutter="0"/>
          <w:cols w:space="425" w:num="1"/>
          <w:docGrid w:type="lines" w:linePitch="312" w:charSpace="0"/>
        </w:sectPr>
      </w:pPr>
    </w:p>
    <w:p w14:paraId="1B03F685">
      <w:pPr>
        <w:pStyle w:val="57"/>
        <w:spacing w:line="240" w:lineRule="auto"/>
        <w:ind w:firstLine="0" w:firstLineChars="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4224655</wp:posOffset>
                </wp:positionH>
                <wp:positionV relativeFrom="paragraph">
                  <wp:posOffset>3014980</wp:posOffset>
                </wp:positionV>
                <wp:extent cx="948055" cy="334645"/>
                <wp:effectExtent l="4445" t="4445" r="171450" b="251460"/>
                <wp:wrapNone/>
                <wp:docPr id="8" name="矩形标注 8"/>
                <wp:cNvGraphicFramePr/>
                <a:graphic xmlns:a="http://schemas.openxmlformats.org/drawingml/2006/main">
                  <a:graphicData uri="http://schemas.microsoft.com/office/word/2010/wordprocessingShape">
                    <wps:wsp>
                      <wps:cNvSpPr/>
                      <wps:spPr>
                        <a:xfrm>
                          <a:off x="0" y="0"/>
                          <a:ext cx="948055" cy="334645"/>
                        </a:xfrm>
                        <a:prstGeom prst="wedgeRectCallout">
                          <a:avLst>
                            <a:gd name="adj1" fmla="val 64199"/>
                            <a:gd name="adj2" fmla="val 117931"/>
                          </a:avLst>
                        </a:prstGeom>
                        <a:noFill/>
                        <a:ln w="9525" cap="flat" cmpd="sng">
                          <a:solidFill>
                            <a:srgbClr val="000000"/>
                          </a:solidFill>
                          <a:prstDash val="solid"/>
                          <a:miter/>
                          <a:headEnd type="none" w="med" len="med"/>
                          <a:tailEnd type="none" w="med" len="med"/>
                        </a:ln>
                      </wps:spPr>
                      <wps:txbx>
                        <w:txbxContent>
                          <w:p w14:paraId="2D68EBE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color w:val="FF0000"/>
                                <w:sz w:val="24"/>
                                <w:szCs w:val="24"/>
                                <w:lang w:eastAsia="zh-CN"/>
                              </w:rPr>
                            </w:pPr>
                            <w:r>
                              <w:rPr>
                                <w:rFonts w:hint="eastAsia"/>
                                <w:b/>
                                <w:bCs/>
                                <w:color w:val="FF0000"/>
                                <w:sz w:val="24"/>
                                <w:szCs w:val="24"/>
                                <w:lang w:eastAsia="zh-CN"/>
                              </w:rPr>
                              <w:t>本项目位置</w:t>
                            </w:r>
                          </w:p>
                        </w:txbxContent>
                      </wps:txbx>
                      <wps:bodyPr upright="1"/>
                    </wps:wsp>
                  </a:graphicData>
                </a:graphic>
              </wp:anchor>
            </w:drawing>
          </mc:Choice>
          <mc:Fallback>
            <w:pict>
              <v:shape id="_x0000_s1026" o:spid="_x0000_s1026" o:spt="61" type="#_x0000_t61" style="position:absolute;left:0pt;margin-left:332.65pt;margin-top:237.4pt;height:26.35pt;width:74.65pt;z-index:251662336;mso-width-relative:page;mso-height-relative:page;" filled="f" stroked="t" coordsize="21600,21600" o:gfxdata="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0p/uXaAAAACwEAAA8AAAAAAAAAAQAgAAAAIgAAAGRycy9kb3ducmV2Lnht&#10;bFBLAQIUABQAAAAIAIdO4kC92n+2MAIAAGMEAAAOAAAAAAAAAAEAIAAAACkBAABkcnMvZTJvRG9j&#10;LnhtbFBLBQYAAAAABgAGAFkBAADLBQAAAAA=&#10;" adj="24667,36273">
                <v:fill on="f" focussize="0,0"/>
                <v:stroke color="#000000" joinstyle="miter"/>
                <v:imagedata o:title=""/>
                <o:lock v:ext="edit" aspectratio="f"/>
                <v:textbox>
                  <w:txbxContent>
                    <w:p w14:paraId="2D68EBE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color w:val="FF0000"/>
                          <w:sz w:val="24"/>
                          <w:szCs w:val="24"/>
                          <w:lang w:eastAsia="zh-CN"/>
                        </w:rPr>
                      </w:pPr>
                      <w:r>
                        <w:rPr>
                          <w:rFonts w:hint="eastAsia"/>
                          <w:b/>
                          <w:bCs/>
                          <w:color w:val="FF0000"/>
                          <w:sz w:val="24"/>
                          <w:szCs w:val="24"/>
                          <w:lang w:eastAsia="zh-CN"/>
                        </w:rPr>
                        <w:t>本项目位置</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5308600</wp:posOffset>
                </wp:positionH>
                <wp:positionV relativeFrom="paragraph">
                  <wp:posOffset>3562350</wp:posOffset>
                </wp:positionV>
                <wp:extent cx="71755" cy="71755"/>
                <wp:effectExtent l="4445" t="4445" r="19050" b="19050"/>
                <wp:wrapNone/>
                <wp:docPr id="9" name="椭圆 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18pt;margin-top:280.5pt;height:5.65pt;width:5.65pt;z-index:251661312;mso-width-relative:page;mso-height-relative:page;" fillcolor="#FF0000" filled="t" stroked="t" coordsize="21600,21600" o:gfxdata="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S6RvvaAAAACwEAAA8AAAAAAAAAAQAgAAAAIgAAAGRycy9kb3ducmV2LnhtbFBL&#10;AQIUABQAAAAIAIdO4kDsbtMf9AEAABQEAAAOAAAAAAAAAAEAIAAAACkBAABkcnMvZTJvRG9jLnht&#10;bFBLBQYAAAAABgAGAFkBAACPBQAAAAA=&#10;">
                <v:fill on="t" focussize="0,0"/>
                <v:stroke color="#000000" joinstyle="round"/>
                <v:imagedata o:title=""/>
                <o:lock v:ext="edit" aspectratio="f"/>
              </v:shape>
            </w:pict>
          </mc:Fallback>
        </mc:AlternateContent>
      </w:r>
      <w:r>
        <w:rPr>
          <w:rFonts w:hint="default" w:ascii="Times New Roman" w:hAnsi="Times New Roman" w:eastAsia="宋体" w:cs="Times New Roman"/>
          <w:color w:val="auto"/>
          <w:sz w:val="24"/>
          <w:szCs w:val="24"/>
          <w:highlight w:val="none"/>
          <w:lang w:eastAsia="zh-CN"/>
        </w:rPr>
        <w:drawing>
          <wp:inline distT="0" distB="0" distL="114300" distR="114300">
            <wp:extent cx="7636510" cy="5400040"/>
            <wp:effectExtent l="0" t="0" r="2540" b="10160"/>
            <wp:docPr id="10" name="图片 8" descr="298-299磴口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298-299磴口县"/>
                    <pic:cNvPicPr>
                      <a:picLocks noChangeAspect="1"/>
                    </pic:cNvPicPr>
                  </pic:nvPicPr>
                  <pic:blipFill>
                    <a:blip r:embed="rId35"/>
                    <a:stretch>
                      <a:fillRect/>
                    </a:stretch>
                  </pic:blipFill>
                  <pic:spPr>
                    <a:xfrm>
                      <a:off x="0" y="0"/>
                      <a:ext cx="7636510" cy="5400040"/>
                    </a:xfrm>
                    <a:prstGeom prst="rect">
                      <a:avLst/>
                    </a:prstGeom>
                    <a:noFill/>
                    <a:ln>
                      <a:noFill/>
                    </a:ln>
                  </pic:spPr>
                </pic:pic>
              </a:graphicData>
            </a:graphic>
          </wp:inline>
        </w:drawing>
      </w:r>
    </w:p>
    <w:p w14:paraId="54A5CDB1">
      <w:pPr>
        <w:pStyle w:val="57"/>
        <w:spacing w:line="240" w:lineRule="auto"/>
        <w:ind w:firstLine="387"/>
        <w:jc w:val="center"/>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图</w:t>
      </w:r>
      <w:r>
        <w:rPr>
          <w:rFonts w:hint="default" w:ascii="Times New Roman" w:hAnsi="Times New Roman" w:eastAsia="宋体" w:cs="Times New Roman"/>
          <w:b/>
          <w:color w:val="auto"/>
          <w:sz w:val="28"/>
          <w:szCs w:val="28"/>
          <w:highlight w:val="none"/>
          <w:lang w:val="en-US" w:eastAsia="zh-CN"/>
        </w:rPr>
        <w:t>1</w:t>
      </w:r>
      <w:r>
        <w:rPr>
          <w:rFonts w:hint="default" w:ascii="Times New Roman" w:hAnsi="Times New Roman" w:eastAsia="宋体" w:cs="Times New Roman"/>
          <w:b/>
          <w:color w:val="auto"/>
          <w:sz w:val="28"/>
          <w:szCs w:val="28"/>
          <w:highlight w:val="none"/>
        </w:rPr>
        <w:t xml:space="preserve">   项目所在地理位置图</w:t>
      </w:r>
    </w:p>
    <w:p w14:paraId="3B38A2CF">
      <w:pPr>
        <w:pStyle w:val="57"/>
        <w:spacing w:line="240" w:lineRule="auto"/>
        <w:ind w:left="0" w:leftChars="0" w:firstLine="0" w:firstLineChars="0"/>
        <w:jc w:val="both"/>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3360" behindDoc="0" locked="0" layoutInCell="1" allowOverlap="1">
                <wp:simplePos x="0" y="0"/>
                <wp:positionH relativeFrom="column">
                  <wp:posOffset>3614420</wp:posOffset>
                </wp:positionH>
                <wp:positionV relativeFrom="paragraph">
                  <wp:posOffset>1546225</wp:posOffset>
                </wp:positionV>
                <wp:extent cx="1203325" cy="466725"/>
                <wp:effectExtent l="0" t="0" r="0" b="0"/>
                <wp:wrapNone/>
                <wp:docPr id="12" name="矩形 12"/>
                <wp:cNvGraphicFramePr/>
                <a:graphic xmlns:a="http://schemas.openxmlformats.org/drawingml/2006/main">
                  <a:graphicData uri="http://schemas.microsoft.com/office/word/2010/wordprocessingShape">
                    <wps:wsp>
                      <wps:cNvSpPr/>
                      <wps:spPr>
                        <a:xfrm>
                          <a:off x="2150110" y="1841500"/>
                          <a:ext cx="1203325" cy="4667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B8ADA26">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润鑫洗煤厂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4.6pt;margin-top:121.75pt;height:36.75pt;width:94.75pt;z-index:251663360;v-text-anchor:middle;mso-width-relative:page;mso-height-relative:page;" filled="f" stroked="f" coordsize="21600,21600" o:gfxdata="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3z5P/aAAAACwEAAA8AAAAAAAAAAQAgAAAAIgAAAGRycy9kb3ducmV2Lnht&#10;bFBLAQIUABQAAAAIAIdO4kBgo7nJaQIAALsEAAAOAAAAAAAAAAEAIAAAACkBAABkcnMvZTJvRG9j&#10;LnhtbFBLBQYAAAAABgAGAFkBAAAEBgAAAAA=&#10;">
                <v:fill on="f" focussize="0,0"/>
                <v:stroke on="f" weight="1pt" miterlimit="8" joinstyle="miter"/>
                <v:imagedata o:title=""/>
                <o:lock v:ext="edit" aspectratio="f"/>
                <v:textbox>
                  <w:txbxContent>
                    <w:p w14:paraId="0B8ADA26">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润鑫洗煤厂</w:t>
                      </w:r>
                    </w:p>
                  </w:txbxContent>
                </v:textbox>
              </v:rect>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4384" behindDoc="0" locked="0" layoutInCell="1" allowOverlap="1">
                <wp:simplePos x="0" y="0"/>
                <wp:positionH relativeFrom="column">
                  <wp:posOffset>3564255</wp:posOffset>
                </wp:positionH>
                <wp:positionV relativeFrom="paragraph">
                  <wp:posOffset>2663190</wp:posOffset>
                </wp:positionV>
                <wp:extent cx="916940" cy="417830"/>
                <wp:effectExtent l="0" t="0" r="16510" b="1270"/>
                <wp:wrapNone/>
                <wp:docPr id="13" name="矩形 13"/>
                <wp:cNvGraphicFramePr/>
                <a:graphic xmlns:a="http://schemas.openxmlformats.org/drawingml/2006/main">
                  <a:graphicData uri="http://schemas.microsoft.com/office/word/2010/wordprocessingShape">
                    <wps:wsp>
                      <wps:cNvSpPr/>
                      <wps:spPr>
                        <a:xfrm>
                          <a:off x="0" y="0"/>
                          <a:ext cx="916940" cy="4178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22C1B9A">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65pt;margin-top:209.7pt;height:32.9pt;width:72.2pt;z-index:251664384;v-text-anchor:middle;mso-width-relative:page;mso-height-relative:page;" filled="f" stroked="f" coordsize="21600,21600" o:gfxdata="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riORtoAAAALAQAADwAAAAAAAAABACAAAAAiAAAAZHJzL2Rvd25yZXYueG1sUEsBAhQAFAAA&#10;AAgAh07iQEZd6zxfAgAArgQAAA4AAAAAAAAAAQAgAAAAKQEAAGRycy9lMm9Eb2MueG1sUEsFBgAA&#10;AAAGAAYAWQEAAPoFAAAAAA==&#10;">
                <v:fill on="f" focussize="0,0"/>
                <v:stroke on="f" weight="1pt" miterlimit="8" joinstyle="miter"/>
                <v:imagedata o:title=""/>
                <o:lock v:ext="edit" aspectratio="f"/>
                <v:textbox>
                  <w:txbxContent>
                    <w:p w14:paraId="522C1B9A">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v:textbox>
              </v:rect>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7456" behindDoc="0" locked="0" layoutInCell="1" allowOverlap="1">
                <wp:simplePos x="0" y="0"/>
                <wp:positionH relativeFrom="column">
                  <wp:posOffset>2724150</wp:posOffset>
                </wp:positionH>
                <wp:positionV relativeFrom="paragraph">
                  <wp:posOffset>2715260</wp:posOffset>
                </wp:positionV>
                <wp:extent cx="775335" cy="454025"/>
                <wp:effectExtent l="0" t="0" r="0" b="0"/>
                <wp:wrapNone/>
                <wp:docPr id="16" name="矩形 16"/>
                <wp:cNvGraphicFramePr/>
                <a:graphic xmlns:a="http://schemas.openxmlformats.org/drawingml/2006/main">
                  <a:graphicData uri="http://schemas.microsoft.com/office/word/2010/wordprocessingShape">
                    <wps:wsp>
                      <wps:cNvSpPr/>
                      <wps:spPr>
                        <a:xfrm>
                          <a:off x="0" y="0"/>
                          <a:ext cx="775335" cy="4540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C362F61">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4.5pt;margin-top:213.8pt;height:35.75pt;width:61.05pt;z-index:251667456;v-text-anchor:middle;mso-width-relative:page;mso-height-relative:page;" filled="f" stroked="f" coordsize="21600,21600" o:gfxdata="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f7ngrZAAAACwEAAA8AAAAAAAAAAQAgAAAAIgAAAGRycy9kb3ducmV2LnhtbFBLAQIUABQA&#10;AAAIAIdO4kDNJ8YvYQIAAK4EAAAOAAAAAAAAAAEAIAAAACgBAABkcnMvZTJvRG9jLnhtbFBLBQYA&#10;AAAABgAGAFkBAAD7BQAAAAA=&#10;">
                <v:fill on="f" focussize="0,0"/>
                <v:stroke on="f" weight="1pt" miterlimit="8" joinstyle="miter"/>
                <v:imagedata o:title=""/>
                <o:lock v:ext="edit" aspectratio="f"/>
                <v:textbox>
                  <w:txbxContent>
                    <w:p w14:paraId="4C362F61">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v:textbox>
              </v:rect>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6432" behindDoc="0" locked="0" layoutInCell="1" allowOverlap="1">
                <wp:simplePos x="0" y="0"/>
                <wp:positionH relativeFrom="column">
                  <wp:posOffset>3535680</wp:posOffset>
                </wp:positionH>
                <wp:positionV relativeFrom="paragraph">
                  <wp:posOffset>3515360</wp:posOffset>
                </wp:positionV>
                <wp:extent cx="775335" cy="454025"/>
                <wp:effectExtent l="0" t="0" r="0" b="0"/>
                <wp:wrapNone/>
                <wp:docPr id="15" name="矩形 15"/>
                <wp:cNvGraphicFramePr/>
                <a:graphic xmlns:a="http://schemas.openxmlformats.org/drawingml/2006/main">
                  <a:graphicData uri="http://schemas.microsoft.com/office/word/2010/wordprocessingShape">
                    <wps:wsp>
                      <wps:cNvSpPr/>
                      <wps:spPr>
                        <a:xfrm>
                          <a:off x="0" y="0"/>
                          <a:ext cx="775335" cy="4540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135958D">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4pt;margin-top:276.8pt;height:35.75pt;width:61.05pt;z-index:251666432;v-text-anchor:middle;mso-width-relative:page;mso-height-relative:page;" filled="f" stroked="f" coordsize="21600,21600" o:gfxdata="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8xki9kAAAALAQAADwAAAAAAAAABACAAAAAiAAAAZHJzL2Rvd25yZXYueG1sUEsBAhQAFAAA&#10;AAgAh07iQGNOAbVgAgAArgQAAA4AAAAAAAAAAQAgAAAAKAEAAGRycy9lMm9Eb2MueG1sUEsFBgAA&#10;AAAGAAYAWQEAAPoFAAAAAA==&#10;">
                <v:fill on="f" focussize="0,0"/>
                <v:stroke on="f" weight="1pt" miterlimit="8" joinstyle="miter"/>
                <v:imagedata o:title=""/>
                <o:lock v:ext="edit" aspectratio="f"/>
                <v:textbox>
                  <w:txbxContent>
                    <w:p w14:paraId="7135958D">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v:textbox>
              </v:rect>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5408" behindDoc="0" locked="0" layoutInCell="1" allowOverlap="1">
                <wp:simplePos x="0" y="0"/>
                <wp:positionH relativeFrom="column">
                  <wp:posOffset>4610100</wp:posOffset>
                </wp:positionH>
                <wp:positionV relativeFrom="paragraph">
                  <wp:posOffset>2720340</wp:posOffset>
                </wp:positionV>
                <wp:extent cx="775335" cy="454025"/>
                <wp:effectExtent l="0" t="0" r="0" b="0"/>
                <wp:wrapNone/>
                <wp:docPr id="14" name="矩形 14"/>
                <wp:cNvGraphicFramePr/>
                <a:graphic xmlns:a="http://schemas.openxmlformats.org/drawingml/2006/main">
                  <a:graphicData uri="http://schemas.microsoft.com/office/word/2010/wordprocessingShape">
                    <wps:wsp>
                      <wps:cNvSpPr/>
                      <wps:spPr>
                        <a:xfrm>
                          <a:off x="0" y="0"/>
                          <a:ext cx="775335" cy="4540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53FA7AC">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pt;margin-top:214.2pt;height:35.75pt;width:61.05pt;z-index:251665408;v-text-anchor:middle;mso-width-relative:page;mso-height-relative:page;" filled="f" stroked="f" coordsize="21600,21600" o:gfxdata="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AtxrnZAAAACwEAAA8AAAAAAAAAAQAgAAAAIgAAAGRycy9kb3ducmV2LnhtbFBLAQIUABQA&#10;AAAIAIdO4kD5lkPDYQIAAK4EAAAOAAAAAAAAAAEAIAAAACgBAABkcnMvZTJvRG9jLnhtbFBLBQYA&#10;AAAABgAGAFkBAAD7BQAAAAA=&#10;">
                <v:fill on="f" focussize="0,0"/>
                <v:stroke on="f" weight="1pt" miterlimit="8" joinstyle="miter"/>
                <v:imagedata o:title=""/>
                <o:lock v:ext="edit" aspectratio="f"/>
                <v:textbox>
                  <w:txbxContent>
                    <w:p w14:paraId="553FA7AC">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空地</w:t>
                      </w:r>
                    </w:p>
                  </w:txbxContent>
                </v:textbox>
              </v:rect>
            </w:pict>
          </mc:Fallback>
        </mc:AlternateContent>
      </w:r>
      <w:r>
        <w:rPr>
          <w:rFonts w:hint="default" w:ascii="Times New Roman" w:hAnsi="Times New Roman" w:eastAsia="宋体" w:cs="Times New Roman"/>
          <w:b/>
          <w:color w:val="auto"/>
          <w:sz w:val="28"/>
          <w:szCs w:val="28"/>
          <w:highlight w:val="none"/>
          <w:lang w:val="en-US" w:eastAsia="zh-CN"/>
        </w:rPr>
        <w:drawing>
          <wp:inline distT="0" distB="0" distL="114300" distR="114300">
            <wp:extent cx="8264525" cy="5400040"/>
            <wp:effectExtent l="0" t="0" r="3175" b="10160"/>
            <wp:docPr id="11" name="图片 11" descr="屏幕截图3123123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屏幕截图3123123123123"/>
                    <pic:cNvPicPr>
                      <a:picLocks noChangeAspect="1"/>
                    </pic:cNvPicPr>
                  </pic:nvPicPr>
                  <pic:blipFill>
                    <a:blip r:embed="rId36"/>
                    <a:stretch>
                      <a:fillRect/>
                    </a:stretch>
                  </pic:blipFill>
                  <pic:spPr>
                    <a:xfrm>
                      <a:off x="0" y="0"/>
                      <a:ext cx="8264525" cy="5400040"/>
                    </a:xfrm>
                    <a:prstGeom prst="rect">
                      <a:avLst/>
                    </a:prstGeom>
                  </pic:spPr>
                </pic:pic>
              </a:graphicData>
            </a:graphic>
          </wp:inline>
        </w:drawing>
      </w:r>
    </w:p>
    <w:p w14:paraId="332E59A4">
      <w:pPr>
        <w:pStyle w:val="57"/>
        <w:spacing w:line="240" w:lineRule="auto"/>
        <w:ind w:left="0" w:leftChars="0" w:firstLine="0" w:firstLineChars="0"/>
        <w:jc w:val="center"/>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highlight w:val="none"/>
          <w:lang w:val="en-US" w:eastAsia="zh-CN"/>
        </w:rPr>
        <w:t>图2   项目位于厂区位置图</w:t>
      </w:r>
    </w:p>
    <w:p w14:paraId="60008B98">
      <w:pPr>
        <w:pStyle w:val="57"/>
        <w:spacing w:line="240" w:lineRule="auto"/>
        <w:ind w:left="0" w:leftChars="0" w:firstLine="0" w:firstLineChars="0"/>
        <w:jc w:val="both"/>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highlight w:val="none"/>
          <w:lang w:val="en-US" w:eastAsia="zh-CN"/>
        </w:rPr>
        <w:drawing>
          <wp:inline distT="0" distB="0" distL="114300" distR="114300">
            <wp:extent cx="8264525" cy="5400040"/>
            <wp:effectExtent l="0" t="0" r="3175" b="10160"/>
            <wp:docPr id="3" name="图片 3" descr="屏幕截图3123123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屏幕截图3123123123123"/>
                    <pic:cNvPicPr>
                      <a:picLocks noChangeAspect="1"/>
                    </pic:cNvPicPr>
                  </pic:nvPicPr>
                  <pic:blipFill>
                    <a:blip r:embed="rId36"/>
                    <a:stretch>
                      <a:fillRect/>
                    </a:stretch>
                  </pic:blipFill>
                  <pic:spPr>
                    <a:xfrm>
                      <a:off x="0" y="0"/>
                      <a:ext cx="8264525" cy="5400040"/>
                    </a:xfrm>
                    <a:prstGeom prst="rect">
                      <a:avLst/>
                    </a:prstGeom>
                  </pic:spPr>
                </pic:pic>
              </a:graphicData>
            </a:graphic>
          </wp:inline>
        </w:drawing>
      </w:r>
      <w:r>
        <w:rPr>
          <w:rFonts w:hint="default" w:ascii="Times New Roman" w:hAnsi="Times New Roman" w:eastAsia="宋体" w:cs="Times New Roman"/>
          <w:color w:val="auto"/>
          <w:sz w:val="28"/>
        </w:rPr>
        <mc:AlternateContent>
          <mc:Choice Requires="wps">
            <w:drawing>
              <wp:anchor distT="0" distB="0" distL="114300" distR="114300" simplePos="0" relativeHeight="251670528" behindDoc="0" locked="0" layoutInCell="1" allowOverlap="1">
                <wp:simplePos x="0" y="0"/>
                <wp:positionH relativeFrom="column">
                  <wp:posOffset>1468755</wp:posOffset>
                </wp:positionH>
                <wp:positionV relativeFrom="paragraph">
                  <wp:posOffset>1946275</wp:posOffset>
                </wp:positionV>
                <wp:extent cx="1438910" cy="887095"/>
                <wp:effectExtent l="6350" t="6350" r="97790" b="725805"/>
                <wp:wrapNone/>
                <wp:docPr id="26" name="矩形标注 26"/>
                <wp:cNvGraphicFramePr/>
                <a:graphic xmlns:a="http://schemas.openxmlformats.org/drawingml/2006/main">
                  <a:graphicData uri="http://schemas.microsoft.com/office/word/2010/wordprocessingShape">
                    <wps:wsp>
                      <wps:cNvSpPr/>
                      <wps:spPr>
                        <a:xfrm>
                          <a:off x="2558415" y="3834765"/>
                          <a:ext cx="1438910" cy="887095"/>
                        </a:xfrm>
                        <a:prstGeom prst="wedgeRectCallout">
                          <a:avLst>
                            <a:gd name="adj1" fmla="val 54854"/>
                            <a:gd name="adj2" fmla="val 127308"/>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952E412">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环境空气质量现状监测点位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5.65pt;margin-top:153.25pt;height:69.85pt;width:113.3pt;z-index:251670528;v-text-anchor:middle;mso-width-relative:page;mso-height-relative:page;" filled="f" stroked="t" coordsize="21600,21600" o:gfxdata="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eUyGwdkAAAALAQAADwAAAAAAAAABACAAAAAi&#10;AAAAZHJzL2Rvd25yZXYueG1sUEsBAhQAFAAAAAgAh07iQJSsNu20AgAASAUAAA4AAAAAAAAAAQAg&#10;AAAAKAEAAGRycy9lMm9Eb2MueG1sUEsFBgAAAAAGAAYAWQEAAE4GAAAAAA==&#10;" adj="22648,38299">
                <v:fill on="f" focussize="0,0"/>
                <v:stroke weight="1pt" color="#000000 [3213]" miterlimit="8" joinstyle="miter"/>
                <v:imagedata o:title=""/>
                <o:lock v:ext="edit" aspectratio="f"/>
                <v:textbox>
                  <w:txbxContent>
                    <w:p w14:paraId="2952E412">
                      <w:pPr>
                        <w:jc w:val="center"/>
                        <w:rPr>
                          <w:rFonts w:hint="default" w:eastAsiaTheme="minorEastAsia"/>
                          <w:b/>
                          <w:bCs/>
                          <w:color w:val="FF0000"/>
                          <w:sz w:val="28"/>
                          <w:szCs w:val="36"/>
                          <w:lang w:val="en-US" w:eastAsia="zh-CN"/>
                        </w:rPr>
                      </w:pPr>
                      <w:r>
                        <w:rPr>
                          <w:rFonts w:hint="eastAsia"/>
                          <w:b/>
                          <w:bCs/>
                          <w:color w:val="FF0000"/>
                          <w:sz w:val="28"/>
                          <w:szCs w:val="36"/>
                          <w:lang w:val="en-US" w:eastAsia="zh-CN"/>
                        </w:rPr>
                        <w:t>环境空气质量现状监测点位</w:t>
                      </w:r>
                    </w:p>
                  </w:txbxContent>
                </v:textbox>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69504" behindDoc="0" locked="0" layoutInCell="1" allowOverlap="1">
                <wp:simplePos x="0" y="0"/>
                <wp:positionH relativeFrom="column">
                  <wp:posOffset>2896870</wp:posOffset>
                </wp:positionH>
                <wp:positionV relativeFrom="paragraph">
                  <wp:posOffset>3502025</wp:posOffset>
                </wp:positionV>
                <wp:extent cx="144145" cy="144145"/>
                <wp:effectExtent l="6350" t="6350" r="20955" b="20955"/>
                <wp:wrapNone/>
                <wp:docPr id="25" name="椭圆 25"/>
                <wp:cNvGraphicFramePr/>
                <a:graphic xmlns:a="http://schemas.openxmlformats.org/drawingml/2006/main">
                  <a:graphicData uri="http://schemas.microsoft.com/office/word/2010/wordprocessingShape">
                    <wps:wsp>
                      <wps:cNvSpPr/>
                      <wps:spPr>
                        <a:xfrm>
                          <a:off x="4124325" y="4416425"/>
                          <a:ext cx="144145" cy="144145"/>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8.1pt;margin-top:275.75pt;height:11.35pt;width:11.35pt;z-index:251669504;v-text-anchor:middle;mso-width-relative:page;mso-height-relative:page;" fillcolor="#FF0000" filled="t" stroked="t" coordsize="21600,21600" o:gfxdata="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tI4ah2gAAAAsBAAAPAAAAAAAAAAEAIAAAACIAAABk&#10;cnMvZG93bnJldi54bWxQSwECFAAUAAAACACHTuJAxf4h9nYCAAAEBQAADgAAAAAAAAABACAAAAAp&#10;AQAAZHJzL2Uyb0RvYy54bWxQSwUGAAAAAAYABgBZAQAAEQY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68480" behindDoc="0" locked="0" layoutInCell="1" allowOverlap="1">
                <wp:simplePos x="0" y="0"/>
                <wp:positionH relativeFrom="column">
                  <wp:posOffset>3564255</wp:posOffset>
                </wp:positionH>
                <wp:positionV relativeFrom="paragraph">
                  <wp:posOffset>2663190</wp:posOffset>
                </wp:positionV>
                <wp:extent cx="916940" cy="417830"/>
                <wp:effectExtent l="0" t="0" r="0" b="0"/>
                <wp:wrapNone/>
                <wp:docPr id="4" name="矩形 4"/>
                <wp:cNvGraphicFramePr/>
                <a:graphic xmlns:a="http://schemas.openxmlformats.org/drawingml/2006/main">
                  <a:graphicData uri="http://schemas.microsoft.com/office/word/2010/wordprocessingShape">
                    <wps:wsp>
                      <wps:cNvSpPr/>
                      <wps:spPr>
                        <a:xfrm>
                          <a:off x="0" y="0"/>
                          <a:ext cx="916940" cy="4178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D4980F9">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65pt;margin-top:209.7pt;height:32.9pt;width:72.2pt;z-index:251668480;v-text-anchor:middle;mso-width-relative:page;mso-height-relative:page;" filled="f" stroked="f" coordsize="21600,21600" o:gfxdata="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riORtoAAAALAQAADwAAAAAAAAABACAAAAAiAAAAZHJzL2Rvd25yZXYueG1sUEsBAhQAFAAA&#10;AAgAh07iQBnv8mBfAgAArAQAAA4AAAAAAAAAAQAgAAAAKQEAAGRycy9lMm9Eb2MueG1sUEsFBgAA&#10;AAAGAAYAWQEAAPoFAAAAAA==&#10;">
                <v:fill on="f" focussize="0,0"/>
                <v:stroke on="f" weight="1pt" miterlimit="8" joinstyle="miter"/>
                <v:imagedata o:title=""/>
                <o:lock v:ext="edit" aspectratio="f"/>
                <v:textbox>
                  <w:txbxContent>
                    <w:p w14:paraId="3D4980F9">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v:textbox>
              </v:rect>
            </w:pict>
          </mc:Fallback>
        </mc:AlternateContent>
      </w:r>
    </w:p>
    <w:p w14:paraId="0BF7D20F">
      <w:pPr>
        <w:pStyle w:val="57"/>
        <w:spacing w:line="240" w:lineRule="auto"/>
        <w:ind w:left="0" w:leftChars="0" w:firstLine="0" w:firstLineChars="0"/>
        <w:jc w:val="center"/>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highlight w:val="none"/>
          <w:lang w:val="en-US" w:eastAsia="zh-CN"/>
        </w:rPr>
        <w:t>图3   项目环境质量现状监测布点图</w:t>
      </w:r>
    </w:p>
    <w:p w14:paraId="03E5F3AD">
      <w:pPr>
        <w:pStyle w:val="57"/>
        <w:spacing w:line="240" w:lineRule="auto"/>
        <w:ind w:left="0" w:leftChars="0" w:firstLine="0" w:firstLineChars="0"/>
        <w:jc w:val="center"/>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color w:val="auto"/>
          <w:sz w:val="28"/>
        </w:rPr>
        <mc:AlternateContent>
          <mc:Choice Requires="wps">
            <w:drawing>
              <wp:anchor distT="0" distB="0" distL="114300" distR="114300" simplePos="0" relativeHeight="251678720" behindDoc="0" locked="0" layoutInCell="1" allowOverlap="1">
                <wp:simplePos x="0" y="0"/>
                <wp:positionH relativeFrom="column">
                  <wp:posOffset>4922520</wp:posOffset>
                </wp:positionH>
                <wp:positionV relativeFrom="paragraph">
                  <wp:posOffset>3705860</wp:posOffset>
                </wp:positionV>
                <wp:extent cx="1097280" cy="443865"/>
                <wp:effectExtent l="6985" t="7620" r="19685" b="24765"/>
                <wp:wrapNone/>
                <wp:docPr id="37" name="任意多边形 37"/>
                <wp:cNvGraphicFramePr/>
                <a:graphic xmlns:a="http://schemas.openxmlformats.org/drawingml/2006/main">
                  <a:graphicData uri="http://schemas.microsoft.com/office/word/2010/wordprocessingShape">
                    <wps:wsp>
                      <wps:cNvSpPr/>
                      <wps:spPr>
                        <a:xfrm>
                          <a:off x="6065520" y="4620260"/>
                          <a:ext cx="1097280" cy="443865"/>
                        </a:xfrm>
                        <a:custGeom>
                          <a:avLst/>
                          <a:gdLst>
                            <a:gd name="connisteX0" fmla="*/ 1022985 w 1097280"/>
                            <a:gd name="connsiteY0" fmla="*/ 0 h 443865"/>
                            <a:gd name="connisteX1" fmla="*/ 0 w 1097280"/>
                            <a:gd name="connsiteY1" fmla="*/ 311150 h 443865"/>
                            <a:gd name="connisteX2" fmla="*/ 24765 w 1097280"/>
                            <a:gd name="connsiteY2" fmla="*/ 443865 h 443865"/>
                            <a:gd name="connisteX3" fmla="*/ 588010 w 1097280"/>
                            <a:gd name="connsiteY3" fmla="*/ 278130 h 443865"/>
                            <a:gd name="connisteX4" fmla="*/ 1097280 w 1097280"/>
                            <a:gd name="connsiteY4" fmla="*/ 100330 h 443865"/>
                            <a:gd name="connisteX5" fmla="*/ 1022985 w 1097280"/>
                            <a:gd name="connsiteY5" fmla="*/ 0 h 4438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097280" h="443865">
                              <a:moveTo>
                                <a:pt x="1022985" y="0"/>
                              </a:moveTo>
                              <a:lnTo>
                                <a:pt x="0" y="311150"/>
                              </a:lnTo>
                              <a:lnTo>
                                <a:pt x="24765" y="443865"/>
                              </a:lnTo>
                              <a:lnTo>
                                <a:pt x="588010" y="278130"/>
                              </a:lnTo>
                              <a:lnTo>
                                <a:pt x="1097280" y="100330"/>
                              </a:lnTo>
                              <a:lnTo>
                                <a:pt x="1022985" y="0"/>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7.6pt;margin-top:291.8pt;height:34.95pt;width:86.4pt;z-index:251678720;mso-width-relative:page;mso-height-relative:page;" filled="f" stroked="t" coordsize="1097280,443865" o:gfxdata="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vMijc9oAAAALAQAADwAAAAAAAAABACAAAAAiAAAAZHJzL2Rvd25yZXYueG1sUEsBAhQAFAAA&#10;AAgAh07iQDQ9HhpDAwAAKwkAAA4AAAAAAAAAAQAgAAAAKQEAAGRycy9lMm9Eb2MueG1sUEsFBgAA&#10;AAAGAAYAWQEAAN4GAAAAAA==&#10;" path="m1022985,0l0,311150,24765,443865,588010,278130,1097280,100330,1022985,0xe">
                <v:path o:connectlocs="1022985,0;0,311150;24765,443865;588010,278130;1097280,100330;1022985,0" o:connectangles="0,0,0,0,0,0"/>
                <v:fill on="f" focussize="0,0"/>
                <v:stroke weight="1pt" color="#92D050 [2404]"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7696" behindDoc="0" locked="0" layoutInCell="1" allowOverlap="1">
                <wp:simplePos x="0" y="0"/>
                <wp:positionH relativeFrom="column">
                  <wp:posOffset>4005580</wp:posOffset>
                </wp:positionH>
                <wp:positionV relativeFrom="paragraph">
                  <wp:posOffset>3867150</wp:posOffset>
                </wp:positionV>
                <wp:extent cx="400050" cy="508000"/>
                <wp:effectExtent l="8255" t="6985" r="10795" b="18415"/>
                <wp:wrapNone/>
                <wp:docPr id="35" name="任意多边形 35"/>
                <wp:cNvGraphicFramePr/>
                <a:graphic xmlns:a="http://schemas.openxmlformats.org/drawingml/2006/main">
                  <a:graphicData uri="http://schemas.microsoft.com/office/word/2010/wordprocessingShape">
                    <wps:wsp>
                      <wps:cNvSpPr/>
                      <wps:spPr>
                        <a:xfrm>
                          <a:off x="5148580" y="4781550"/>
                          <a:ext cx="400050" cy="508000"/>
                        </a:xfrm>
                        <a:custGeom>
                          <a:avLst/>
                          <a:gdLst>
                            <a:gd name="connisteX0" fmla="*/ 273050 w 400050"/>
                            <a:gd name="connsiteY0" fmla="*/ 0 h 508000"/>
                            <a:gd name="connisteX1" fmla="*/ 0 w 400050"/>
                            <a:gd name="connsiteY1" fmla="*/ 25400 h 508000"/>
                            <a:gd name="connisteX2" fmla="*/ 120650 w 400050"/>
                            <a:gd name="connsiteY2" fmla="*/ 508000 h 508000"/>
                            <a:gd name="connisteX3" fmla="*/ 330200 w 400050"/>
                            <a:gd name="connsiteY3" fmla="*/ 476250 h 508000"/>
                            <a:gd name="connisteX4" fmla="*/ 400050 w 400050"/>
                            <a:gd name="connsiteY4" fmla="*/ 336550 h 508000"/>
                            <a:gd name="connisteX5" fmla="*/ 273050 w 400050"/>
                            <a:gd name="connsiteY5" fmla="*/ 0 h 508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00050" h="508000">
                              <a:moveTo>
                                <a:pt x="273050" y="0"/>
                              </a:moveTo>
                              <a:lnTo>
                                <a:pt x="0" y="25400"/>
                              </a:lnTo>
                              <a:lnTo>
                                <a:pt x="120650" y="508000"/>
                              </a:lnTo>
                              <a:lnTo>
                                <a:pt x="330200" y="476250"/>
                              </a:lnTo>
                              <a:lnTo>
                                <a:pt x="400050" y="336550"/>
                              </a:lnTo>
                              <a:lnTo>
                                <a:pt x="273050" y="0"/>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5.4pt;margin-top:304.5pt;height:40pt;width:31.5pt;z-index:251677696;mso-width-relative:page;mso-height-relative:page;" filled="f" stroked="t" coordsize="400050,508000" o:gfxdata="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" path="m273050,0l0,25400,120650,508000,330200,476250,400050,336550,273050,0xe">
                <v:path o:connectlocs="273050,0;0,25400;120650,508000;330200,476250;400050,336550;273050,0" o:connectangles="0,0,0,0,0,0"/>
                <v:fill on="f" focussize="0,0"/>
                <v:stroke weight="1pt" color="#92D050 [2404]"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6672" behindDoc="0" locked="0" layoutInCell="1" allowOverlap="1">
                <wp:simplePos x="0" y="0"/>
                <wp:positionH relativeFrom="column">
                  <wp:posOffset>3199130</wp:posOffset>
                </wp:positionH>
                <wp:positionV relativeFrom="paragraph">
                  <wp:posOffset>4381500</wp:posOffset>
                </wp:positionV>
                <wp:extent cx="273050" cy="196850"/>
                <wp:effectExtent l="7620" t="6985" r="24130" b="24765"/>
                <wp:wrapNone/>
                <wp:docPr id="34" name="任意多边形 34"/>
                <wp:cNvGraphicFramePr/>
                <a:graphic xmlns:a="http://schemas.openxmlformats.org/drawingml/2006/main">
                  <a:graphicData uri="http://schemas.microsoft.com/office/word/2010/wordprocessingShape">
                    <wps:wsp>
                      <wps:cNvSpPr/>
                      <wps:spPr>
                        <a:xfrm>
                          <a:off x="4342130" y="5295900"/>
                          <a:ext cx="273050" cy="196850"/>
                        </a:xfrm>
                        <a:custGeom>
                          <a:avLst/>
                          <a:gdLst>
                            <a:gd name="connisteX0" fmla="*/ 273050 w 273050"/>
                            <a:gd name="connsiteY0" fmla="*/ 0 h 196850"/>
                            <a:gd name="connisteX1" fmla="*/ 25400 w 273050"/>
                            <a:gd name="connsiteY1" fmla="*/ 12700 h 196850"/>
                            <a:gd name="connisteX2" fmla="*/ 0 w 273050"/>
                            <a:gd name="connsiteY2" fmla="*/ 101600 h 196850"/>
                            <a:gd name="connisteX3" fmla="*/ 247650 w 273050"/>
                            <a:gd name="connsiteY3" fmla="*/ 196850 h 196850"/>
                            <a:gd name="connisteX4" fmla="*/ 273050 w 273050"/>
                            <a:gd name="connsiteY4" fmla="*/ 0 h 1968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73050" h="196850">
                              <a:moveTo>
                                <a:pt x="273050" y="0"/>
                              </a:moveTo>
                              <a:lnTo>
                                <a:pt x="25400" y="12700"/>
                              </a:lnTo>
                              <a:lnTo>
                                <a:pt x="0" y="101600"/>
                              </a:lnTo>
                              <a:lnTo>
                                <a:pt x="247650" y="196850"/>
                              </a:lnTo>
                              <a:lnTo>
                                <a:pt x="273050" y="0"/>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1.9pt;margin-top:345pt;height:15.5pt;width:21.5pt;z-index:251676672;mso-width-relative:page;mso-height-relative:page;" filled="f" stroked="t" coordsize="273050,196850" o:gfxdata="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r8Q+89gAAAALAQAADwAAAAAAAAABACAAAAAiAAAAZHJzL2Rvd25yZXYueG1s&#10;UEsBAhQAFAAAAAgAh07iQJ/deicVAwAASggAAA4AAAAAAAAAAQAgAAAAJwEAAGRycy9lMm9Eb2Mu&#10;eG1sUEsFBgAAAAAGAAYAWQEAAK4GAAAAAA==&#10;" path="m273050,0l25400,12700,0,101600,247650,196850,273050,0xe">
                <v:path o:connectlocs="273050,0;25400,12700;0,101600;247650,196850;273050,0" o:connectangles="0,0,0,0,0"/>
                <v:fill on="f" focussize="0,0"/>
                <v:stroke weight="1pt" color="#92D050 [2404]"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5648" behindDoc="0" locked="0" layoutInCell="1" allowOverlap="1">
                <wp:simplePos x="0" y="0"/>
                <wp:positionH relativeFrom="column">
                  <wp:posOffset>4645025</wp:posOffset>
                </wp:positionH>
                <wp:positionV relativeFrom="paragraph">
                  <wp:posOffset>3362325</wp:posOffset>
                </wp:positionV>
                <wp:extent cx="209550" cy="146050"/>
                <wp:effectExtent l="6985" t="8255" r="12065" b="17145"/>
                <wp:wrapNone/>
                <wp:docPr id="32" name="任意多边形 32"/>
                <wp:cNvGraphicFramePr/>
                <a:graphic xmlns:a="http://schemas.openxmlformats.org/drawingml/2006/main">
                  <a:graphicData uri="http://schemas.microsoft.com/office/word/2010/wordprocessingShape">
                    <wps:wsp>
                      <wps:cNvSpPr/>
                      <wps:spPr>
                        <a:xfrm>
                          <a:off x="5788025" y="4276725"/>
                          <a:ext cx="209550" cy="146050"/>
                        </a:xfrm>
                        <a:custGeom>
                          <a:avLst/>
                          <a:gdLst>
                            <a:gd name="connisteX0" fmla="*/ 19050 w 209550"/>
                            <a:gd name="connsiteY0" fmla="*/ 0 h 146050"/>
                            <a:gd name="connisteX1" fmla="*/ 0 w 209550"/>
                            <a:gd name="connsiteY1" fmla="*/ 146050 h 146050"/>
                            <a:gd name="connisteX2" fmla="*/ 209550 w 209550"/>
                            <a:gd name="connsiteY2" fmla="*/ 133350 h 146050"/>
                            <a:gd name="connisteX3" fmla="*/ 196850 w 209550"/>
                            <a:gd name="connsiteY3" fmla="*/ 50800 h 146050"/>
                            <a:gd name="connisteX4" fmla="*/ 19050 w 209550"/>
                            <a:gd name="connsiteY4" fmla="*/ 0 h 146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09550" h="146050">
                              <a:moveTo>
                                <a:pt x="19050" y="0"/>
                              </a:moveTo>
                              <a:lnTo>
                                <a:pt x="0" y="146050"/>
                              </a:lnTo>
                              <a:lnTo>
                                <a:pt x="209550" y="133350"/>
                              </a:lnTo>
                              <a:lnTo>
                                <a:pt x="196850" y="50800"/>
                              </a:lnTo>
                              <a:lnTo>
                                <a:pt x="19050" y="0"/>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5.75pt;margin-top:264.75pt;height:11.5pt;width:16.5pt;z-index:251675648;mso-width-relative:page;mso-height-relative:page;" filled="f" stroked="t" coordsize="209550,146050" o:gfxdata="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w2Nn2tcAAAALAQAADwAAAAAAAAABACAAAAAiAAAAZHJzL2Rvd25y&#10;ZXYueG1sUEsBAhQAFAAAAAgAh07iQEiG3DIcAwAASAgAAA4AAAAAAAAAAQAgAAAAJgEAAGRycy9l&#10;Mm9Eb2MueG1sUEsFBgAAAAAGAAYAWQEAALQGAAAAAA==&#10;" path="m19050,0l0,146050,209550,133350,196850,50800,19050,0xe">
                <v:path o:connectlocs="19050,0;0,146050;209550,133350;196850,50800;19050,0" o:connectangles="0,0,0,0,0"/>
                <v:fill on="f" focussize="0,0"/>
                <v:stroke weight="1pt" color="#92D050 [2404]"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4624" behindDoc="0" locked="0" layoutInCell="1" allowOverlap="1">
                <wp:simplePos x="0" y="0"/>
                <wp:positionH relativeFrom="column">
                  <wp:posOffset>3209925</wp:posOffset>
                </wp:positionH>
                <wp:positionV relativeFrom="paragraph">
                  <wp:posOffset>3171825</wp:posOffset>
                </wp:positionV>
                <wp:extent cx="482600" cy="222250"/>
                <wp:effectExtent l="6985" t="6350" r="24765" b="19050"/>
                <wp:wrapNone/>
                <wp:docPr id="31" name="任意多边形 31"/>
                <wp:cNvGraphicFramePr/>
                <a:graphic xmlns:a="http://schemas.openxmlformats.org/drawingml/2006/main">
                  <a:graphicData uri="http://schemas.microsoft.com/office/word/2010/wordprocessingShape">
                    <wps:wsp>
                      <wps:cNvSpPr/>
                      <wps:spPr>
                        <a:xfrm>
                          <a:off x="4352925" y="4086225"/>
                          <a:ext cx="482600" cy="222250"/>
                        </a:xfrm>
                        <a:custGeom>
                          <a:avLst/>
                          <a:gdLst>
                            <a:gd name="connisteX0" fmla="*/ 12700 w 482600"/>
                            <a:gd name="connsiteY0" fmla="*/ 0 h 222250"/>
                            <a:gd name="connisteX1" fmla="*/ 0 w 482600"/>
                            <a:gd name="connsiteY1" fmla="*/ 203200 h 222250"/>
                            <a:gd name="connisteX2" fmla="*/ 457200 w 482600"/>
                            <a:gd name="connsiteY2" fmla="*/ 222250 h 222250"/>
                            <a:gd name="connisteX3" fmla="*/ 482600 w 482600"/>
                            <a:gd name="connsiteY3" fmla="*/ 107950 h 222250"/>
                            <a:gd name="connisteX4" fmla="*/ 69850 w 482600"/>
                            <a:gd name="connsiteY4" fmla="*/ 0 h 222250"/>
                            <a:gd name="connisteX5" fmla="*/ 12700 w 482600"/>
                            <a:gd name="connsiteY5" fmla="*/ 0 h 222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82600" h="222250">
                              <a:moveTo>
                                <a:pt x="12700" y="0"/>
                              </a:moveTo>
                              <a:lnTo>
                                <a:pt x="0" y="203200"/>
                              </a:lnTo>
                              <a:lnTo>
                                <a:pt x="457200" y="222250"/>
                              </a:lnTo>
                              <a:lnTo>
                                <a:pt x="482600" y="107950"/>
                              </a:lnTo>
                              <a:lnTo>
                                <a:pt x="69850" y="0"/>
                              </a:lnTo>
                              <a:lnTo>
                                <a:pt x="12700" y="0"/>
                              </a:lnTo>
                              <a:close/>
                            </a:path>
                          </a:pathLst>
                        </a:cu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2.75pt;margin-top:249.75pt;height:17.5pt;width:38pt;z-index:251674624;mso-width-relative:page;mso-height-relative:page;" filled="f" stroked="t" coordsize="482600,222250" o:gfxdata="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K4NSR7ZAAAA&#10;CwEAAA8AAAAAAAAAAQAgAAAAIgAAAGRycy9kb3ducmV2LnhtbFBLAQIUABQAAAAIAIdO4kC1DwGQ&#10;OQMAAA8JAAAOAAAAAAAAAAEAIAAAACgBAABkcnMvZTJvRG9jLnhtbFBLBQYAAAAABgAGAFkBAADT&#10;BgAAAAA=&#10;" path="m12700,0l0,203200,457200,222250,482600,107950,69850,0,12700,0xe">
                <v:path o:connectlocs="12700,0;0,203200;457200,222250;482600,107950;69850,0;12700,0" o:connectangles="0,0,0,0,0,0"/>
                <v:fill on="f" focussize="0,0"/>
                <v:stroke weight="1pt" color="#92D050 [2404]" miterlimit="8" joinstyle="miter"/>
                <v:imagedata o:title=""/>
                <o:lock v:ext="edit" aspectratio="f"/>
              </v:shape>
            </w:pict>
          </mc:Fallback>
        </mc:AlternateContent>
      </w:r>
      <w:r>
        <w:rPr>
          <w:rFonts w:hint="default" w:ascii="Times New Roman" w:hAnsi="Times New Roman" w:eastAsia="宋体" w:cs="Times New Roman"/>
          <w:color w:val="auto"/>
          <w:sz w:val="28"/>
          <w:highlight w:val="none"/>
        </w:rPr>
        <mc:AlternateContent>
          <mc:Choice Requires="wps">
            <w:drawing>
              <wp:anchor distT="0" distB="0" distL="114300" distR="114300" simplePos="0" relativeHeight="251671552" behindDoc="0" locked="0" layoutInCell="1" allowOverlap="1">
                <wp:simplePos x="0" y="0"/>
                <wp:positionH relativeFrom="column">
                  <wp:posOffset>3545205</wp:posOffset>
                </wp:positionH>
                <wp:positionV relativeFrom="paragraph">
                  <wp:posOffset>2733040</wp:posOffset>
                </wp:positionV>
                <wp:extent cx="916940" cy="417830"/>
                <wp:effectExtent l="0" t="0" r="0" b="0"/>
                <wp:wrapNone/>
                <wp:docPr id="28" name="矩形 28"/>
                <wp:cNvGraphicFramePr/>
                <a:graphic xmlns:a="http://schemas.openxmlformats.org/drawingml/2006/main">
                  <a:graphicData uri="http://schemas.microsoft.com/office/word/2010/wordprocessingShape">
                    <wps:wsp>
                      <wps:cNvSpPr/>
                      <wps:spPr>
                        <a:xfrm>
                          <a:off x="0" y="0"/>
                          <a:ext cx="916940" cy="41783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6140AC6">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15pt;margin-top:215.2pt;height:32.9pt;width:72.2pt;z-index:251671552;v-text-anchor:middle;mso-width-relative:page;mso-height-relative:page;" filled="f" stroked="f" coordsize="21600,21600" o:gfxdata="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qBuHx2QAAAAsBAAAPAAAAAAAAAAEAIAAAACIAAABkcnMvZG93bnJldi54bWxQSwECFAAUAAAA&#10;CACHTuJAPLUsk18CAACuBAAADgAAAAAAAAABACAAAAAoAQAAZHJzL2Uyb0RvYy54bWxQSwUGAAAA&#10;AAYABgBZAQAA+QUAAAAA&#10;">
                <v:fill on="f" focussize="0,0"/>
                <v:stroke on="f" weight="1pt" miterlimit="8" joinstyle="miter"/>
                <v:imagedata o:title=""/>
                <o:lock v:ext="edit" aspectratio="f"/>
                <v:textbox>
                  <w:txbxContent>
                    <w:p w14:paraId="46140AC6">
                      <w:pPr>
                        <w:jc w:val="center"/>
                        <w:rPr>
                          <w:rFonts w:hint="default" w:eastAsiaTheme="minorEastAsia"/>
                          <w:b/>
                          <w:bCs/>
                          <w:color w:val="FFFF00"/>
                          <w:sz w:val="24"/>
                          <w:szCs w:val="32"/>
                          <w:lang w:val="en-US" w:eastAsia="zh-CN"/>
                        </w:rPr>
                      </w:pPr>
                      <w:r>
                        <w:rPr>
                          <w:rFonts w:hint="eastAsia"/>
                          <w:b/>
                          <w:bCs/>
                          <w:color w:val="FFFF00"/>
                          <w:sz w:val="24"/>
                          <w:szCs w:val="32"/>
                          <w:lang w:val="en-US" w:eastAsia="zh-CN"/>
                        </w:rPr>
                        <w:t>本项目</w:t>
                      </w:r>
                    </w:p>
                  </w:txbxContent>
                </v:textbox>
              </v:rect>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3600" behindDoc="0" locked="0" layoutInCell="1" allowOverlap="1">
                <wp:simplePos x="0" y="0"/>
                <wp:positionH relativeFrom="column">
                  <wp:posOffset>3756025</wp:posOffset>
                </wp:positionH>
                <wp:positionV relativeFrom="paragraph">
                  <wp:posOffset>2682875</wp:posOffset>
                </wp:positionV>
                <wp:extent cx="482600" cy="546100"/>
                <wp:effectExtent l="6985" t="6350" r="24765" b="19050"/>
                <wp:wrapNone/>
                <wp:docPr id="30" name="任意多边形 30"/>
                <wp:cNvGraphicFramePr/>
                <a:graphic xmlns:a="http://schemas.openxmlformats.org/drawingml/2006/main">
                  <a:graphicData uri="http://schemas.microsoft.com/office/word/2010/wordprocessingShape">
                    <wps:wsp>
                      <wps:cNvSpPr/>
                      <wps:spPr>
                        <a:xfrm>
                          <a:off x="4899025" y="3597275"/>
                          <a:ext cx="482600" cy="546100"/>
                        </a:xfrm>
                        <a:custGeom>
                          <a:avLst/>
                          <a:gdLst>
                            <a:gd name="connisteX0" fmla="*/ 0 w 482600"/>
                            <a:gd name="connsiteY0" fmla="*/ 6350 h 546100"/>
                            <a:gd name="connisteX1" fmla="*/ 457200 w 482600"/>
                            <a:gd name="connsiteY1" fmla="*/ 0 h 546100"/>
                            <a:gd name="connisteX2" fmla="*/ 482600 w 482600"/>
                            <a:gd name="connsiteY2" fmla="*/ 539750 h 546100"/>
                            <a:gd name="connisteX3" fmla="*/ 31750 w 482600"/>
                            <a:gd name="connsiteY3" fmla="*/ 546100 h 546100"/>
                            <a:gd name="connisteX4" fmla="*/ 0 w 482600"/>
                            <a:gd name="connsiteY4" fmla="*/ 6350 h 5461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82600" h="546100">
                              <a:moveTo>
                                <a:pt x="0" y="6350"/>
                              </a:moveTo>
                              <a:lnTo>
                                <a:pt x="457200" y="0"/>
                              </a:lnTo>
                              <a:lnTo>
                                <a:pt x="482600" y="539750"/>
                              </a:lnTo>
                              <a:lnTo>
                                <a:pt x="31750" y="546100"/>
                              </a:lnTo>
                              <a:lnTo>
                                <a:pt x="0" y="635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5.75pt;margin-top:211.25pt;height:43pt;width:38pt;z-index:251673600;mso-width-relative:page;mso-height-relative:page;" filled="f" stroked="t" coordsize="482600,546100" o:gfxdata="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C9r1mdoAAAALAQAADwAAAAAAAAABACAAAAAiAAAAZHJzL2Rv&#10;d25yZXYueG1sUEsBAhQAFAAAAAgAh07iQLxXBEocAwAARAgAAA4AAAAAAAAAAQAgAAAAKQEAAGRy&#10;cy9lMm9Eb2MueG1sUEsFBgAAAAAGAAYAWQEAALcGAAAAAA==&#10;" path="m0,6350l457200,0,482600,539750,31750,546100,0,6350xe">
                <v:path o:connectlocs="0,6350;457200,0;482600,539750;31750,546100;0,6350" o:connectangles="0,0,0,0,0"/>
                <v:fill on="f"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sz w:val="28"/>
        </w:rPr>
        <mc:AlternateContent>
          <mc:Choice Requires="wps">
            <w:drawing>
              <wp:anchor distT="0" distB="0" distL="114300" distR="114300" simplePos="0" relativeHeight="251672576" behindDoc="0" locked="0" layoutInCell="1" allowOverlap="1">
                <wp:simplePos x="0" y="0"/>
                <wp:positionH relativeFrom="column">
                  <wp:posOffset>1889125</wp:posOffset>
                </wp:positionH>
                <wp:positionV relativeFrom="paragraph">
                  <wp:posOffset>1221740</wp:posOffset>
                </wp:positionV>
                <wp:extent cx="4304665" cy="3473450"/>
                <wp:effectExtent l="9525" t="9525" r="10160" b="22225"/>
                <wp:wrapNone/>
                <wp:docPr id="29" name="矩形 29"/>
                <wp:cNvGraphicFramePr/>
                <a:graphic xmlns:a="http://schemas.openxmlformats.org/drawingml/2006/main">
                  <a:graphicData uri="http://schemas.microsoft.com/office/word/2010/wordprocessingShape">
                    <wps:wsp>
                      <wps:cNvSpPr/>
                      <wps:spPr>
                        <a:xfrm>
                          <a:off x="3279775" y="1729740"/>
                          <a:ext cx="4304665" cy="34734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75pt;margin-top:96.2pt;height:273.5pt;width:338.95pt;z-index:251672576;v-text-anchor:middle;mso-width-relative:page;mso-height-relative:page;" filled="f" stroked="t" coordsize="21600,21600" o:gfxdata="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J4g/vXYAAAACwEAAA8AAAAAAAAAAQAgAAAAIgAA&#10;AGRycy9kb3ducmV2LnhtbFBLAQIUABQAAAAIAIdO4kCDq36yegIAANoEAAAOAAAAAAAAAAEAIAAA&#10;ACcBAABkcnMvZTJvRG9jLnhtbFBLBQYAAAAABgAGAFkBAAATBgAAAAA=&#10;">
                <v:fill on="f" focussize="0,0"/>
                <v:stroke weight="1.5pt" color="#FF0000 [2404]" miterlimit="8" joinstyle="miter"/>
                <v:imagedata o:title=""/>
                <o:lock v:ext="edit" aspectratio="f"/>
              </v:rect>
            </w:pict>
          </mc:Fallback>
        </mc:AlternateContent>
      </w:r>
      <w:r>
        <w:rPr>
          <w:rFonts w:hint="default" w:ascii="Times New Roman" w:hAnsi="Times New Roman" w:eastAsia="宋体" w:cs="Times New Roman"/>
          <w:b/>
          <w:color w:val="auto"/>
          <w:sz w:val="28"/>
          <w:szCs w:val="28"/>
          <w:highlight w:val="none"/>
          <w:lang w:val="en-US" w:eastAsia="zh-CN"/>
        </w:rPr>
        <w:drawing>
          <wp:inline distT="0" distB="0" distL="114300" distR="114300">
            <wp:extent cx="8208645" cy="5400040"/>
            <wp:effectExtent l="0" t="0" r="1905" b="10160"/>
            <wp:docPr id="27" name="图片 27" descr="屏幕截图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屏幕截图2222"/>
                    <pic:cNvPicPr>
                      <a:picLocks noChangeAspect="1"/>
                    </pic:cNvPicPr>
                  </pic:nvPicPr>
                  <pic:blipFill>
                    <a:blip r:embed="rId37"/>
                    <a:stretch>
                      <a:fillRect/>
                    </a:stretch>
                  </pic:blipFill>
                  <pic:spPr>
                    <a:xfrm>
                      <a:off x="0" y="0"/>
                      <a:ext cx="8208645" cy="5400040"/>
                    </a:xfrm>
                    <a:prstGeom prst="rect">
                      <a:avLst/>
                    </a:prstGeom>
                  </pic:spPr>
                </pic:pic>
              </a:graphicData>
            </a:graphic>
          </wp:inline>
        </w:drawing>
      </w:r>
    </w:p>
    <w:p w14:paraId="7A5B2FF9">
      <w:pPr>
        <w:pStyle w:val="57"/>
        <w:spacing w:line="240" w:lineRule="auto"/>
        <w:ind w:left="0" w:leftChars="0" w:firstLine="0" w:firstLineChars="0"/>
        <w:jc w:val="center"/>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highlight w:val="none"/>
          <w:lang w:val="en-US" w:eastAsia="zh-CN"/>
        </w:rPr>
        <w:t>图4   项目环境敏感点分布图</w:t>
      </w:r>
    </w:p>
    <w:sectPr>
      <w:pgSz w:w="16838" w:h="11906" w:orient="landscape"/>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359BE0">
    <w:pPr>
      <w:pStyle w:val="1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6D200D">
                          <w:pPr>
                            <w:pStyle w:val="19"/>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6F6D200D">
                    <w:pPr>
                      <w:pStyle w:val="19"/>
                    </w:pPr>
                    <w:r>
                      <w:rPr>
                        <w:rFonts w:hint="eastAsia"/>
                      </w:rPr>
                      <w:fldChar w:fldCharType="begin"/>
                    </w:r>
                    <w:r>
                      <w:rPr>
                        <w:rFonts w:hint="eastAsia"/>
                      </w:rPr>
                      <w:instrText xml:space="preserve"> PAGE  \* MERGEFORMAT </w:instrText>
                    </w:r>
                    <w:r>
                      <w:rPr>
                        <w:rFonts w:hint="eastAsia"/>
                      </w:rPr>
                      <w:fldChar w:fldCharType="separate"/>
                    </w:r>
                    <w:r>
                      <w:rPr>
                        <w:rFonts w:hint="eastAsia"/>
                      </w:rPr>
                      <w:t>2</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22BCDC"/>
    <w:multiLevelType w:val="singleLevel"/>
    <w:tmpl w:val="B622BCDC"/>
    <w:lvl w:ilvl="0" w:tentative="0">
      <w:start w:val="1"/>
      <w:numFmt w:val="bullet"/>
      <w:pStyle w:val="16"/>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VjNjYwNGQ3MTliNDEwYzU2MWE0OTlkMTI1Y2Q1MTQifQ=="/>
  </w:docVars>
  <w:rsids>
    <w:rsidRoot w:val="284D1310"/>
    <w:rsid w:val="00184C01"/>
    <w:rsid w:val="001F7688"/>
    <w:rsid w:val="00D8736A"/>
    <w:rsid w:val="00EA5F4F"/>
    <w:rsid w:val="00FC17AC"/>
    <w:rsid w:val="01192C1F"/>
    <w:rsid w:val="01296BD5"/>
    <w:rsid w:val="012C2953"/>
    <w:rsid w:val="01852063"/>
    <w:rsid w:val="01DA0591"/>
    <w:rsid w:val="02903F44"/>
    <w:rsid w:val="02B726F0"/>
    <w:rsid w:val="036F1306"/>
    <w:rsid w:val="03DA612B"/>
    <w:rsid w:val="040A1E70"/>
    <w:rsid w:val="04376748"/>
    <w:rsid w:val="046A6C0D"/>
    <w:rsid w:val="04904FA7"/>
    <w:rsid w:val="04FE421E"/>
    <w:rsid w:val="051F569F"/>
    <w:rsid w:val="05C1256C"/>
    <w:rsid w:val="05D830A9"/>
    <w:rsid w:val="06094E43"/>
    <w:rsid w:val="061F5BE8"/>
    <w:rsid w:val="065328A1"/>
    <w:rsid w:val="06CE1FBD"/>
    <w:rsid w:val="06E533D3"/>
    <w:rsid w:val="077E37DC"/>
    <w:rsid w:val="08017CA2"/>
    <w:rsid w:val="086A5818"/>
    <w:rsid w:val="087846CF"/>
    <w:rsid w:val="08DB6A0C"/>
    <w:rsid w:val="09762B9E"/>
    <w:rsid w:val="09A03EDE"/>
    <w:rsid w:val="09AB2883"/>
    <w:rsid w:val="09B05932"/>
    <w:rsid w:val="09DE67B4"/>
    <w:rsid w:val="0B5302BE"/>
    <w:rsid w:val="0B6B22C9"/>
    <w:rsid w:val="0BE62553"/>
    <w:rsid w:val="0C237E7C"/>
    <w:rsid w:val="0CB605C6"/>
    <w:rsid w:val="0D2B062A"/>
    <w:rsid w:val="0D31309F"/>
    <w:rsid w:val="0DD6083A"/>
    <w:rsid w:val="0E0E73FF"/>
    <w:rsid w:val="0E73575E"/>
    <w:rsid w:val="0E8D07A9"/>
    <w:rsid w:val="0E941711"/>
    <w:rsid w:val="0E9D5AAA"/>
    <w:rsid w:val="0EB67FCB"/>
    <w:rsid w:val="0EF73DED"/>
    <w:rsid w:val="0EF820C6"/>
    <w:rsid w:val="0F0C28F0"/>
    <w:rsid w:val="0F4124B9"/>
    <w:rsid w:val="10172A20"/>
    <w:rsid w:val="104A7DA0"/>
    <w:rsid w:val="10501EC1"/>
    <w:rsid w:val="106A2B50"/>
    <w:rsid w:val="110C00AB"/>
    <w:rsid w:val="11113119"/>
    <w:rsid w:val="11252F1A"/>
    <w:rsid w:val="11363D55"/>
    <w:rsid w:val="11AD137B"/>
    <w:rsid w:val="11C64B71"/>
    <w:rsid w:val="11C72224"/>
    <w:rsid w:val="12062D4C"/>
    <w:rsid w:val="12402AA6"/>
    <w:rsid w:val="127759F8"/>
    <w:rsid w:val="12E65467"/>
    <w:rsid w:val="12FB16BB"/>
    <w:rsid w:val="141D2AEE"/>
    <w:rsid w:val="15372586"/>
    <w:rsid w:val="15F2778F"/>
    <w:rsid w:val="16EF75DF"/>
    <w:rsid w:val="172D6932"/>
    <w:rsid w:val="17300D2C"/>
    <w:rsid w:val="17F17FFA"/>
    <w:rsid w:val="180C3609"/>
    <w:rsid w:val="1881084C"/>
    <w:rsid w:val="191920E1"/>
    <w:rsid w:val="192F2B88"/>
    <w:rsid w:val="199A06B0"/>
    <w:rsid w:val="19C5529B"/>
    <w:rsid w:val="1AD674A3"/>
    <w:rsid w:val="1B3F70AF"/>
    <w:rsid w:val="1B684725"/>
    <w:rsid w:val="1B716621"/>
    <w:rsid w:val="1C6A2129"/>
    <w:rsid w:val="1CB03FE0"/>
    <w:rsid w:val="1D7C0218"/>
    <w:rsid w:val="1E385649"/>
    <w:rsid w:val="1E7004A2"/>
    <w:rsid w:val="20DD3944"/>
    <w:rsid w:val="21813B31"/>
    <w:rsid w:val="22234EB5"/>
    <w:rsid w:val="22573150"/>
    <w:rsid w:val="22596AB0"/>
    <w:rsid w:val="22C5455D"/>
    <w:rsid w:val="22DB78DD"/>
    <w:rsid w:val="2308058E"/>
    <w:rsid w:val="236D661A"/>
    <w:rsid w:val="239B43CF"/>
    <w:rsid w:val="23D45D14"/>
    <w:rsid w:val="23E91C0E"/>
    <w:rsid w:val="24033E33"/>
    <w:rsid w:val="24A24B56"/>
    <w:rsid w:val="24DB5439"/>
    <w:rsid w:val="252F3F10"/>
    <w:rsid w:val="25643EB9"/>
    <w:rsid w:val="25D0734D"/>
    <w:rsid w:val="25DF76E4"/>
    <w:rsid w:val="262B0321"/>
    <w:rsid w:val="26F65630"/>
    <w:rsid w:val="27B06DE9"/>
    <w:rsid w:val="282D3AB1"/>
    <w:rsid w:val="284D1310"/>
    <w:rsid w:val="28FE2525"/>
    <w:rsid w:val="2932630A"/>
    <w:rsid w:val="295A68BC"/>
    <w:rsid w:val="2A16744D"/>
    <w:rsid w:val="2A33266B"/>
    <w:rsid w:val="2A630400"/>
    <w:rsid w:val="2B6C14D0"/>
    <w:rsid w:val="2B6F5066"/>
    <w:rsid w:val="2B861AF6"/>
    <w:rsid w:val="2B983DFD"/>
    <w:rsid w:val="2C3A5F72"/>
    <w:rsid w:val="2C8928FE"/>
    <w:rsid w:val="2CA96AC9"/>
    <w:rsid w:val="2CC633AC"/>
    <w:rsid w:val="2CCC0E0B"/>
    <w:rsid w:val="2D17387B"/>
    <w:rsid w:val="2D6A0E13"/>
    <w:rsid w:val="2DF42758"/>
    <w:rsid w:val="2E76670C"/>
    <w:rsid w:val="2E943E6F"/>
    <w:rsid w:val="2F792957"/>
    <w:rsid w:val="2FCA31B3"/>
    <w:rsid w:val="303E0A3F"/>
    <w:rsid w:val="304C38EA"/>
    <w:rsid w:val="30B33C47"/>
    <w:rsid w:val="30BA40EC"/>
    <w:rsid w:val="30D4749C"/>
    <w:rsid w:val="310877AF"/>
    <w:rsid w:val="31171FB0"/>
    <w:rsid w:val="32277A61"/>
    <w:rsid w:val="323658D2"/>
    <w:rsid w:val="33B026C0"/>
    <w:rsid w:val="33DD51C6"/>
    <w:rsid w:val="33F7120E"/>
    <w:rsid w:val="3434509F"/>
    <w:rsid w:val="34390907"/>
    <w:rsid w:val="34850AF6"/>
    <w:rsid w:val="34BB131C"/>
    <w:rsid w:val="354E4778"/>
    <w:rsid w:val="361B02C4"/>
    <w:rsid w:val="36B9754D"/>
    <w:rsid w:val="36E37BB0"/>
    <w:rsid w:val="37600E2C"/>
    <w:rsid w:val="390019F4"/>
    <w:rsid w:val="392B4CF9"/>
    <w:rsid w:val="39917CA4"/>
    <w:rsid w:val="399727FE"/>
    <w:rsid w:val="3A386080"/>
    <w:rsid w:val="3A5C4A75"/>
    <w:rsid w:val="3AD5601F"/>
    <w:rsid w:val="3B9F5DB6"/>
    <w:rsid w:val="3C4E1B39"/>
    <w:rsid w:val="3C530288"/>
    <w:rsid w:val="3C773880"/>
    <w:rsid w:val="3CCD7E3F"/>
    <w:rsid w:val="3D4F2F4A"/>
    <w:rsid w:val="3D7418CA"/>
    <w:rsid w:val="3DE773C5"/>
    <w:rsid w:val="3E007619"/>
    <w:rsid w:val="3E011945"/>
    <w:rsid w:val="3E605A2C"/>
    <w:rsid w:val="3F342BD5"/>
    <w:rsid w:val="3F5465F5"/>
    <w:rsid w:val="3F5E6431"/>
    <w:rsid w:val="3F672A80"/>
    <w:rsid w:val="3FC6597F"/>
    <w:rsid w:val="3FED4F8C"/>
    <w:rsid w:val="403A1C8F"/>
    <w:rsid w:val="406E36E7"/>
    <w:rsid w:val="4148218A"/>
    <w:rsid w:val="416C712C"/>
    <w:rsid w:val="422917AB"/>
    <w:rsid w:val="42A17DA3"/>
    <w:rsid w:val="42AF27E7"/>
    <w:rsid w:val="42EA39F0"/>
    <w:rsid w:val="430D5439"/>
    <w:rsid w:val="436332AB"/>
    <w:rsid w:val="43B6787E"/>
    <w:rsid w:val="43DA5F47"/>
    <w:rsid w:val="43F55E79"/>
    <w:rsid w:val="44384FA7"/>
    <w:rsid w:val="4487454E"/>
    <w:rsid w:val="44916D5E"/>
    <w:rsid w:val="44C03EB2"/>
    <w:rsid w:val="450D0D63"/>
    <w:rsid w:val="45321187"/>
    <w:rsid w:val="453C78D0"/>
    <w:rsid w:val="45455B74"/>
    <w:rsid w:val="456B28EB"/>
    <w:rsid w:val="459B0FFB"/>
    <w:rsid w:val="459F41F3"/>
    <w:rsid w:val="46C52BA7"/>
    <w:rsid w:val="46E63C75"/>
    <w:rsid w:val="47224D0F"/>
    <w:rsid w:val="47743CD8"/>
    <w:rsid w:val="47B32C7D"/>
    <w:rsid w:val="47C500E1"/>
    <w:rsid w:val="4814181B"/>
    <w:rsid w:val="486E0728"/>
    <w:rsid w:val="48C070FE"/>
    <w:rsid w:val="491A440C"/>
    <w:rsid w:val="491C4628"/>
    <w:rsid w:val="49263B9C"/>
    <w:rsid w:val="492D2391"/>
    <w:rsid w:val="493354CD"/>
    <w:rsid w:val="49673DA3"/>
    <w:rsid w:val="49754808"/>
    <w:rsid w:val="499E6DEB"/>
    <w:rsid w:val="4A392CF5"/>
    <w:rsid w:val="4B9D6543"/>
    <w:rsid w:val="4C227699"/>
    <w:rsid w:val="4CF3569F"/>
    <w:rsid w:val="4DCE3A17"/>
    <w:rsid w:val="4DE202A7"/>
    <w:rsid w:val="4E191136"/>
    <w:rsid w:val="4E1D6A43"/>
    <w:rsid w:val="4F8F2430"/>
    <w:rsid w:val="505056FF"/>
    <w:rsid w:val="50935F15"/>
    <w:rsid w:val="50C12E9B"/>
    <w:rsid w:val="510E045D"/>
    <w:rsid w:val="51430F4F"/>
    <w:rsid w:val="51870AAC"/>
    <w:rsid w:val="51F07579"/>
    <w:rsid w:val="51F85506"/>
    <w:rsid w:val="520B0B7A"/>
    <w:rsid w:val="52815519"/>
    <w:rsid w:val="528F19C6"/>
    <w:rsid w:val="52B9738E"/>
    <w:rsid w:val="54332825"/>
    <w:rsid w:val="549D3B49"/>
    <w:rsid w:val="551E34D6"/>
    <w:rsid w:val="55584E83"/>
    <w:rsid w:val="56036C61"/>
    <w:rsid w:val="56E94111"/>
    <w:rsid w:val="571D4D41"/>
    <w:rsid w:val="573C6992"/>
    <w:rsid w:val="576F1DC6"/>
    <w:rsid w:val="57A37EFE"/>
    <w:rsid w:val="58093FC9"/>
    <w:rsid w:val="58AA30B2"/>
    <w:rsid w:val="58E07AC9"/>
    <w:rsid w:val="59F9427F"/>
    <w:rsid w:val="5A4922E2"/>
    <w:rsid w:val="5A8C637B"/>
    <w:rsid w:val="5AB84915"/>
    <w:rsid w:val="5B782158"/>
    <w:rsid w:val="5C425CFC"/>
    <w:rsid w:val="5CD728E8"/>
    <w:rsid w:val="5D5D01A2"/>
    <w:rsid w:val="5D5F468B"/>
    <w:rsid w:val="5DA56542"/>
    <w:rsid w:val="5DB0203D"/>
    <w:rsid w:val="5E9C5FCB"/>
    <w:rsid w:val="5EC76A9E"/>
    <w:rsid w:val="5F794F14"/>
    <w:rsid w:val="5F7E05AF"/>
    <w:rsid w:val="5FC541F5"/>
    <w:rsid w:val="60B60A66"/>
    <w:rsid w:val="617802F1"/>
    <w:rsid w:val="61BA27D8"/>
    <w:rsid w:val="626111FF"/>
    <w:rsid w:val="62C2288E"/>
    <w:rsid w:val="63100CF8"/>
    <w:rsid w:val="63EA2E0D"/>
    <w:rsid w:val="64346872"/>
    <w:rsid w:val="64CF0348"/>
    <w:rsid w:val="65B36413"/>
    <w:rsid w:val="65D87F55"/>
    <w:rsid w:val="65DB10C8"/>
    <w:rsid w:val="664E36E7"/>
    <w:rsid w:val="66B141AA"/>
    <w:rsid w:val="66EC3C8D"/>
    <w:rsid w:val="6708431F"/>
    <w:rsid w:val="674B64F5"/>
    <w:rsid w:val="67B764A3"/>
    <w:rsid w:val="695952FF"/>
    <w:rsid w:val="696A5A5D"/>
    <w:rsid w:val="69972F20"/>
    <w:rsid w:val="69976A0D"/>
    <w:rsid w:val="69EC54F9"/>
    <w:rsid w:val="6A195677"/>
    <w:rsid w:val="6AA44321"/>
    <w:rsid w:val="6AEB57B0"/>
    <w:rsid w:val="6B94398F"/>
    <w:rsid w:val="6BC17635"/>
    <w:rsid w:val="6CF536F4"/>
    <w:rsid w:val="6CFA6536"/>
    <w:rsid w:val="6CFC3CA5"/>
    <w:rsid w:val="6CFF12E9"/>
    <w:rsid w:val="6DA71E62"/>
    <w:rsid w:val="6DBE0ED5"/>
    <w:rsid w:val="6DE54739"/>
    <w:rsid w:val="6DF64B98"/>
    <w:rsid w:val="6EAB35E0"/>
    <w:rsid w:val="6F1D510C"/>
    <w:rsid w:val="6F7A00FD"/>
    <w:rsid w:val="6F941954"/>
    <w:rsid w:val="6FEF189F"/>
    <w:rsid w:val="6FF46EB5"/>
    <w:rsid w:val="7039292C"/>
    <w:rsid w:val="703B0F88"/>
    <w:rsid w:val="70891CF3"/>
    <w:rsid w:val="709F6796"/>
    <w:rsid w:val="70DC0075"/>
    <w:rsid w:val="71125910"/>
    <w:rsid w:val="71324D55"/>
    <w:rsid w:val="718755B0"/>
    <w:rsid w:val="71AA2BF5"/>
    <w:rsid w:val="726522EC"/>
    <w:rsid w:val="72BD1C27"/>
    <w:rsid w:val="73136367"/>
    <w:rsid w:val="73235C24"/>
    <w:rsid w:val="734B7A08"/>
    <w:rsid w:val="73AE39A4"/>
    <w:rsid w:val="73DB6D72"/>
    <w:rsid w:val="74CC6893"/>
    <w:rsid w:val="74D60E55"/>
    <w:rsid w:val="75FA2D4B"/>
    <w:rsid w:val="761621DC"/>
    <w:rsid w:val="764741E2"/>
    <w:rsid w:val="76607052"/>
    <w:rsid w:val="76615434"/>
    <w:rsid w:val="76870B42"/>
    <w:rsid w:val="76A1772F"/>
    <w:rsid w:val="76D65566"/>
    <w:rsid w:val="771B4EE0"/>
    <w:rsid w:val="773D1DB6"/>
    <w:rsid w:val="778957CD"/>
    <w:rsid w:val="782D11B6"/>
    <w:rsid w:val="7863563F"/>
    <w:rsid w:val="78883A5D"/>
    <w:rsid w:val="78941235"/>
    <w:rsid w:val="789F082B"/>
    <w:rsid w:val="7960764B"/>
    <w:rsid w:val="7984574E"/>
    <w:rsid w:val="79B64624"/>
    <w:rsid w:val="7A195E96"/>
    <w:rsid w:val="7A491A8D"/>
    <w:rsid w:val="7A520473"/>
    <w:rsid w:val="7A5C3FD5"/>
    <w:rsid w:val="7ABA2BAB"/>
    <w:rsid w:val="7AFE1AB8"/>
    <w:rsid w:val="7B05466C"/>
    <w:rsid w:val="7B454A69"/>
    <w:rsid w:val="7B4E0D71"/>
    <w:rsid w:val="7BFA1097"/>
    <w:rsid w:val="7C6B4E03"/>
    <w:rsid w:val="7CBA5BCB"/>
    <w:rsid w:val="7CC55E61"/>
    <w:rsid w:val="7CC961D3"/>
    <w:rsid w:val="7D217FE3"/>
    <w:rsid w:val="7D763D3C"/>
    <w:rsid w:val="7DCC321F"/>
    <w:rsid w:val="7E617E0B"/>
    <w:rsid w:val="7E634E80"/>
    <w:rsid w:val="7EED793A"/>
    <w:rsid w:val="7EF56F10"/>
    <w:rsid w:val="7EF90044"/>
    <w:rsid w:val="7F7D0C75"/>
    <w:rsid w:val="7FC248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outlineLvl w:val="0"/>
    </w:pPr>
    <w:rPr>
      <w:rFonts w:eastAsia="黑体"/>
      <w:b/>
      <w:bCs/>
      <w:kern w:val="44"/>
      <w:sz w:val="30"/>
      <w:szCs w:val="44"/>
    </w:rPr>
  </w:style>
  <w:style w:type="paragraph" w:styleId="3">
    <w:name w:val="heading 2"/>
    <w:basedOn w:val="1"/>
    <w:next w:val="1"/>
    <w:qFormat/>
    <w:uiPriority w:val="0"/>
    <w:pPr>
      <w:keepNext/>
      <w:keepLines/>
      <w:spacing w:before="260" w:after="260" w:line="416" w:lineRule="auto"/>
      <w:outlineLvl w:val="1"/>
    </w:pPr>
    <w:rPr>
      <w:rFonts w:ascii="Cambria" w:hAnsi="Cambria" w:eastAsia="宋体" w:cs="Times New Roman"/>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paragraph" w:styleId="5">
    <w:name w:val="heading 5"/>
    <w:basedOn w:val="1"/>
    <w:next w:val="1"/>
    <w:unhideWhenUsed/>
    <w:qFormat/>
    <w:uiPriority w:val="0"/>
    <w:pPr>
      <w:keepNext/>
      <w:keepLines/>
      <w:ind w:firstLine="0" w:firstLineChars="0"/>
      <w:jc w:val="center"/>
      <w:outlineLvl w:val="4"/>
    </w:pPr>
    <w:rPr>
      <w:b/>
      <w:bCs/>
      <w:szCs w:val="28"/>
    </w:rPr>
  </w:style>
  <w:style w:type="paragraph" w:styleId="6">
    <w:name w:val="heading 6"/>
    <w:basedOn w:val="1"/>
    <w:next w:val="1"/>
    <w:qFormat/>
    <w:uiPriority w:val="0"/>
    <w:pPr>
      <w:keepNext/>
      <w:keepLines/>
      <w:spacing w:before="240" w:after="64" w:line="320" w:lineRule="auto"/>
      <w:ind w:left="1152" w:hanging="432"/>
      <w:outlineLvl w:val="5"/>
    </w:pPr>
    <w:rPr>
      <w:rFonts w:ascii="Cambria" w:hAnsi="Cambria" w:eastAsia="宋体" w:cs="Times New Roman"/>
      <w:b/>
      <w:bCs/>
      <w:kern w:val="0"/>
      <w:sz w:val="24"/>
      <w:szCs w:val="24"/>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8"/>
    <w:qFormat/>
    <w:uiPriority w:val="0"/>
    <w:pPr>
      <w:ind w:firstLine="420" w:firstLineChars="200"/>
    </w:pPr>
  </w:style>
  <w:style w:type="paragraph" w:styleId="8">
    <w:name w:val="Body Text First Indent 2"/>
    <w:basedOn w:val="9"/>
    <w:next w:val="1"/>
    <w:qFormat/>
    <w:uiPriority w:val="0"/>
    <w:pPr>
      <w:widowControl w:val="0"/>
      <w:spacing w:after="120" w:afterLines="0"/>
      <w:ind w:left="420" w:firstLine="420" w:firstLineChars="200"/>
      <w:jc w:val="both"/>
    </w:pPr>
    <w:rPr>
      <w:rFonts w:ascii="Times New Roman" w:hAnsi="Times New Roman"/>
      <w:kern w:val="2"/>
      <w:sz w:val="21"/>
      <w:szCs w:val="20"/>
      <w:lang w:eastAsia="zh-CN" w:bidi="ar-SA"/>
    </w:rPr>
  </w:style>
  <w:style w:type="paragraph" w:styleId="9">
    <w:name w:val="Body Text Indent"/>
    <w:basedOn w:val="1"/>
    <w:next w:val="1"/>
    <w:qFormat/>
    <w:uiPriority w:val="0"/>
    <w:pPr>
      <w:widowControl/>
      <w:spacing w:after="312" w:afterLines="100"/>
      <w:ind w:left="200" w:leftChars="200"/>
      <w:jc w:val="left"/>
    </w:pPr>
    <w:rPr>
      <w:rFonts w:ascii="Calibri" w:hAnsi="Calibri"/>
      <w:kern w:val="0"/>
      <w:sz w:val="24"/>
      <w:szCs w:val="22"/>
      <w:lang w:eastAsia="en-US" w:bidi="en-US"/>
    </w:rPr>
  </w:style>
  <w:style w:type="paragraph" w:styleId="10">
    <w:name w:val="caption"/>
    <w:basedOn w:val="1"/>
    <w:next w:val="1"/>
    <w:qFormat/>
    <w:uiPriority w:val="0"/>
    <w:pPr>
      <w:spacing w:beforeLines="50" w:line="360" w:lineRule="auto"/>
      <w:jc w:val="center"/>
    </w:pPr>
    <w:rPr>
      <w:rFonts w:cs="Arial"/>
      <w:b/>
      <w:szCs w:val="20"/>
    </w:rPr>
  </w:style>
  <w:style w:type="paragraph" w:styleId="11">
    <w:name w:val="toa heading"/>
    <w:basedOn w:val="1"/>
    <w:next w:val="12"/>
    <w:qFormat/>
    <w:uiPriority w:val="0"/>
    <w:pPr>
      <w:spacing w:before="120" w:beforeLines="0" w:beforeAutospacing="0"/>
    </w:pPr>
    <w:rPr>
      <w:rFonts w:ascii="Arial" w:hAnsi="Arial"/>
      <w:sz w:val="24"/>
    </w:rPr>
  </w:style>
  <w:style w:type="paragraph" w:styleId="12">
    <w:name w:val="Body Text First Indent"/>
    <w:basedOn w:val="13"/>
    <w:next w:val="1"/>
    <w:qFormat/>
    <w:uiPriority w:val="0"/>
    <w:pPr>
      <w:spacing w:after="120"/>
      <w:ind w:firstLine="420" w:firstLineChars="100"/>
      <w:jc w:val="both"/>
    </w:pPr>
    <w:rPr>
      <w:sz w:val="21"/>
    </w:rPr>
  </w:style>
  <w:style w:type="paragraph" w:styleId="13">
    <w:name w:val="Body Text"/>
    <w:basedOn w:val="1"/>
    <w:qFormat/>
    <w:uiPriority w:val="0"/>
    <w:pPr>
      <w:jc w:val="left"/>
    </w:pPr>
    <w:rPr>
      <w:sz w:val="24"/>
    </w:rPr>
  </w:style>
  <w:style w:type="paragraph" w:styleId="14">
    <w:name w:val="annotation text"/>
    <w:basedOn w:val="1"/>
    <w:qFormat/>
    <w:uiPriority w:val="0"/>
    <w:pPr>
      <w:jc w:val="left"/>
    </w:pPr>
  </w:style>
  <w:style w:type="paragraph" w:styleId="15">
    <w:name w:val="Plain Text"/>
    <w:basedOn w:val="1"/>
    <w:qFormat/>
    <w:uiPriority w:val="0"/>
    <w:rPr>
      <w:rFonts w:ascii="宋体" w:hAnsi="Courier New"/>
    </w:rPr>
  </w:style>
  <w:style w:type="paragraph" w:styleId="16">
    <w:name w:val="List Bullet 5"/>
    <w:basedOn w:val="1"/>
    <w:qFormat/>
    <w:uiPriority w:val="0"/>
    <w:pPr>
      <w:numPr>
        <w:ilvl w:val="0"/>
        <w:numId w:val="1"/>
      </w:numPr>
    </w:pPr>
  </w:style>
  <w:style w:type="paragraph" w:styleId="17">
    <w:name w:val="Body Text Indent 2"/>
    <w:basedOn w:val="1"/>
    <w:qFormat/>
    <w:uiPriority w:val="0"/>
    <w:pPr>
      <w:spacing w:line="540" w:lineRule="exact"/>
      <w:ind w:firstLine="480" w:firstLineChars="200"/>
    </w:pPr>
    <w:rPr>
      <w:sz w:val="24"/>
    </w:rPr>
  </w:style>
  <w:style w:type="paragraph" w:styleId="18">
    <w:name w:val="endnote text"/>
    <w:basedOn w:val="1"/>
    <w:qFormat/>
    <w:uiPriority w:val="0"/>
    <w:pPr>
      <w:snapToGrid w:val="0"/>
      <w:jc w:val="left"/>
    </w:pPr>
  </w:style>
  <w:style w:type="paragraph" w:styleId="19">
    <w:name w:val="footer"/>
    <w:basedOn w:val="1"/>
    <w:link w:val="43"/>
    <w:qFormat/>
    <w:uiPriority w:val="0"/>
    <w:pPr>
      <w:tabs>
        <w:tab w:val="center" w:pos="4153"/>
        <w:tab w:val="right" w:pos="8306"/>
      </w:tabs>
      <w:snapToGrid w:val="0"/>
      <w:jc w:val="left"/>
    </w:pPr>
    <w:rPr>
      <w:sz w:val="18"/>
    </w:rPr>
  </w:style>
  <w:style w:type="paragraph" w:styleId="2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1">
    <w:name w:val="List"/>
    <w:basedOn w:val="1"/>
    <w:qFormat/>
    <w:uiPriority w:val="0"/>
    <w:pPr>
      <w:jc w:val="center"/>
    </w:pPr>
    <w:rPr>
      <w:rFonts w:ascii="宋体" w:hAnsi="宋体"/>
      <w:spacing w:val="8"/>
    </w:rPr>
  </w:style>
  <w:style w:type="paragraph" w:styleId="22">
    <w:name w:val="Body Text Indent 3"/>
    <w:basedOn w:val="1"/>
    <w:qFormat/>
    <w:uiPriority w:val="0"/>
    <w:pPr>
      <w:spacing w:line="360" w:lineRule="auto"/>
      <w:ind w:firstLine="480" w:firstLineChars="200"/>
      <w:jc w:val="left"/>
    </w:pPr>
    <w:rPr>
      <w:rFonts w:ascii="宋体"/>
      <w:sz w:val="24"/>
    </w:rPr>
  </w:style>
  <w:style w:type="paragraph" w:styleId="23">
    <w:name w:val="toc 2"/>
    <w:basedOn w:val="1"/>
    <w:next w:val="1"/>
    <w:semiHidden/>
    <w:qFormat/>
    <w:uiPriority w:val="0"/>
    <w:pPr>
      <w:ind w:left="420" w:leftChars="200"/>
    </w:pPr>
  </w:style>
  <w:style w:type="paragraph" w:styleId="24">
    <w:name w:val="Normal (Web)"/>
    <w:basedOn w:val="1"/>
    <w:qFormat/>
    <w:uiPriority w:val="0"/>
    <w:pPr>
      <w:spacing w:before="0" w:beforeAutospacing="1" w:after="0" w:afterAutospacing="1"/>
      <w:ind w:left="0" w:right="0"/>
      <w:jc w:val="left"/>
    </w:pPr>
    <w:rPr>
      <w:kern w:val="0"/>
      <w:sz w:val="24"/>
      <w:lang w:val="en-US" w:eastAsia="zh-CN" w:bidi="ar"/>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annotation reference"/>
    <w:basedOn w:val="27"/>
    <w:qFormat/>
    <w:uiPriority w:val="0"/>
    <w:rPr>
      <w:sz w:val="21"/>
      <w:szCs w:val="21"/>
    </w:rPr>
  </w:style>
  <w:style w:type="paragraph" w:customStyle="1" w:styleId="29">
    <w:name w:val="[1]正文"/>
    <w:basedOn w:val="1"/>
    <w:qFormat/>
    <w:uiPriority w:val="0"/>
    <w:pPr>
      <w:widowControl/>
      <w:snapToGrid w:val="0"/>
      <w:spacing w:line="360" w:lineRule="auto"/>
      <w:ind w:firstLine="200" w:firstLineChars="200"/>
      <w:jc w:val="left"/>
    </w:pPr>
    <w:rPr>
      <w:rFonts w:ascii="Calibri" w:hAnsi="Calibri"/>
      <w:kern w:val="0"/>
      <w:sz w:val="24"/>
      <w:szCs w:val="28"/>
    </w:rPr>
  </w:style>
  <w:style w:type="paragraph" w:customStyle="1" w:styleId="30">
    <w:name w:val="表格"/>
    <w:basedOn w:val="1"/>
    <w:next w:val="1"/>
    <w:qFormat/>
    <w:uiPriority w:val="0"/>
    <w:pPr>
      <w:jc w:val="center"/>
    </w:pPr>
    <w:rPr>
      <w:rFonts w:ascii="Times New Roman" w:hAnsi="Times New Roman"/>
    </w:rPr>
  </w:style>
  <w:style w:type="character" w:customStyle="1" w:styleId="31">
    <w:name w:val="font11"/>
    <w:basedOn w:val="27"/>
    <w:qFormat/>
    <w:uiPriority w:val="0"/>
    <w:rPr>
      <w:rFonts w:hint="default" w:ascii="Times New Roman" w:hAnsi="Times New Roman" w:cs="Times New Roman"/>
      <w:color w:val="000000"/>
      <w:sz w:val="20"/>
      <w:u w:val="none"/>
    </w:rPr>
  </w:style>
  <w:style w:type="paragraph" w:customStyle="1" w:styleId="32">
    <w:name w:val="Default"/>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33">
    <w:name w:val="正文11"/>
    <w:basedOn w:val="1"/>
    <w:qFormat/>
    <w:uiPriority w:val="0"/>
    <w:pPr>
      <w:tabs>
        <w:tab w:val="left" w:pos="2093"/>
      </w:tabs>
      <w:adjustRightInd w:val="0"/>
      <w:spacing w:line="360" w:lineRule="auto"/>
      <w:ind w:firstLine="360" w:firstLineChars="150"/>
    </w:pPr>
    <w:rPr>
      <w:rFonts w:ascii="宋体" w:hAnsi="宋体"/>
      <w:sz w:val="24"/>
    </w:rPr>
  </w:style>
  <w:style w:type="paragraph" w:customStyle="1" w:styleId="34">
    <w:name w:val="Table Paragraph"/>
    <w:basedOn w:val="1"/>
    <w:qFormat/>
    <w:uiPriority w:val="1"/>
  </w:style>
  <w:style w:type="paragraph" w:customStyle="1" w:styleId="35">
    <w:name w:val="正文1"/>
    <w:basedOn w:val="19"/>
    <w:next w:val="1"/>
    <w:qFormat/>
    <w:uiPriority w:val="0"/>
    <w:pPr>
      <w:adjustRightInd w:val="0"/>
      <w:spacing w:line="420" w:lineRule="atLeast"/>
      <w:jc w:val="both"/>
      <w:textAlignment w:val="baseline"/>
    </w:pPr>
    <w:rPr>
      <w:rFonts w:ascii="宋体" w:hAnsi="Calibri" w:eastAsia="宋体" w:cs="Times New Roman"/>
      <w:sz w:val="28"/>
    </w:rPr>
  </w:style>
  <w:style w:type="paragraph" w:customStyle="1" w:styleId="36">
    <w:name w:val="正文—高"/>
    <w:basedOn w:val="1"/>
    <w:qFormat/>
    <w:uiPriority w:val="0"/>
    <w:pPr>
      <w:overflowPunct w:val="0"/>
      <w:topLinePunct/>
      <w:autoSpaceDE w:val="0"/>
      <w:autoSpaceDN w:val="0"/>
      <w:spacing w:line="480" w:lineRule="exact"/>
      <w:ind w:firstLine="480" w:firstLineChars="200"/>
    </w:pPr>
    <w:rPr>
      <w:rFonts w:ascii="Calibri" w:hAnsi="Calibri"/>
      <w:color w:val="000000"/>
      <w:kern w:val="24"/>
      <w:sz w:val="24"/>
      <w:szCs w:val="22"/>
    </w:rPr>
  </w:style>
  <w:style w:type="paragraph" w:customStyle="1" w:styleId="37">
    <w:name w:val="列表(L)"/>
    <w:basedOn w:val="21"/>
    <w:qFormat/>
    <w:uiPriority w:val="0"/>
    <w:pPr>
      <w:snapToGrid w:val="0"/>
    </w:pPr>
    <w:rPr>
      <w:rFonts w:eastAsia="仿宋_GB2312"/>
      <w:kern w:val="0"/>
      <w:sz w:val="20"/>
      <w:szCs w:val="20"/>
    </w:rPr>
  </w:style>
  <w:style w:type="paragraph" w:customStyle="1" w:styleId="38">
    <w:name w:val="表格标题w"/>
    <w:basedOn w:val="1"/>
    <w:qFormat/>
    <w:uiPriority w:val="0"/>
    <w:pPr>
      <w:keepNext/>
      <w:adjustRightInd w:val="0"/>
      <w:spacing w:line="440" w:lineRule="exact"/>
      <w:jc w:val="center"/>
    </w:pPr>
    <w:rPr>
      <w:rFonts w:cs="Arial"/>
      <w:b/>
      <w:szCs w:val="21"/>
    </w:rPr>
  </w:style>
  <w:style w:type="paragraph" w:customStyle="1" w:styleId="39">
    <w:name w:val="报告正文"/>
    <w:basedOn w:val="1"/>
    <w:qFormat/>
    <w:uiPriority w:val="0"/>
    <w:pPr>
      <w:spacing w:line="360" w:lineRule="auto"/>
      <w:ind w:firstLine="480" w:firstLineChars="200"/>
    </w:pPr>
    <w:rPr>
      <w:sz w:val="24"/>
    </w:rPr>
  </w:style>
  <w:style w:type="paragraph" w:customStyle="1" w:styleId="40">
    <w:name w:val="HP 正文"/>
    <w:basedOn w:val="1"/>
    <w:qFormat/>
    <w:uiPriority w:val="0"/>
    <w:pPr>
      <w:autoSpaceDE w:val="0"/>
      <w:autoSpaceDN w:val="0"/>
      <w:adjustRightInd w:val="0"/>
      <w:ind w:firstLine="200"/>
    </w:pPr>
  </w:style>
  <w:style w:type="paragraph" w:customStyle="1" w:styleId="41">
    <w:name w:val="ENFI表体格式"/>
    <w:basedOn w:val="1"/>
    <w:qFormat/>
    <w:uiPriority w:val="0"/>
    <w:pPr>
      <w:widowControl/>
      <w:adjustRightInd w:val="0"/>
      <w:snapToGrid w:val="0"/>
      <w:spacing w:line="240" w:lineRule="atLeast"/>
      <w:jc w:val="center"/>
    </w:pPr>
    <w:rPr>
      <w:rFonts w:eastAsia="仿宋_GB2312"/>
      <w:b/>
      <w:kern w:val="0"/>
      <w:sz w:val="24"/>
    </w:rPr>
  </w:style>
  <w:style w:type="paragraph" w:customStyle="1" w:styleId="42">
    <w:name w:val="报告表正文"/>
    <w:basedOn w:val="17"/>
    <w:next w:val="17"/>
    <w:qFormat/>
    <w:uiPriority w:val="0"/>
    <w:pPr>
      <w:spacing w:line="360" w:lineRule="auto"/>
      <w:ind w:firstLine="200"/>
    </w:pPr>
  </w:style>
  <w:style w:type="character" w:customStyle="1" w:styleId="43">
    <w:name w:val="页脚 字符"/>
    <w:basedOn w:val="27"/>
    <w:link w:val="19"/>
    <w:qFormat/>
    <w:uiPriority w:val="0"/>
    <w:rPr>
      <w:rFonts w:hint="default" w:ascii="Calibri" w:hAnsi="Calibri" w:eastAsia="宋体" w:cs="Times New Roman"/>
      <w:kern w:val="2"/>
      <w:sz w:val="18"/>
      <w:szCs w:val="18"/>
    </w:rPr>
  </w:style>
  <w:style w:type="paragraph" w:customStyle="1" w:styleId="44">
    <w:name w:val="TIE-表格内2级标题"/>
    <w:basedOn w:val="1"/>
    <w:qFormat/>
    <w:uiPriority w:val="0"/>
    <w:pPr>
      <w:wordWrap w:val="0"/>
      <w:topLinePunct/>
      <w:jc w:val="left"/>
    </w:pPr>
    <w:rPr>
      <w:rFonts w:eastAsia="Times New Roman"/>
      <w:b/>
    </w:rPr>
  </w:style>
  <w:style w:type="paragraph" w:customStyle="1" w:styleId="45">
    <w:name w:val="TIE，表头，图头"/>
    <w:basedOn w:val="1"/>
    <w:qFormat/>
    <w:uiPriority w:val="0"/>
    <w:pPr>
      <w:jc w:val="center"/>
    </w:pPr>
    <w:rPr>
      <w:rFonts w:eastAsia="Times New Roman"/>
      <w:b/>
    </w:rPr>
  </w:style>
  <w:style w:type="paragraph" w:customStyle="1" w:styleId="46">
    <w:name w:val="TIE-表格内容"/>
    <w:basedOn w:val="1"/>
    <w:qFormat/>
    <w:uiPriority w:val="0"/>
    <w:pPr>
      <w:overflowPunct w:val="0"/>
      <w:topLinePunct/>
      <w:spacing w:line="360" w:lineRule="exact"/>
      <w:jc w:val="center"/>
      <w:textAlignment w:val="center"/>
    </w:pPr>
    <w:rPr>
      <w:szCs w:val="22"/>
    </w:rPr>
  </w:style>
  <w:style w:type="character" w:customStyle="1" w:styleId="47">
    <w:name w:val="文章正文 Char Char"/>
    <w:qFormat/>
    <w:uiPriority w:val="0"/>
    <w:rPr>
      <w:kern w:val="0"/>
      <w:sz w:val="24"/>
    </w:rPr>
  </w:style>
  <w:style w:type="paragraph" w:customStyle="1" w:styleId="48">
    <w:name w:val="样式 正文缩进正文缩进2正文缩进 Char Char正文缩进 Char Char Char Char正文缩进 Char ..."/>
    <w:basedOn w:val="7"/>
    <w:qFormat/>
    <w:uiPriority w:val="0"/>
    <w:pPr>
      <w:spacing w:line="360" w:lineRule="auto"/>
      <w:ind w:firstLine="200"/>
    </w:pPr>
    <w:rPr>
      <w:rFonts w:cs="宋体"/>
      <w:sz w:val="24"/>
    </w:rPr>
  </w:style>
  <w:style w:type="paragraph" w:customStyle="1" w:styleId="49">
    <w:name w:val="正文w"/>
    <w:basedOn w:val="1"/>
    <w:qFormat/>
    <w:uiPriority w:val="0"/>
    <w:pPr>
      <w:spacing w:before="156" w:beforeLines="50" w:line="440" w:lineRule="exact"/>
      <w:ind w:firstLine="200" w:firstLineChars="200"/>
    </w:pPr>
    <w:rPr>
      <w:rFonts w:ascii="Arial" w:hAnsi="Arial"/>
      <w:sz w:val="24"/>
    </w:rPr>
  </w:style>
  <w:style w:type="paragraph" w:customStyle="1" w:styleId="50">
    <w:name w:val="正式表格"/>
    <w:basedOn w:val="1"/>
    <w:qFormat/>
    <w:uiPriority w:val="0"/>
    <w:pPr>
      <w:widowControl/>
      <w:contextualSpacing/>
      <w:jc w:val="center"/>
    </w:pPr>
    <w:rPr>
      <w:bCs/>
      <w:color w:val="000000"/>
      <w:kern w:val="0"/>
      <w:sz w:val="20"/>
      <w:szCs w:val="28"/>
    </w:rPr>
  </w:style>
  <w:style w:type="paragraph" w:customStyle="1" w:styleId="51">
    <w:name w:val="ALT+C"/>
    <w:basedOn w:val="1"/>
    <w:qFormat/>
    <w:uiPriority w:val="0"/>
    <w:pPr>
      <w:keepNext/>
      <w:spacing w:line="360" w:lineRule="auto"/>
      <w:ind w:firstLine="480" w:firstLineChars="200"/>
    </w:pPr>
    <w:rPr>
      <w:sz w:val="24"/>
    </w:rPr>
  </w:style>
  <w:style w:type="paragraph" w:customStyle="1" w:styleId="52">
    <w:name w:val="表文字xxxxxxxx"/>
    <w:basedOn w:val="1"/>
    <w:qFormat/>
    <w:uiPriority w:val="0"/>
    <w:pPr>
      <w:topLinePunct/>
      <w:adjustRightInd w:val="0"/>
      <w:spacing w:line="360" w:lineRule="exact"/>
      <w:jc w:val="center"/>
      <w:textAlignment w:val="baseline"/>
    </w:pPr>
    <w:rPr>
      <w:rFonts w:eastAsia="宋体"/>
      <w:szCs w:val="21"/>
    </w:rPr>
  </w:style>
  <w:style w:type="paragraph" w:customStyle="1" w:styleId="53">
    <w:name w:val="Body Text First Indent1"/>
    <w:basedOn w:val="13"/>
    <w:qFormat/>
    <w:uiPriority w:val="0"/>
    <w:pPr>
      <w:pBdr>
        <w:top w:val="none" w:color="auto" w:sz="0" w:space="1"/>
        <w:left w:val="none" w:color="auto" w:sz="0" w:space="4"/>
        <w:bottom w:val="none" w:color="auto" w:sz="0" w:space="1"/>
        <w:right w:val="none" w:color="auto" w:sz="0" w:space="4"/>
      </w:pBdr>
      <w:jc w:val="both"/>
    </w:pPr>
    <w:rPr>
      <w:rFonts w:ascii="Times New Roman" w:hAnsi="Times New Roman"/>
      <w:sz w:val="21"/>
    </w:rPr>
  </w:style>
  <w:style w:type="paragraph" w:customStyle="1" w:styleId="54">
    <w:name w:val="表格内容5号"/>
    <w:qFormat/>
    <w:uiPriority w:val="0"/>
    <w:pPr>
      <w:widowControl w:val="0"/>
      <w:snapToGrid w:val="0"/>
      <w:spacing w:line="240" w:lineRule="atLeast"/>
      <w:jc w:val="center"/>
    </w:pPr>
    <w:rPr>
      <w:rFonts w:ascii="Times New Roman" w:hAnsi="Times New Roman" w:eastAsia="Times New Roman" w:cs="Times New Roman"/>
      <w:kern w:val="2"/>
      <w:sz w:val="21"/>
      <w:szCs w:val="24"/>
      <w:lang w:val="en-US" w:eastAsia="zh-CN" w:bidi="ar-SA"/>
    </w:rPr>
  </w:style>
  <w:style w:type="paragraph" w:customStyle="1" w:styleId="55">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56">
    <w:name w:val="正文文字 6"/>
    <w:next w:val="1"/>
    <w:qFormat/>
    <w:uiPriority w:val="0"/>
    <w:pPr>
      <w:widowControl w:val="0"/>
      <w:ind w:left="240"/>
      <w:jc w:val="both"/>
    </w:pPr>
    <w:rPr>
      <w:rFonts w:ascii="宋体" w:hAnsi="Calibri" w:eastAsia="宋体" w:cs="Times New Roman"/>
      <w:b/>
      <w:bCs/>
      <w:kern w:val="2"/>
      <w:sz w:val="32"/>
      <w:szCs w:val="32"/>
      <w:lang w:val="en-US" w:eastAsia="zh-CN" w:bidi="ar-SA"/>
    </w:rPr>
  </w:style>
  <w:style w:type="paragraph" w:customStyle="1" w:styleId="57">
    <w:name w:val="报告表样式"/>
    <w:basedOn w:val="1"/>
    <w:qFormat/>
    <w:uiPriority w:val="0"/>
    <w:pPr>
      <w:adjustRightInd w:val="0"/>
      <w:snapToGrid w:val="0"/>
      <w:spacing w:line="360" w:lineRule="auto"/>
      <w:ind w:firstLine="200" w:firstLineChars="200"/>
    </w:pPr>
    <w:rPr>
      <w:kern w:val="0"/>
      <w:sz w:val="28"/>
      <w:szCs w:val="28"/>
    </w:rPr>
  </w:style>
  <w:style w:type="paragraph" w:customStyle="1" w:styleId="58">
    <w:name w:val="p0"/>
    <w:basedOn w:val="1"/>
    <w:qFormat/>
    <w:uiPriority w:val="0"/>
    <w:pPr>
      <w:widowControl/>
      <w:spacing w:before="100" w:beforeAutospacing="1" w:after="100" w:afterAutospacing="1"/>
      <w:jc w:val="left"/>
    </w:pPr>
    <w:rPr>
      <w:rFonts w:ascii="宋体" w:hAnsi="宋体" w:cs="宋体"/>
      <w:kern w:val="0"/>
      <w:sz w:val="24"/>
    </w:rPr>
  </w:style>
  <w:style w:type="character" w:customStyle="1" w:styleId="59">
    <w:name w:val="fontstyle01"/>
    <w:qFormat/>
    <w:uiPriority w:val="0"/>
    <w:rPr>
      <w:rFonts w:hint="eastAsia" w:ascii="宋体" w:hAnsi="宋体" w:eastAsia="宋体"/>
      <w:color w:val="000000"/>
      <w:kern w:val="2"/>
      <w:sz w:val="24"/>
      <w:szCs w:val="24"/>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0" Type="http://schemas.openxmlformats.org/officeDocument/2006/relationships/fontTable" Target="fontTable.xml"/><Relationship Id="rId4" Type="http://schemas.openxmlformats.org/officeDocument/2006/relationships/theme" Target="theme/theme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emf"/><Relationship Id="rId21" Type="http://schemas.openxmlformats.org/officeDocument/2006/relationships/image" Target="media/image13.w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12.wmf"/><Relationship Id="rId18" Type="http://schemas.openxmlformats.org/officeDocument/2006/relationships/oleObject" Target="embeddings/oleObject3.bin"/><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emf"/><Relationship Id="rId14" Type="http://schemas.openxmlformats.org/officeDocument/2006/relationships/oleObject" Target="embeddings/oleObject2.bin"/><Relationship Id="rId13" Type="http://schemas.openxmlformats.org/officeDocument/2006/relationships/image" Target="media/image8.emf"/><Relationship Id="rId12" Type="http://schemas.openxmlformats.org/officeDocument/2006/relationships/oleObject" Target="embeddings/oleObject1.bin"/><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64</Pages>
  <Words>5169</Words>
  <Characters>5415</Characters>
  <Lines>145</Lines>
  <Paragraphs>40</Paragraphs>
  <TotalTime>1</TotalTime>
  <ScaleCrop>false</ScaleCrop>
  <LinksUpToDate>false</LinksUpToDate>
  <CharactersWithSpaces>5422</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2021-03-18T01:30:00Z</dcterms:created>
  <dc:creator>旭昶</dc:creator>
  <cp:lastModifiedBy>覆水难收</cp:lastModifiedBy>
  <dcterms:modified xsi:type="dcterms:W3CDTF">2025-06-25T08:45:32Z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CE7349FCB0B344A083D2FD40737B4065_13</vt:lpwstr>
  </property>
  <property fmtid="{D5CDD505-2E9C-101B-9397-08002B2CF9AE}" pid="4" name="KSOTemplateDocerSaveRecord">
    <vt:lpwstr>eyJoZGlkIjoiMDZkMDQ3OTUwYTY5Y2Y3ZGUyNWVjMDhlMjVmMDkzYjkiLCJ1c2VySWQiOiI4Njk5NjMwNjIifQ==</vt:lpwstr>
  </property>
</Properties>
</file>