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1EC6B">
      <w:pPr>
        <w:pStyle w:val="15"/>
        <w:spacing w:line="252" w:lineRule="auto"/>
      </w:pPr>
    </w:p>
    <w:p w14:paraId="1452E5E0">
      <w:pPr>
        <w:pStyle w:val="15"/>
        <w:spacing w:line="252" w:lineRule="auto"/>
      </w:pPr>
    </w:p>
    <w:p w14:paraId="0B9E3D60">
      <w:pPr>
        <w:spacing w:before="162" w:line="218" w:lineRule="auto"/>
        <w:ind w:left="0" w:leftChars="0" w:firstLine="0" w:firstLineChars="0"/>
        <w:jc w:val="center"/>
        <w:outlineLvl w:val="0"/>
        <w:rPr>
          <w:rFonts w:ascii="宋体" w:hAnsi="宋体" w:eastAsia="宋体" w:cs="宋体"/>
          <w:sz w:val="60"/>
          <w:szCs w:val="60"/>
        </w:rPr>
      </w:pPr>
      <w:r>
        <w:rPr>
          <w:rFonts w:ascii="宋体" w:hAnsi="宋体" w:eastAsia="宋体" w:cs="宋体"/>
          <w:b/>
          <w:bCs/>
          <w:spacing w:val="2"/>
          <w:sz w:val="60"/>
          <w:szCs w:val="60"/>
        </w:rPr>
        <w:t>建设项目环境影响报告表</w:t>
      </w:r>
    </w:p>
    <w:p w14:paraId="6564D4BC">
      <w:pPr>
        <w:spacing w:before="59" w:line="219" w:lineRule="auto"/>
        <w:ind w:left="0" w:leftChars="0" w:firstLine="0" w:firstLineChars="0"/>
        <w:jc w:val="center"/>
        <w:outlineLvl w:val="0"/>
        <w:rPr>
          <w:rFonts w:ascii="宋体" w:hAnsi="宋体" w:eastAsia="宋体" w:cs="宋体"/>
          <w:sz w:val="44"/>
          <w:szCs w:val="44"/>
        </w:rPr>
      </w:pPr>
      <w:r>
        <w:rPr>
          <w:rFonts w:ascii="宋体" w:hAnsi="宋体" w:eastAsia="宋体" w:cs="宋体"/>
          <w:b/>
          <w:bCs/>
          <w:spacing w:val="4"/>
          <w:sz w:val="44"/>
          <w:szCs w:val="44"/>
        </w:rPr>
        <w:t>(污染影响类)</w:t>
      </w:r>
    </w:p>
    <w:p w14:paraId="14552CD0">
      <w:pPr>
        <w:pStyle w:val="15"/>
        <w:spacing w:line="250" w:lineRule="auto"/>
        <w:rPr>
          <w:sz w:val="28"/>
          <w:szCs w:val="28"/>
        </w:rPr>
      </w:pPr>
    </w:p>
    <w:p w14:paraId="51B61B6E">
      <w:pPr>
        <w:pStyle w:val="15"/>
        <w:spacing w:line="250" w:lineRule="auto"/>
        <w:rPr>
          <w:sz w:val="28"/>
          <w:szCs w:val="28"/>
        </w:rPr>
      </w:pPr>
    </w:p>
    <w:p w14:paraId="724CD41D">
      <w:pPr>
        <w:pStyle w:val="15"/>
        <w:spacing w:line="250" w:lineRule="auto"/>
        <w:rPr>
          <w:sz w:val="28"/>
          <w:szCs w:val="28"/>
        </w:rPr>
      </w:pPr>
    </w:p>
    <w:p w14:paraId="7DF113B1">
      <w:pPr>
        <w:pStyle w:val="15"/>
        <w:spacing w:line="250" w:lineRule="auto"/>
        <w:rPr>
          <w:sz w:val="28"/>
          <w:szCs w:val="28"/>
        </w:rPr>
      </w:pPr>
    </w:p>
    <w:p w14:paraId="7F8E0870">
      <w:pPr>
        <w:pStyle w:val="15"/>
        <w:spacing w:line="250" w:lineRule="auto"/>
        <w:rPr>
          <w:sz w:val="28"/>
          <w:szCs w:val="28"/>
        </w:rPr>
      </w:pPr>
    </w:p>
    <w:p w14:paraId="46971D43">
      <w:pPr>
        <w:pStyle w:val="15"/>
        <w:spacing w:line="250" w:lineRule="auto"/>
        <w:rPr>
          <w:sz w:val="28"/>
          <w:szCs w:val="28"/>
        </w:rPr>
      </w:pPr>
    </w:p>
    <w:p w14:paraId="5A2B6B42">
      <w:pPr>
        <w:pStyle w:val="15"/>
        <w:spacing w:line="250" w:lineRule="auto"/>
        <w:rPr>
          <w:sz w:val="28"/>
          <w:szCs w:val="28"/>
        </w:rPr>
      </w:pPr>
    </w:p>
    <w:p w14:paraId="429F825D">
      <w:pPr>
        <w:pStyle w:val="15"/>
        <w:spacing w:line="250" w:lineRule="auto"/>
        <w:rPr>
          <w:sz w:val="28"/>
          <w:szCs w:val="28"/>
        </w:rPr>
      </w:pPr>
    </w:p>
    <w:p w14:paraId="131FC9B7">
      <w:pPr>
        <w:spacing w:before="187" w:line="360" w:lineRule="auto"/>
        <w:jc w:val="both"/>
        <w:rPr>
          <w:rFonts w:hint="default" w:ascii="宋体" w:hAnsi="宋体" w:eastAsia="宋体" w:cs="宋体"/>
          <w:sz w:val="32"/>
          <w:szCs w:val="32"/>
          <w:u w:val="single"/>
          <w:lang w:val="en-US" w:eastAsia="zh-CN"/>
        </w:rPr>
      </w:pPr>
      <w:r>
        <w:rPr>
          <w:rFonts w:ascii="宋体" w:hAnsi="宋体" w:eastAsia="宋体" w:cs="宋体"/>
          <w:b/>
          <w:bCs/>
          <w:spacing w:val="-5"/>
          <w:sz w:val="32"/>
          <w:szCs w:val="32"/>
        </w:rPr>
        <w:t>项目名称：</w:t>
      </w:r>
      <w:r>
        <w:rPr>
          <w:rFonts w:hint="eastAsia" w:ascii="宋体" w:hAnsi="宋体" w:eastAsia="宋体" w:cs="宋体"/>
          <w:b/>
          <w:bCs/>
          <w:spacing w:val="-5"/>
          <w:sz w:val="32"/>
          <w:szCs w:val="32"/>
          <w:u w:val="single"/>
          <w:lang w:val="en-US" w:eastAsia="zh-CN"/>
        </w:rPr>
        <w:t>磴口县富鑫水泥制品厂水泥制品及彩钢房生产项目</w:t>
      </w:r>
    </w:p>
    <w:p w14:paraId="3C8C152D">
      <w:pPr>
        <w:spacing w:before="187" w:line="360" w:lineRule="auto"/>
        <w:jc w:val="both"/>
        <w:rPr>
          <w:rFonts w:ascii="宋体" w:hAnsi="宋体" w:eastAsia="宋体" w:cs="宋体"/>
          <w:b/>
          <w:bCs/>
          <w:spacing w:val="-5"/>
          <w:sz w:val="32"/>
          <w:szCs w:val="32"/>
        </w:rPr>
      </w:pPr>
      <w:r>
        <w:rPr>
          <w:rFonts w:ascii="宋体" w:hAnsi="宋体" w:eastAsia="宋体" w:cs="宋体"/>
          <w:b/>
          <w:bCs/>
          <w:spacing w:val="-5"/>
          <w:sz w:val="32"/>
          <w:szCs w:val="32"/>
        </w:rPr>
        <w:t xml:space="preserve">建设单位(盖章): </w:t>
      </w:r>
      <w:r>
        <w:rPr>
          <w:rFonts w:hint="eastAsia" w:ascii="宋体" w:hAnsi="宋体" w:eastAsia="宋体" w:cs="宋体"/>
          <w:b/>
          <w:bCs/>
          <w:spacing w:val="-5"/>
          <w:sz w:val="32"/>
          <w:szCs w:val="32"/>
          <w:u w:val="single"/>
          <w:lang w:val="en-US" w:eastAsia="zh-CN"/>
        </w:rPr>
        <w:t>磴口县富鑫水泥制品厂</w:t>
      </w:r>
    </w:p>
    <w:p w14:paraId="0615072F">
      <w:pPr>
        <w:spacing w:before="169" w:line="219" w:lineRule="auto"/>
        <w:jc w:val="both"/>
        <w:rPr>
          <w:rFonts w:ascii="宋体" w:hAnsi="宋体" w:eastAsia="宋体" w:cs="宋体"/>
          <w:sz w:val="32"/>
          <w:szCs w:val="32"/>
        </w:rPr>
      </w:pPr>
      <w:r>
        <w:rPr>
          <w:rFonts w:ascii="宋体" w:hAnsi="宋体" w:eastAsia="宋体" w:cs="宋体"/>
          <w:b/>
          <w:bCs/>
          <w:spacing w:val="8"/>
          <w:sz w:val="32"/>
          <w:szCs w:val="32"/>
        </w:rPr>
        <w:t>编制日期：</w:t>
      </w:r>
      <w:r>
        <w:rPr>
          <w:rFonts w:ascii="宋体" w:hAnsi="宋体" w:eastAsia="宋体" w:cs="宋体"/>
          <w:b/>
          <w:bCs/>
          <w:spacing w:val="8"/>
          <w:sz w:val="32"/>
          <w:szCs w:val="32"/>
          <w:u w:val="single" w:color="auto"/>
        </w:rPr>
        <w:t>202</w:t>
      </w:r>
      <w:r>
        <w:rPr>
          <w:rFonts w:hint="eastAsia" w:ascii="宋体" w:hAnsi="宋体" w:eastAsia="宋体" w:cs="宋体"/>
          <w:b/>
          <w:bCs/>
          <w:spacing w:val="8"/>
          <w:sz w:val="32"/>
          <w:szCs w:val="32"/>
          <w:u w:val="single" w:color="auto"/>
          <w:lang w:val="en-US" w:eastAsia="zh-CN"/>
        </w:rPr>
        <w:t>6</w:t>
      </w:r>
      <w:r>
        <w:rPr>
          <w:rFonts w:ascii="宋体" w:hAnsi="宋体" w:eastAsia="宋体" w:cs="宋体"/>
          <w:b/>
          <w:bCs/>
          <w:spacing w:val="8"/>
          <w:sz w:val="32"/>
          <w:szCs w:val="32"/>
          <w:u w:val="single" w:color="auto"/>
        </w:rPr>
        <w:t>年</w:t>
      </w:r>
      <w:r>
        <w:rPr>
          <w:rFonts w:hint="eastAsia" w:ascii="宋体" w:hAnsi="宋体" w:eastAsia="宋体" w:cs="宋体"/>
          <w:b/>
          <w:bCs/>
          <w:spacing w:val="8"/>
          <w:sz w:val="32"/>
          <w:szCs w:val="32"/>
          <w:u w:val="single" w:color="auto"/>
          <w:lang w:val="en-US" w:eastAsia="zh-CN"/>
        </w:rPr>
        <w:t>1</w:t>
      </w:r>
      <w:r>
        <w:rPr>
          <w:rFonts w:ascii="宋体" w:hAnsi="宋体" w:eastAsia="宋体" w:cs="宋体"/>
          <w:b/>
          <w:bCs/>
          <w:spacing w:val="8"/>
          <w:sz w:val="32"/>
          <w:szCs w:val="32"/>
          <w:u w:val="single" w:color="auto"/>
        </w:rPr>
        <w:t>月</w:t>
      </w:r>
    </w:p>
    <w:p w14:paraId="167AC49D">
      <w:pPr>
        <w:pStyle w:val="15"/>
        <w:spacing w:line="256" w:lineRule="auto"/>
        <w:rPr>
          <w:sz w:val="28"/>
          <w:szCs w:val="28"/>
        </w:rPr>
      </w:pPr>
    </w:p>
    <w:p w14:paraId="7FDBF247">
      <w:pPr>
        <w:pStyle w:val="15"/>
        <w:spacing w:line="257" w:lineRule="auto"/>
        <w:rPr>
          <w:sz w:val="28"/>
          <w:szCs w:val="28"/>
        </w:rPr>
      </w:pPr>
    </w:p>
    <w:p w14:paraId="75000342">
      <w:pPr>
        <w:pStyle w:val="15"/>
        <w:spacing w:line="257" w:lineRule="auto"/>
        <w:rPr>
          <w:sz w:val="28"/>
          <w:szCs w:val="28"/>
        </w:rPr>
      </w:pPr>
    </w:p>
    <w:p w14:paraId="0EB16882">
      <w:pPr>
        <w:spacing w:before="74" w:line="219" w:lineRule="auto"/>
        <w:ind w:left="0" w:leftChars="0" w:firstLine="0" w:firstLineChars="0"/>
        <w:jc w:val="center"/>
        <w:rPr>
          <w:rFonts w:ascii="宋体" w:hAnsi="宋体" w:eastAsia="宋体" w:cs="宋体"/>
          <w:sz w:val="32"/>
          <w:szCs w:val="32"/>
        </w:rPr>
      </w:pPr>
      <w:r>
        <w:rPr>
          <w:rFonts w:ascii="宋体" w:hAnsi="宋体" w:eastAsia="宋体" w:cs="宋体"/>
          <w:b/>
          <w:bCs/>
          <w:spacing w:val="20"/>
          <w:sz w:val="32"/>
          <w:szCs w:val="32"/>
        </w:rPr>
        <w:t>中华人民共和国生态环境部制</w:t>
      </w:r>
    </w:p>
    <w:p w14:paraId="2F413373">
      <w:pPr>
        <w:rPr>
          <w:rFonts w:cs="Times New Roman"/>
          <w:color w:val="auto"/>
        </w:rPr>
      </w:pPr>
      <w:r>
        <w:rPr>
          <w:rFonts w:cs="Times New Roman"/>
          <w:color w:val="auto"/>
        </w:rPr>
        <w:br w:type="page"/>
      </w:r>
    </w:p>
    <w:p w14:paraId="6A649226">
      <w:pPr>
        <w:pStyle w:val="2"/>
        <w:ind w:firstLine="161" w:firstLineChars="50"/>
        <w:rPr>
          <w:rFonts w:cs="Times New Roman"/>
          <w:color w:val="auto"/>
        </w:rPr>
      </w:pPr>
      <w:r>
        <w:rPr>
          <w:rFonts w:cs="Times New Roman"/>
          <w:color w:val="auto"/>
        </w:rPr>
        <w:t>一、建设项目基本情况</w:t>
      </w:r>
    </w:p>
    <w:tbl>
      <w:tblPr>
        <w:tblStyle w:val="27"/>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365"/>
        <w:gridCol w:w="2125"/>
        <w:gridCol w:w="2332"/>
        <w:gridCol w:w="3249"/>
      </w:tblGrid>
      <w:tr w14:paraId="57B615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63" w:type="dxa"/>
            <w:tcMar>
              <w:top w:w="16" w:type="dxa"/>
              <w:left w:w="16" w:type="dxa"/>
              <w:right w:w="16" w:type="dxa"/>
            </w:tcMar>
            <w:vAlign w:val="center"/>
          </w:tcPr>
          <w:p w14:paraId="41633BA6">
            <w:pPr>
              <w:spacing w:line="240" w:lineRule="auto"/>
              <w:ind w:firstLine="0" w:firstLineChars="0"/>
              <w:jc w:val="center"/>
              <w:rPr>
                <w:rFonts w:cs="Times New Roman"/>
                <w:b/>
                <w:bCs/>
                <w:color w:val="auto"/>
              </w:rPr>
            </w:pPr>
            <w:r>
              <w:rPr>
                <w:rFonts w:cs="Times New Roman"/>
                <w:color w:val="auto"/>
              </w:rPr>
              <w:t>建设项目名称</w:t>
            </w:r>
          </w:p>
        </w:tc>
        <w:tc>
          <w:tcPr>
            <w:tcW w:w="7699" w:type="dxa"/>
            <w:gridSpan w:val="3"/>
            <w:vAlign w:val="center"/>
          </w:tcPr>
          <w:p w14:paraId="1323D7E1">
            <w:pPr>
              <w:spacing w:line="240" w:lineRule="auto"/>
              <w:ind w:firstLine="0" w:firstLineChars="0"/>
              <w:jc w:val="center"/>
              <w:rPr>
                <w:rFonts w:hint="default" w:cs="Times New Roman"/>
                <w:color w:val="auto"/>
                <w:lang w:val="en-US"/>
              </w:rPr>
            </w:pPr>
            <w:r>
              <w:rPr>
                <w:rFonts w:hint="eastAsia" w:cs="Times New Roman"/>
                <w:color w:val="auto"/>
                <w:szCs w:val="24"/>
                <w:lang w:val="en-US" w:eastAsia="zh-CN"/>
              </w:rPr>
              <w:t>磴口县富鑫水泥制品厂水泥制品及彩钢房生产项目</w:t>
            </w:r>
          </w:p>
        </w:tc>
      </w:tr>
      <w:tr w14:paraId="37314A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63" w:type="dxa"/>
            <w:tcMar>
              <w:top w:w="16" w:type="dxa"/>
              <w:left w:w="16" w:type="dxa"/>
              <w:right w:w="16" w:type="dxa"/>
            </w:tcMar>
            <w:vAlign w:val="center"/>
          </w:tcPr>
          <w:p w14:paraId="599210B7">
            <w:pPr>
              <w:spacing w:line="240" w:lineRule="auto"/>
              <w:ind w:firstLine="0" w:firstLineChars="0"/>
              <w:jc w:val="center"/>
              <w:rPr>
                <w:rFonts w:cs="Times New Roman"/>
                <w:color w:val="auto"/>
              </w:rPr>
            </w:pPr>
            <w:r>
              <w:rPr>
                <w:rFonts w:cs="Times New Roman"/>
                <w:color w:val="auto"/>
              </w:rPr>
              <w:t>项目代码</w:t>
            </w:r>
          </w:p>
        </w:tc>
        <w:tc>
          <w:tcPr>
            <w:tcW w:w="7699" w:type="dxa"/>
            <w:gridSpan w:val="3"/>
            <w:vAlign w:val="center"/>
          </w:tcPr>
          <w:p w14:paraId="50405873">
            <w:pPr>
              <w:spacing w:line="240" w:lineRule="auto"/>
              <w:ind w:firstLine="0" w:firstLineChars="0"/>
              <w:jc w:val="center"/>
              <w:rPr>
                <w:rFonts w:hint="default" w:eastAsia="宋体" w:cs="Times New Roman"/>
                <w:color w:val="auto"/>
                <w:lang w:val="en-US" w:eastAsia="zh-CN"/>
              </w:rPr>
            </w:pPr>
            <w:r>
              <w:rPr>
                <w:rFonts w:hint="eastAsia" w:cs="Times New Roman"/>
                <w:color w:val="auto"/>
                <w:lang w:val="en-US" w:eastAsia="zh-CN"/>
              </w:rPr>
              <w:t>--</w:t>
            </w:r>
          </w:p>
        </w:tc>
      </w:tr>
      <w:tr w14:paraId="687D5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63" w:type="dxa"/>
            <w:tcMar>
              <w:top w:w="16" w:type="dxa"/>
              <w:left w:w="16" w:type="dxa"/>
              <w:right w:w="16" w:type="dxa"/>
            </w:tcMar>
            <w:vAlign w:val="center"/>
          </w:tcPr>
          <w:p w14:paraId="47D4B7D5">
            <w:pPr>
              <w:spacing w:line="240" w:lineRule="auto"/>
              <w:ind w:firstLine="0" w:firstLineChars="0"/>
              <w:jc w:val="center"/>
              <w:rPr>
                <w:rFonts w:cs="Times New Roman"/>
                <w:color w:val="auto"/>
              </w:rPr>
            </w:pPr>
            <w:r>
              <w:rPr>
                <w:rFonts w:cs="Times New Roman"/>
                <w:color w:val="auto"/>
              </w:rPr>
              <w:t>建设单位联系人</w:t>
            </w:r>
          </w:p>
        </w:tc>
        <w:tc>
          <w:tcPr>
            <w:tcW w:w="2123" w:type="dxa"/>
            <w:vAlign w:val="center"/>
          </w:tcPr>
          <w:p w14:paraId="372F7404">
            <w:pPr>
              <w:spacing w:line="240" w:lineRule="auto"/>
              <w:ind w:firstLine="0" w:firstLineChars="0"/>
              <w:jc w:val="center"/>
              <w:rPr>
                <w:rFonts w:hint="default" w:eastAsia="宋体" w:cs="Times New Roman"/>
                <w:color w:val="auto"/>
                <w:lang w:val="en-US" w:eastAsia="zh-CN"/>
              </w:rPr>
            </w:pPr>
            <w:r>
              <w:rPr>
                <w:rFonts w:hint="eastAsia" w:cs="Times New Roman"/>
                <w:color w:val="auto"/>
                <w:lang w:val="en-US" w:eastAsia="zh-CN"/>
              </w:rPr>
              <w:t>孟建雄</w:t>
            </w:r>
          </w:p>
        </w:tc>
        <w:tc>
          <w:tcPr>
            <w:tcW w:w="2330" w:type="dxa"/>
            <w:vAlign w:val="center"/>
          </w:tcPr>
          <w:p w14:paraId="75BC4817">
            <w:pPr>
              <w:spacing w:line="240" w:lineRule="auto"/>
              <w:ind w:firstLine="0" w:firstLineChars="0"/>
              <w:jc w:val="center"/>
              <w:rPr>
                <w:rFonts w:cs="Times New Roman"/>
                <w:color w:val="auto"/>
              </w:rPr>
            </w:pPr>
            <w:r>
              <w:rPr>
                <w:rFonts w:cs="Times New Roman"/>
                <w:color w:val="auto"/>
              </w:rPr>
              <w:t>联系方式</w:t>
            </w:r>
          </w:p>
        </w:tc>
        <w:tc>
          <w:tcPr>
            <w:tcW w:w="3246" w:type="dxa"/>
            <w:vAlign w:val="center"/>
          </w:tcPr>
          <w:p w14:paraId="6B605129">
            <w:pPr>
              <w:spacing w:line="240" w:lineRule="auto"/>
              <w:ind w:firstLine="0" w:firstLineChars="0"/>
              <w:jc w:val="center"/>
              <w:rPr>
                <w:rFonts w:hint="default" w:eastAsia="宋体" w:cs="Times New Roman"/>
                <w:color w:val="auto"/>
                <w:lang w:val="en-US" w:eastAsia="zh-CN"/>
              </w:rPr>
            </w:pPr>
            <w:r>
              <w:rPr>
                <w:rFonts w:hint="eastAsia" w:cs="Times New Roman"/>
                <w:color w:val="auto"/>
                <w:lang w:val="en-US" w:eastAsia="zh-CN"/>
              </w:rPr>
              <w:t>***********</w:t>
            </w:r>
            <w:bookmarkStart w:id="14" w:name="_GoBack"/>
            <w:bookmarkEnd w:id="14"/>
          </w:p>
        </w:tc>
      </w:tr>
      <w:tr w14:paraId="7CB41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63" w:type="dxa"/>
            <w:tcMar>
              <w:top w:w="16" w:type="dxa"/>
              <w:left w:w="16" w:type="dxa"/>
              <w:right w:w="16" w:type="dxa"/>
            </w:tcMar>
            <w:vAlign w:val="center"/>
          </w:tcPr>
          <w:p w14:paraId="5D529330">
            <w:pPr>
              <w:spacing w:line="240" w:lineRule="auto"/>
              <w:ind w:firstLine="0" w:firstLineChars="0"/>
              <w:jc w:val="center"/>
              <w:rPr>
                <w:rFonts w:cs="Times New Roman"/>
                <w:color w:val="auto"/>
              </w:rPr>
            </w:pPr>
            <w:r>
              <w:rPr>
                <w:rFonts w:cs="Times New Roman"/>
                <w:color w:val="auto"/>
              </w:rPr>
              <w:t>建设地点</w:t>
            </w:r>
          </w:p>
        </w:tc>
        <w:tc>
          <w:tcPr>
            <w:tcW w:w="7699" w:type="dxa"/>
            <w:gridSpan w:val="3"/>
            <w:vAlign w:val="center"/>
          </w:tcPr>
          <w:p w14:paraId="42D97A12">
            <w:pPr>
              <w:spacing w:line="240" w:lineRule="auto"/>
              <w:ind w:firstLine="0" w:firstLineChars="0"/>
              <w:jc w:val="center"/>
              <w:rPr>
                <w:rFonts w:hint="default" w:cs="Times New Roman"/>
                <w:color w:val="auto"/>
                <w:lang w:val="en-US"/>
              </w:rPr>
            </w:pPr>
            <w:r>
              <w:rPr>
                <w:rFonts w:cs="Times New Roman"/>
                <w:color w:val="auto"/>
                <w:szCs w:val="24"/>
                <w:u w:val="single"/>
              </w:rPr>
              <w:t>内蒙古</w:t>
            </w:r>
            <w:r>
              <w:rPr>
                <w:rFonts w:cs="Times New Roman"/>
                <w:color w:val="auto"/>
                <w:szCs w:val="24"/>
              </w:rPr>
              <w:t>自治区</w:t>
            </w:r>
            <w:r>
              <w:rPr>
                <w:rFonts w:cs="Times New Roman"/>
                <w:color w:val="auto"/>
                <w:szCs w:val="24"/>
                <w:u w:val="single"/>
              </w:rPr>
              <w:t>巴彦淖尔</w:t>
            </w:r>
            <w:r>
              <w:rPr>
                <w:rFonts w:cs="Times New Roman"/>
                <w:color w:val="auto"/>
                <w:szCs w:val="24"/>
              </w:rPr>
              <w:t>市</w:t>
            </w:r>
            <w:r>
              <w:rPr>
                <w:rFonts w:hint="eastAsia" w:cs="Times New Roman"/>
                <w:color w:val="auto"/>
                <w:szCs w:val="24"/>
                <w:u w:val="single"/>
              </w:rPr>
              <w:t>磴口</w:t>
            </w:r>
            <w:r>
              <w:rPr>
                <w:rFonts w:hint="eastAsia" w:cs="Times New Roman"/>
                <w:color w:val="auto"/>
                <w:szCs w:val="24"/>
              </w:rPr>
              <w:t>县</w:t>
            </w:r>
            <w:r>
              <w:rPr>
                <w:rFonts w:hint="eastAsia" w:cs="Times New Roman"/>
                <w:color w:val="auto"/>
                <w:szCs w:val="24"/>
                <w:u w:val="single"/>
              </w:rPr>
              <w:t>巴彦高勒</w:t>
            </w:r>
            <w:r>
              <w:rPr>
                <w:rFonts w:hint="eastAsia" w:cs="Times New Roman"/>
                <w:color w:val="auto"/>
                <w:szCs w:val="24"/>
              </w:rPr>
              <w:t>镇</w:t>
            </w:r>
          </w:p>
        </w:tc>
      </w:tr>
      <w:tr w14:paraId="042457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63" w:type="dxa"/>
            <w:tcMar>
              <w:top w:w="16" w:type="dxa"/>
              <w:left w:w="16" w:type="dxa"/>
              <w:right w:w="16" w:type="dxa"/>
            </w:tcMar>
            <w:vAlign w:val="center"/>
          </w:tcPr>
          <w:p w14:paraId="416877A5">
            <w:pPr>
              <w:spacing w:line="240" w:lineRule="auto"/>
              <w:ind w:firstLine="0" w:firstLineChars="0"/>
              <w:jc w:val="center"/>
              <w:rPr>
                <w:rFonts w:cs="Times New Roman"/>
                <w:color w:val="auto"/>
              </w:rPr>
            </w:pPr>
            <w:r>
              <w:rPr>
                <w:rFonts w:cs="Times New Roman"/>
                <w:color w:val="auto"/>
              </w:rPr>
              <w:t>地理坐标</w:t>
            </w:r>
          </w:p>
        </w:tc>
        <w:tc>
          <w:tcPr>
            <w:tcW w:w="7699" w:type="dxa"/>
            <w:gridSpan w:val="3"/>
            <w:vAlign w:val="center"/>
          </w:tcPr>
          <w:p w14:paraId="5B875EFF">
            <w:pPr>
              <w:spacing w:line="240" w:lineRule="auto"/>
              <w:ind w:firstLine="0" w:firstLineChars="0"/>
              <w:jc w:val="center"/>
              <w:rPr>
                <w:rFonts w:cs="Times New Roman"/>
                <w:color w:val="auto"/>
              </w:rPr>
            </w:pPr>
            <w:r>
              <w:rPr>
                <w:rFonts w:cs="Times New Roman"/>
                <w:color w:val="auto"/>
              </w:rPr>
              <w:t>北纬：</w:t>
            </w:r>
            <w:r>
              <w:rPr>
                <w:rFonts w:hint="eastAsia" w:cs="Times New Roman"/>
                <w:color w:val="auto"/>
                <w:lang w:val="en-US" w:eastAsia="zh-CN"/>
              </w:rPr>
              <w:t>40</w:t>
            </w:r>
            <w:r>
              <w:rPr>
                <w:rFonts w:cs="Times New Roman"/>
                <w:color w:val="auto"/>
              </w:rPr>
              <w:t>度</w:t>
            </w:r>
            <w:r>
              <w:rPr>
                <w:rFonts w:hint="eastAsia" w:cs="Times New Roman"/>
                <w:color w:val="auto"/>
                <w:lang w:val="en-US" w:eastAsia="zh-CN"/>
              </w:rPr>
              <w:t>19</w:t>
            </w:r>
            <w:r>
              <w:rPr>
                <w:rFonts w:cs="Times New Roman"/>
                <w:color w:val="auto"/>
              </w:rPr>
              <w:t>分</w:t>
            </w:r>
            <w:r>
              <w:rPr>
                <w:rFonts w:hint="eastAsia" w:cs="Times New Roman"/>
                <w:color w:val="auto"/>
                <w:lang w:val="en-US" w:eastAsia="zh-CN"/>
              </w:rPr>
              <w:t>12.1146</w:t>
            </w:r>
            <w:r>
              <w:rPr>
                <w:rFonts w:cs="Times New Roman"/>
                <w:color w:val="auto"/>
              </w:rPr>
              <w:t>秒，东经：</w:t>
            </w:r>
            <w:r>
              <w:rPr>
                <w:rFonts w:hint="eastAsia" w:cs="Times New Roman"/>
                <w:color w:val="auto"/>
                <w:lang w:val="en-US" w:eastAsia="zh-CN"/>
              </w:rPr>
              <w:t>107</w:t>
            </w:r>
            <w:r>
              <w:rPr>
                <w:rFonts w:cs="Times New Roman"/>
                <w:color w:val="auto"/>
              </w:rPr>
              <w:t>度</w:t>
            </w:r>
            <w:r>
              <w:rPr>
                <w:rFonts w:hint="eastAsia" w:cs="Times New Roman"/>
                <w:color w:val="auto"/>
                <w:lang w:val="en-US" w:eastAsia="zh-CN"/>
              </w:rPr>
              <w:t>01</w:t>
            </w:r>
            <w:r>
              <w:rPr>
                <w:rFonts w:cs="Times New Roman"/>
                <w:color w:val="auto"/>
              </w:rPr>
              <w:t>分</w:t>
            </w:r>
            <w:r>
              <w:rPr>
                <w:rFonts w:hint="eastAsia" w:cs="Times New Roman"/>
                <w:color w:val="auto"/>
                <w:lang w:val="en-US" w:eastAsia="zh-CN"/>
              </w:rPr>
              <w:t>28.0051</w:t>
            </w:r>
            <w:r>
              <w:rPr>
                <w:rFonts w:cs="Times New Roman"/>
                <w:color w:val="auto"/>
              </w:rPr>
              <w:t>秒</w:t>
            </w:r>
          </w:p>
        </w:tc>
      </w:tr>
      <w:tr w14:paraId="35612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63" w:type="dxa"/>
            <w:tcMar>
              <w:top w:w="16" w:type="dxa"/>
              <w:left w:w="16" w:type="dxa"/>
              <w:right w:w="16" w:type="dxa"/>
            </w:tcMar>
            <w:vAlign w:val="center"/>
          </w:tcPr>
          <w:p w14:paraId="39696C81">
            <w:pPr>
              <w:spacing w:line="240" w:lineRule="auto"/>
              <w:ind w:firstLine="0" w:firstLineChars="0"/>
              <w:jc w:val="center"/>
              <w:rPr>
                <w:rFonts w:cs="Times New Roman"/>
                <w:color w:val="auto"/>
              </w:rPr>
            </w:pPr>
            <w:r>
              <w:rPr>
                <w:rFonts w:cs="Times New Roman"/>
                <w:color w:val="auto"/>
              </w:rPr>
              <w:t>国民经济</w:t>
            </w:r>
          </w:p>
          <w:p w14:paraId="06B86B2E">
            <w:pPr>
              <w:spacing w:line="240" w:lineRule="auto"/>
              <w:ind w:firstLine="0" w:firstLineChars="0"/>
              <w:jc w:val="center"/>
              <w:rPr>
                <w:rFonts w:cs="Times New Roman"/>
                <w:color w:val="auto"/>
              </w:rPr>
            </w:pPr>
            <w:r>
              <w:rPr>
                <w:rFonts w:cs="Times New Roman"/>
                <w:color w:val="auto"/>
              </w:rPr>
              <w:t>行业类别</w:t>
            </w:r>
          </w:p>
        </w:tc>
        <w:tc>
          <w:tcPr>
            <w:tcW w:w="2123" w:type="dxa"/>
            <w:vAlign w:val="center"/>
          </w:tcPr>
          <w:p w14:paraId="49B3D54E">
            <w:pPr>
              <w:spacing w:line="240" w:lineRule="auto"/>
              <w:ind w:firstLine="0" w:firstLineChars="0"/>
              <w:jc w:val="center"/>
              <w:rPr>
                <w:rFonts w:cs="Times New Roman"/>
                <w:color w:val="auto"/>
              </w:rPr>
            </w:pPr>
            <w:r>
              <w:rPr>
                <w:rFonts w:cs="Times New Roman"/>
                <w:color w:val="auto"/>
                <w:szCs w:val="24"/>
              </w:rPr>
              <w:t>C3021水泥制品制造</w:t>
            </w:r>
          </w:p>
        </w:tc>
        <w:tc>
          <w:tcPr>
            <w:tcW w:w="2330" w:type="dxa"/>
            <w:vAlign w:val="center"/>
          </w:tcPr>
          <w:p w14:paraId="74AE75FE">
            <w:pPr>
              <w:spacing w:line="240" w:lineRule="auto"/>
              <w:ind w:firstLine="0" w:firstLineChars="0"/>
              <w:jc w:val="center"/>
              <w:rPr>
                <w:rFonts w:cs="Times New Roman"/>
                <w:color w:val="auto"/>
              </w:rPr>
            </w:pPr>
            <w:bookmarkStart w:id="0" w:name="_Hlk49843745"/>
            <w:r>
              <w:rPr>
                <w:rFonts w:cs="Times New Roman"/>
                <w:color w:val="auto"/>
              </w:rPr>
              <w:t>建设项目</w:t>
            </w:r>
          </w:p>
          <w:p w14:paraId="1A3D0F06">
            <w:pPr>
              <w:spacing w:line="240" w:lineRule="auto"/>
              <w:ind w:firstLine="0" w:firstLineChars="0"/>
              <w:jc w:val="center"/>
              <w:rPr>
                <w:rFonts w:cs="Times New Roman"/>
                <w:color w:val="auto"/>
              </w:rPr>
            </w:pPr>
            <w:r>
              <w:rPr>
                <w:rFonts w:cs="Times New Roman"/>
                <w:color w:val="auto"/>
              </w:rPr>
              <w:t>行业类别</w:t>
            </w:r>
            <w:bookmarkEnd w:id="0"/>
          </w:p>
        </w:tc>
        <w:tc>
          <w:tcPr>
            <w:tcW w:w="3246" w:type="dxa"/>
            <w:vAlign w:val="center"/>
          </w:tcPr>
          <w:p w14:paraId="7B42ED94">
            <w:pPr>
              <w:spacing w:line="240" w:lineRule="auto"/>
              <w:ind w:firstLine="0" w:firstLineChars="0"/>
              <w:rPr>
                <w:rFonts w:cs="Times New Roman"/>
                <w:color w:val="auto"/>
                <w:szCs w:val="24"/>
              </w:rPr>
            </w:pPr>
            <w:r>
              <w:rPr>
                <w:rFonts w:cs="Times New Roman"/>
                <w:color w:val="auto"/>
                <w:szCs w:val="24"/>
              </w:rPr>
              <w:t>二十七、非金属矿物制品业30</w:t>
            </w:r>
          </w:p>
          <w:p w14:paraId="5C7EEA8B">
            <w:pPr>
              <w:spacing w:line="240" w:lineRule="auto"/>
              <w:ind w:firstLine="0" w:firstLineChars="0"/>
              <w:rPr>
                <w:rFonts w:cs="Times New Roman"/>
                <w:color w:val="auto"/>
              </w:rPr>
            </w:pPr>
            <w:r>
              <w:rPr>
                <w:rFonts w:cs="Times New Roman"/>
                <w:color w:val="auto"/>
                <w:szCs w:val="24"/>
              </w:rPr>
              <w:t>55.石膏、水泥制品及类似制品制造 商品混凝土；砼结构构件制造；水泥制品制造</w:t>
            </w:r>
          </w:p>
        </w:tc>
      </w:tr>
      <w:tr w14:paraId="67483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63" w:type="dxa"/>
            <w:tcMar>
              <w:top w:w="16" w:type="dxa"/>
              <w:left w:w="16" w:type="dxa"/>
              <w:right w:w="16" w:type="dxa"/>
            </w:tcMar>
            <w:vAlign w:val="center"/>
          </w:tcPr>
          <w:p w14:paraId="6BE7BF35">
            <w:pPr>
              <w:spacing w:line="240" w:lineRule="auto"/>
              <w:ind w:firstLine="0" w:firstLineChars="0"/>
              <w:jc w:val="center"/>
              <w:rPr>
                <w:rFonts w:cs="Times New Roman"/>
                <w:color w:val="auto"/>
              </w:rPr>
            </w:pPr>
            <w:r>
              <w:rPr>
                <w:rFonts w:cs="Times New Roman"/>
                <w:color w:val="auto"/>
              </w:rPr>
              <w:t>建设性质</w:t>
            </w:r>
          </w:p>
        </w:tc>
        <w:tc>
          <w:tcPr>
            <w:tcW w:w="2123" w:type="dxa"/>
            <w:vAlign w:val="center"/>
          </w:tcPr>
          <w:p w14:paraId="574E3471">
            <w:pPr>
              <w:spacing w:line="240" w:lineRule="auto"/>
              <w:ind w:firstLine="110" w:firstLineChars="50"/>
              <w:rPr>
                <w:rFonts w:cs="Times New Roman"/>
                <w:color w:val="auto"/>
              </w:rPr>
            </w:pPr>
            <w:r>
              <w:rPr>
                <w:rFonts w:cs="Times New Roman"/>
                <w:color w:val="auto"/>
                <w:spacing w:val="-10"/>
              </w:rPr>
              <w:sym w:font="Wingdings 2" w:char="0052"/>
            </w:r>
            <w:r>
              <w:rPr>
                <w:rFonts w:cs="Times New Roman"/>
                <w:color w:val="auto"/>
              </w:rPr>
              <w:t>新建（迁建）</w:t>
            </w:r>
          </w:p>
          <w:p w14:paraId="34B555B0">
            <w:pPr>
              <w:spacing w:line="240" w:lineRule="auto"/>
              <w:ind w:firstLine="120" w:firstLineChars="50"/>
              <w:rPr>
                <w:rFonts w:cs="Times New Roman"/>
                <w:color w:val="auto"/>
              </w:rPr>
            </w:pPr>
            <w:r>
              <w:rPr>
                <w:rFonts w:cs="Times New Roman"/>
                <w:color w:val="auto"/>
              </w:rPr>
              <w:t>□改建</w:t>
            </w:r>
          </w:p>
          <w:p w14:paraId="732D1DF5">
            <w:pPr>
              <w:spacing w:line="240" w:lineRule="auto"/>
              <w:ind w:firstLine="120" w:firstLineChars="50"/>
              <w:rPr>
                <w:rFonts w:cs="Times New Roman"/>
                <w:color w:val="auto"/>
              </w:rPr>
            </w:pPr>
            <w:r>
              <w:rPr>
                <w:rFonts w:cs="Times New Roman"/>
                <w:color w:val="auto"/>
              </w:rPr>
              <w:t>□扩建</w:t>
            </w:r>
          </w:p>
          <w:p w14:paraId="6A573EB4">
            <w:pPr>
              <w:spacing w:line="240" w:lineRule="auto"/>
              <w:ind w:firstLine="120" w:firstLineChars="50"/>
              <w:rPr>
                <w:rFonts w:cs="Times New Roman"/>
                <w:color w:val="auto"/>
              </w:rPr>
            </w:pPr>
            <w:r>
              <w:rPr>
                <w:rFonts w:cs="Times New Roman"/>
                <w:color w:val="auto"/>
              </w:rPr>
              <w:t>□技术改造</w:t>
            </w:r>
          </w:p>
        </w:tc>
        <w:tc>
          <w:tcPr>
            <w:tcW w:w="2330" w:type="dxa"/>
            <w:vAlign w:val="center"/>
          </w:tcPr>
          <w:p w14:paraId="7921976B">
            <w:pPr>
              <w:spacing w:line="240" w:lineRule="auto"/>
              <w:ind w:firstLine="0" w:firstLineChars="0"/>
              <w:jc w:val="center"/>
              <w:rPr>
                <w:rFonts w:cs="Times New Roman"/>
                <w:color w:val="auto"/>
              </w:rPr>
            </w:pPr>
            <w:r>
              <w:rPr>
                <w:rFonts w:cs="Times New Roman"/>
                <w:color w:val="auto"/>
              </w:rPr>
              <w:t>建设项目</w:t>
            </w:r>
          </w:p>
          <w:p w14:paraId="1BFAF0B8">
            <w:pPr>
              <w:spacing w:line="240" w:lineRule="auto"/>
              <w:ind w:firstLine="0" w:firstLineChars="0"/>
              <w:jc w:val="center"/>
              <w:rPr>
                <w:rFonts w:cs="Times New Roman"/>
                <w:color w:val="auto"/>
              </w:rPr>
            </w:pPr>
            <w:r>
              <w:rPr>
                <w:rFonts w:cs="Times New Roman"/>
                <w:color w:val="auto"/>
              </w:rPr>
              <w:t>申报情形</w:t>
            </w:r>
          </w:p>
        </w:tc>
        <w:tc>
          <w:tcPr>
            <w:tcW w:w="3246" w:type="dxa"/>
            <w:vAlign w:val="center"/>
          </w:tcPr>
          <w:p w14:paraId="54451904">
            <w:pPr>
              <w:spacing w:line="240" w:lineRule="auto"/>
              <w:ind w:firstLine="0" w:firstLineChars="0"/>
              <w:rPr>
                <w:rFonts w:cs="Times New Roman"/>
                <w:color w:val="auto"/>
              </w:rPr>
            </w:pPr>
            <w:r>
              <w:rPr>
                <w:rFonts w:cs="Times New Roman"/>
                <w:color w:val="auto"/>
                <w:spacing w:val="-10"/>
              </w:rPr>
              <w:sym w:font="Wingdings 2" w:char="0052"/>
            </w:r>
            <w:r>
              <w:rPr>
                <w:rFonts w:cs="Times New Roman"/>
                <w:color w:val="auto"/>
              </w:rPr>
              <w:t>首次申报项目</w:t>
            </w:r>
          </w:p>
          <w:p w14:paraId="58FB0003">
            <w:pPr>
              <w:spacing w:line="240" w:lineRule="auto"/>
              <w:ind w:firstLine="0" w:firstLineChars="0"/>
              <w:rPr>
                <w:rFonts w:cs="Times New Roman"/>
                <w:color w:val="auto"/>
              </w:rPr>
            </w:pPr>
            <w:r>
              <w:rPr>
                <w:rFonts w:hint="eastAsia" w:cs="Times New Roman"/>
                <w:color w:val="auto"/>
                <w:lang w:eastAsia="zh-CN"/>
              </w:rPr>
              <w:t>□</w:t>
            </w:r>
            <w:r>
              <w:rPr>
                <w:rFonts w:cs="Times New Roman"/>
                <w:color w:val="auto"/>
              </w:rPr>
              <w:t>不予批准后再次申报项目</w:t>
            </w:r>
          </w:p>
          <w:p w14:paraId="1808742D">
            <w:pPr>
              <w:spacing w:line="240" w:lineRule="auto"/>
              <w:ind w:firstLine="0" w:firstLineChars="0"/>
              <w:rPr>
                <w:rFonts w:cs="Times New Roman"/>
                <w:color w:val="auto"/>
              </w:rPr>
            </w:pPr>
            <w:r>
              <w:rPr>
                <w:rFonts w:cs="Times New Roman"/>
                <w:color w:val="auto"/>
              </w:rPr>
              <w:sym w:font="Wingdings 2" w:char="00A3"/>
            </w:r>
            <w:r>
              <w:rPr>
                <w:rFonts w:cs="Times New Roman"/>
                <w:color w:val="auto"/>
              </w:rPr>
              <w:t>超五年重新审核项目</w:t>
            </w:r>
          </w:p>
          <w:p w14:paraId="1DC7DDE4">
            <w:pPr>
              <w:spacing w:line="240" w:lineRule="auto"/>
              <w:ind w:firstLine="0" w:firstLineChars="0"/>
              <w:rPr>
                <w:rFonts w:cs="Times New Roman"/>
                <w:color w:val="auto"/>
              </w:rPr>
            </w:pPr>
            <w:r>
              <w:rPr>
                <w:rFonts w:hint="eastAsia" w:cs="Times New Roman"/>
                <w:color w:val="auto"/>
                <w:lang w:eastAsia="zh-CN"/>
              </w:rPr>
              <w:t>□</w:t>
            </w:r>
            <w:r>
              <w:rPr>
                <w:rFonts w:cs="Times New Roman"/>
                <w:color w:val="auto"/>
              </w:rPr>
              <w:t>重大变动重新报批项目</w:t>
            </w:r>
          </w:p>
        </w:tc>
      </w:tr>
      <w:tr w14:paraId="7899D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63" w:type="dxa"/>
            <w:tcMar>
              <w:top w:w="16" w:type="dxa"/>
              <w:left w:w="16" w:type="dxa"/>
              <w:right w:w="16" w:type="dxa"/>
            </w:tcMar>
            <w:vAlign w:val="center"/>
          </w:tcPr>
          <w:p w14:paraId="279B8E14">
            <w:pPr>
              <w:spacing w:line="240" w:lineRule="auto"/>
              <w:ind w:firstLine="0" w:firstLineChars="0"/>
              <w:jc w:val="center"/>
              <w:rPr>
                <w:rFonts w:cs="Times New Roman"/>
                <w:color w:val="auto"/>
              </w:rPr>
            </w:pPr>
            <w:r>
              <w:rPr>
                <w:rFonts w:cs="Times New Roman"/>
                <w:color w:val="auto"/>
              </w:rPr>
              <w:t>项目审批（核准/备案）部门（选填）</w:t>
            </w:r>
          </w:p>
        </w:tc>
        <w:tc>
          <w:tcPr>
            <w:tcW w:w="2123" w:type="dxa"/>
            <w:vAlign w:val="center"/>
          </w:tcPr>
          <w:p w14:paraId="1BB7D16D">
            <w:pPr>
              <w:spacing w:line="240" w:lineRule="auto"/>
              <w:ind w:firstLine="0" w:firstLineChars="0"/>
              <w:jc w:val="center"/>
              <w:rPr>
                <w:rFonts w:hint="default" w:eastAsia="宋体" w:cs="Times New Roman"/>
                <w:color w:val="auto"/>
                <w:lang w:val="en-US" w:eastAsia="zh-CN"/>
              </w:rPr>
            </w:pPr>
            <w:r>
              <w:rPr>
                <w:rFonts w:hint="eastAsia" w:cs="Times New Roman"/>
                <w:color w:val="auto"/>
                <w:lang w:val="en-US" w:eastAsia="zh-CN"/>
              </w:rPr>
              <w:t>--</w:t>
            </w:r>
          </w:p>
        </w:tc>
        <w:tc>
          <w:tcPr>
            <w:tcW w:w="2330" w:type="dxa"/>
            <w:vAlign w:val="center"/>
          </w:tcPr>
          <w:p w14:paraId="593A0ED1">
            <w:pPr>
              <w:spacing w:line="240" w:lineRule="auto"/>
              <w:ind w:firstLine="0" w:firstLineChars="0"/>
              <w:jc w:val="center"/>
              <w:rPr>
                <w:rFonts w:cs="Times New Roman"/>
                <w:color w:val="auto"/>
              </w:rPr>
            </w:pPr>
            <w:r>
              <w:rPr>
                <w:rFonts w:cs="Times New Roman"/>
                <w:color w:val="auto"/>
              </w:rPr>
              <w:t>项目审批（核准/</w:t>
            </w:r>
          </w:p>
          <w:p w14:paraId="2CCC892C">
            <w:pPr>
              <w:spacing w:line="240" w:lineRule="auto"/>
              <w:ind w:firstLine="0" w:firstLineChars="0"/>
              <w:jc w:val="center"/>
              <w:rPr>
                <w:rFonts w:cs="Times New Roman"/>
                <w:color w:val="auto"/>
              </w:rPr>
            </w:pPr>
            <w:r>
              <w:rPr>
                <w:rFonts w:cs="Times New Roman"/>
                <w:color w:val="auto"/>
              </w:rPr>
              <w:t>备案）文号（选填）</w:t>
            </w:r>
          </w:p>
        </w:tc>
        <w:tc>
          <w:tcPr>
            <w:tcW w:w="3246" w:type="dxa"/>
            <w:vAlign w:val="center"/>
          </w:tcPr>
          <w:p w14:paraId="1FF5831A">
            <w:pPr>
              <w:spacing w:line="240" w:lineRule="auto"/>
              <w:ind w:firstLine="0" w:firstLineChars="0"/>
              <w:jc w:val="center"/>
              <w:rPr>
                <w:rFonts w:hint="default" w:eastAsia="宋体" w:cs="Times New Roman"/>
                <w:color w:val="auto"/>
                <w:lang w:val="en-US" w:eastAsia="zh-CN"/>
              </w:rPr>
            </w:pPr>
            <w:r>
              <w:rPr>
                <w:rFonts w:hint="eastAsia" w:cs="Times New Roman"/>
                <w:color w:val="auto"/>
                <w:szCs w:val="24"/>
                <w:lang w:val="en-US" w:eastAsia="zh-CN"/>
              </w:rPr>
              <w:t>--</w:t>
            </w:r>
          </w:p>
        </w:tc>
      </w:tr>
      <w:tr w14:paraId="2031D0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63" w:type="dxa"/>
            <w:tcMar>
              <w:top w:w="16" w:type="dxa"/>
              <w:left w:w="16" w:type="dxa"/>
              <w:right w:w="16" w:type="dxa"/>
            </w:tcMar>
            <w:vAlign w:val="center"/>
          </w:tcPr>
          <w:p w14:paraId="11890C4B">
            <w:pPr>
              <w:spacing w:line="240" w:lineRule="auto"/>
              <w:ind w:firstLine="0" w:firstLineChars="0"/>
              <w:jc w:val="center"/>
              <w:rPr>
                <w:rFonts w:cs="Times New Roman"/>
                <w:color w:val="auto"/>
              </w:rPr>
            </w:pPr>
            <w:r>
              <w:rPr>
                <w:rFonts w:cs="Times New Roman"/>
                <w:color w:val="auto"/>
              </w:rPr>
              <w:t>总投资（万元）</w:t>
            </w:r>
          </w:p>
        </w:tc>
        <w:tc>
          <w:tcPr>
            <w:tcW w:w="2123" w:type="dxa"/>
            <w:vAlign w:val="center"/>
          </w:tcPr>
          <w:p w14:paraId="03933939">
            <w:pPr>
              <w:spacing w:line="240" w:lineRule="auto"/>
              <w:ind w:firstLine="0" w:firstLineChars="0"/>
              <w:jc w:val="center"/>
              <w:rPr>
                <w:rFonts w:hint="default" w:eastAsia="宋体" w:cs="Times New Roman"/>
                <w:color w:val="auto"/>
                <w:lang w:val="en-US" w:eastAsia="zh-CN"/>
              </w:rPr>
            </w:pPr>
            <w:r>
              <w:rPr>
                <w:rFonts w:hint="eastAsia" w:cs="Times New Roman"/>
                <w:color w:val="auto"/>
                <w:lang w:val="en-US" w:eastAsia="zh-CN"/>
              </w:rPr>
              <w:t>600</w:t>
            </w:r>
          </w:p>
        </w:tc>
        <w:tc>
          <w:tcPr>
            <w:tcW w:w="2330" w:type="dxa"/>
            <w:tcMar>
              <w:top w:w="16" w:type="dxa"/>
              <w:left w:w="16" w:type="dxa"/>
              <w:right w:w="16" w:type="dxa"/>
            </w:tcMar>
            <w:vAlign w:val="center"/>
          </w:tcPr>
          <w:p w14:paraId="5A79A672">
            <w:pPr>
              <w:spacing w:line="240" w:lineRule="auto"/>
              <w:ind w:firstLine="0" w:firstLineChars="0"/>
              <w:jc w:val="center"/>
              <w:rPr>
                <w:rFonts w:cs="Times New Roman"/>
                <w:color w:val="auto"/>
              </w:rPr>
            </w:pPr>
            <w:r>
              <w:rPr>
                <w:rFonts w:cs="Times New Roman"/>
                <w:color w:val="auto"/>
              </w:rPr>
              <w:t>环保投资（万元）</w:t>
            </w:r>
          </w:p>
        </w:tc>
        <w:tc>
          <w:tcPr>
            <w:tcW w:w="3246" w:type="dxa"/>
            <w:vAlign w:val="center"/>
          </w:tcPr>
          <w:p w14:paraId="4D789F73">
            <w:pPr>
              <w:spacing w:line="240" w:lineRule="auto"/>
              <w:ind w:firstLine="0" w:firstLineChars="0"/>
              <w:jc w:val="center"/>
              <w:rPr>
                <w:rFonts w:hint="default" w:eastAsia="宋体" w:cs="Times New Roman"/>
                <w:color w:val="auto"/>
                <w:lang w:val="en-US" w:eastAsia="zh-CN"/>
              </w:rPr>
            </w:pPr>
            <w:r>
              <w:rPr>
                <w:rFonts w:hint="eastAsia" w:cs="Times New Roman"/>
                <w:color w:val="auto"/>
                <w:lang w:val="en-US" w:eastAsia="zh-CN"/>
              </w:rPr>
              <w:t>121.5</w:t>
            </w:r>
          </w:p>
        </w:tc>
      </w:tr>
      <w:tr w14:paraId="12DD8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63" w:type="dxa"/>
            <w:tcMar>
              <w:top w:w="16" w:type="dxa"/>
              <w:left w:w="16" w:type="dxa"/>
              <w:right w:w="16" w:type="dxa"/>
            </w:tcMar>
            <w:vAlign w:val="center"/>
          </w:tcPr>
          <w:p w14:paraId="4CE3B56D">
            <w:pPr>
              <w:spacing w:line="240" w:lineRule="auto"/>
              <w:ind w:firstLine="0" w:firstLineChars="0"/>
              <w:jc w:val="center"/>
              <w:rPr>
                <w:rFonts w:cs="Times New Roman"/>
                <w:color w:val="auto"/>
              </w:rPr>
            </w:pPr>
            <w:r>
              <w:rPr>
                <w:rFonts w:cs="Times New Roman"/>
                <w:color w:val="auto"/>
              </w:rPr>
              <w:t>环保投资占比（%）</w:t>
            </w:r>
          </w:p>
        </w:tc>
        <w:tc>
          <w:tcPr>
            <w:tcW w:w="2123" w:type="dxa"/>
            <w:vAlign w:val="center"/>
          </w:tcPr>
          <w:p w14:paraId="45A2C50B">
            <w:pPr>
              <w:spacing w:line="240" w:lineRule="auto"/>
              <w:ind w:firstLine="0" w:firstLineChars="0"/>
              <w:jc w:val="center"/>
              <w:rPr>
                <w:rFonts w:hint="default" w:eastAsia="宋体" w:cs="Times New Roman"/>
                <w:color w:val="auto"/>
                <w:lang w:val="en-US" w:eastAsia="zh-CN"/>
              </w:rPr>
            </w:pPr>
            <w:r>
              <w:rPr>
                <w:rFonts w:hint="eastAsia" w:cs="Times New Roman"/>
                <w:color w:val="auto"/>
                <w:lang w:val="en-US" w:eastAsia="zh-CN"/>
              </w:rPr>
              <w:t>20.25</w:t>
            </w:r>
          </w:p>
        </w:tc>
        <w:tc>
          <w:tcPr>
            <w:tcW w:w="2330" w:type="dxa"/>
            <w:tcMar>
              <w:top w:w="16" w:type="dxa"/>
              <w:left w:w="16" w:type="dxa"/>
              <w:right w:w="16" w:type="dxa"/>
            </w:tcMar>
            <w:vAlign w:val="center"/>
          </w:tcPr>
          <w:p w14:paraId="4E69B0DF">
            <w:pPr>
              <w:spacing w:line="240" w:lineRule="auto"/>
              <w:ind w:firstLine="0" w:firstLineChars="0"/>
              <w:jc w:val="center"/>
              <w:rPr>
                <w:rFonts w:cs="Times New Roman"/>
                <w:color w:val="auto"/>
              </w:rPr>
            </w:pPr>
            <w:r>
              <w:rPr>
                <w:rFonts w:cs="Times New Roman"/>
                <w:color w:val="auto"/>
              </w:rPr>
              <w:t>施工工期</w:t>
            </w:r>
          </w:p>
        </w:tc>
        <w:tc>
          <w:tcPr>
            <w:tcW w:w="3246" w:type="dxa"/>
            <w:vAlign w:val="center"/>
          </w:tcPr>
          <w:p w14:paraId="1488F3FB">
            <w:pPr>
              <w:spacing w:line="240" w:lineRule="auto"/>
              <w:ind w:firstLine="0" w:firstLineChars="0"/>
              <w:jc w:val="center"/>
              <w:rPr>
                <w:rFonts w:cs="Times New Roman"/>
                <w:color w:val="auto"/>
              </w:rPr>
            </w:pPr>
            <w:r>
              <w:rPr>
                <w:rFonts w:hint="eastAsia" w:cs="Times New Roman"/>
                <w:color w:val="auto"/>
                <w:lang w:val="en-US" w:eastAsia="zh-CN"/>
              </w:rPr>
              <w:t>6</w:t>
            </w:r>
            <w:r>
              <w:rPr>
                <w:rFonts w:cs="Times New Roman"/>
                <w:color w:val="auto"/>
              </w:rPr>
              <w:t>个月</w:t>
            </w:r>
          </w:p>
        </w:tc>
      </w:tr>
      <w:tr w14:paraId="005BB3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63" w:type="dxa"/>
            <w:tcMar>
              <w:top w:w="16" w:type="dxa"/>
              <w:left w:w="16" w:type="dxa"/>
              <w:right w:w="16" w:type="dxa"/>
            </w:tcMar>
            <w:vAlign w:val="center"/>
          </w:tcPr>
          <w:p w14:paraId="753E98F1">
            <w:pPr>
              <w:spacing w:line="240" w:lineRule="auto"/>
              <w:ind w:firstLine="0" w:firstLineChars="0"/>
              <w:jc w:val="center"/>
              <w:rPr>
                <w:rFonts w:cs="Times New Roman"/>
                <w:color w:val="auto"/>
              </w:rPr>
            </w:pPr>
            <w:r>
              <w:rPr>
                <w:rFonts w:cs="Times New Roman"/>
                <w:color w:val="auto"/>
              </w:rPr>
              <w:t>是否开工建设</w:t>
            </w:r>
          </w:p>
        </w:tc>
        <w:tc>
          <w:tcPr>
            <w:tcW w:w="2123" w:type="dxa"/>
            <w:vAlign w:val="center"/>
          </w:tcPr>
          <w:p w14:paraId="12364364">
            <w:pPr>
              <w:spacing w:line="240" w:lineRule="auto"/>
              <w:ind w:firstLine="110" w:firstLineChars="50"/>
              <w:rPr>
                <w:rFonts w:cs="Times New Roman"/>
                <w:color w:val="auto"/>
                <w:highlight w:val="none"/>
              </w:rPr>
            </w:pPr>
            <w:r>
              <w:rPr>
                <w:rFonts w:cs="Times New Roman"/>
                <w:color w:val="auto"/>
                <w:spacing w:val="-10"/>
                <w:highlight w:val="none"/>
              </w:rPr>
              <w:sym w:font="Wingdings 2" w:char="00A3"/>
            </w:r>
            <w:r>
              <w:rPr>
                <w:rFonts w:cs="Times New Roman"/>
                <w:color w:val="auto"/>
                <w:highlight w:val="none"/>
              </w:rPr>
              <w:t>否</w:t>
            </w:r>
          </w:p>
          <w:p w14:paraId="76EAEE92">
            <w:pPr>
              <w:spacing w:line="240" w:lineRule="auto"/>
              <w:ind w:firstLine="120" w:firstLineChars="50"/>
              <w:rPr>
                <w:rFonts w:hint="default" w:eastAsia="宋体" w:cs="Times New Roman"/>
                <w:color w:val="auto"/>
                <w:lang w:val="en-US" w:eastAsia="zh-CN"/>
              </w:rPr>
            </w:pPr>
            <w:r>
              <w:rPr>
                <w:rFonts w:cs="Times New Roman"/>
                <w:color w:val="auto"/>
                <w:highlight w:val="none"/>
              </w:rPr>
              <w:sym w:font="Wingdings 2" w:char="0052"/>
            </w:r>
            <w:r>
              <w:rPr>
                <w:rFonts w:cs="Times New Roman"/>
                <w:color w:val="auto"/>
                <w:highlight w:val="none"/>
              </w:rPr>
              <w:t>是：</w:t>
            </w:r>
            <w:r>
              <w:rPr>
                <w:rFonts w:hint="eastAsia" w:cs="Times New Roman"/>
                <w:color w:val="auto"/>
                <w:highlight w:val="none"/>
                <w:lang w:val="en-US" w:eastAsia="zh-CN"/>
              </w:rPr>
              <w:t>项目于2023年8月向磴口县工业和信息化局申请补充办理相关手续，巴彦淖尔市生态环境局磴口县分局于2026年1月16日以磴环便发【2026】2号文件出具不予行政处罚的决定</w:t>
            </w:r>
          </w:p>
        </w:tc>
        <w:tc>
          <w:tcPr>
            <w:tcW w:w="2330" w:type="dxa"/>
            <w:tcMar>
              <w:top w:w="16" w:type="dxa"/>
              <w:left w:w="16" w:type="dxa"/>
              <w:right w:w="16" w:type="dxa"/>
            </w:tcMar>
            <w:vAlign w:val="center"/>
          </w:tcPr>
          <w:p w14:paraId="4E0A73D0">
            <w:pPr>
              <w:spacing w:line="240" w:lineRule="auto"/>
              <w:ind w:firstLine="0" w:firstLineChars="0"/>
              <w:jc w:val="center"/>
              <w:rPr>
                <w:rFonts w:cs="Times New Roman"/>
                <w:color w:val="auto"/>
              </w:rPr>
            </w:pPr>
            <w:r>
              <w:rPr>
                <w:rFonts w:cs="Times New Roman"/>
                <w:color w:val="auto"/>
              </w:rPr>
              <w:t>用地（用海）</w:t>
            </w:r>
          </w:p>
          <w:p w14:paraId="177BB863">
            <w:pPr>
              <w:spacing w:line="240" w:lineRule="auto"/>
              <w:ind w:firstLine="0" w:firstLineChars="0"/>
              <w:jc w:val="center"/>
              <w:rPr>
                <w:rFonts w:cs="Times New Roman"/>
                <w:color w:val="auto"/>
              </w:rPr>
            </w:pPr>
            <w:r>
              <w:rPr>
                <w:rFonts w:cs="Times New Roman"/>
                <w:color w:val="auto"/>
              </w:rPr>
              <w:t>面积（m</w:t>
            </w:r>
            <w:r>
              <w:rPr>
                <w:rFonts w:cs="Times New Roman"/>
                <w:color w:val="auto"/>
                <w:vertAlign w:val="superscript"/>
              </w:rPr>
              <w:t>2</w:t>
            </w:r>
            <w:r>
              <w:rPr>
                <w:rFonts w:cs="Times New Roman"/>
                <w:color w:val="auto"/>
              </w:rPr>
              <w:t>）</w:t>
            </w:r>
          </w:p>
        </w:tc>
        <w:tc>
          <w:tcPr>
            <w:tcW w:w="3246" w:type="dxa"/>
            <w:vAlign w:val="center"/>
          </w:tcPr>
          <w:p w14:paraId="37BDB0CF">
            <w:pPr>
              <w:spacing w:line="240" w:lineRule="auto"/>
              <w:ind w:firstLine="0" w:firstLineChars="0"/>
              <w:jc w:val="center"/>
              <w:rPr>
                <w:rFonts w:hint="default" w:eastAsia="宋体" w:cs="Times New Roman"/>
                <w:color w:val="auto"/>
                <w:lang w:val="en-US" w:eastAsia="zh-CN"/>
              </w:rPr>
            </w:pPr>
            <w:r>
              <w:rPr>
                <w:rFonts w:hint="eastAsia" w:cs="Times New Roman"/>
                <w:color w:val="auto"/>
                <w:lang w:val="en-US" w:eastAsia="zh-CN"/>
              </w:rPr>
              <w:t>36701.27</w:t>
            </w:r>
          </w:p>
        </w:tc>
      </w:tr>
      <w:tr w14:paraId="2CEA4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14:paraId="5A33A869">
            <w:pPr>
              <w:spacing w:line="240" w:lineRule="auto"/>
              <w:ind w:firstLine="0" w:firstLineChars="0"/>
              <w:jc w:val="center"/>
              <w:rPr>
                <w:rFonts w:cs="Times New Roman"/>
                <w:color w:val="auto"/>
              </w:rPr>
            </w:pPr>
            <w:r>
              <w:rPr>
                <w:rFonts w:cs="Times New Roman"/>
                <w:color w:val="auto"/>
              </w:rPr>
              <w:t>专项评价设置情况</w:t>
            </w:r>
          </w:p>
        </w:tc>
        <w:tc>
          <w:tcPr>
            <w:tcW w:w="7699" w:type="dxa"/>
            <w:gridSpan w:val="3"/>
            <w:vAlign w:val="center"/>
          </w:tcPr>
          <w:p w14:paraId="588672DB">
            <w:pPr>
              <w:keepNext w:val="0"/>
              <w:keepLines w:val="0"/>
              <w:suppressLineNumbers w:val="0"/>
              <w:shd w:val="clear" w:color="auto" w:fill="auto"/>
              <w:spacing w:before="0" w:beforeAutospacing="0" w:after="0" w:afterAutospacing="0" w:line="360" w:lineRule="auto"/>
              <w:ind w:left="0" w:right="0"/>
              <w:jc w:val="center"/>
              <w:rPr>
                <w:rFonts w:hint="default" w:ascii="Times New Roman" w:hAnsi="Times New Roman" w:eastAsia="宋体" w:cs="Times New Roman"/>
                <w:b/>
                <w:bCs/>
                <w:color w:val="auto"/>
                <w:sz w:val="24"/>
                <w:szCs w:val="24"/>
                <w:highlight w:val="none"/>
                <w:vertAlign w:val="baseline"/>
                <w:lang w:eastAsia="zh-CN"/>
              </w:rPr>
            </w:pPr>
            <w:r>
              <w:rPr>
                <w:rFonts w:hint="default" w:ascii="Times New Roman" w:hAnsi="Times New Roman" w:eastAsia="宋体" w:cs="Times New Roman"/>
                <w:b/>
                <w:bCs/>
                <w:color w:val="auto"/>
                <w:sz w:val="24"/>
                <w:szCs w:val="24"/>
                <w:highlight w:val="none"/>
                <w:vertAlign w:val="baseline"/>
                <w:lang w:eastAsia="zh-CN"/>
              </w:rPr>
              <w:t>表</w:t>
            </w:r>
            <w:r>
              <w:rPr>
                <w:rFonts w:hint="default" w:ascii="Times New Roman" w:hAnsi="Times New Roman" w:eastAsia="宋体" w:cs="Times New Roman"/>
                <w:b/>
                <w:bCs/>
                <w:color w:val="auto"/>
                <w:sz w:val="24"/>
                <w:szCs w:val="24"/>
                <w:highlight w:val="none"/>
                <w:vertAlign w:val="baseline"/>
                <w:lang w:val="en-US" w:eastAsia="zh-CN"/>
              </w:rPr>
              <w:t>1-</w:t>
            </w:r>
            <w:r>
              <w:rPr>
                <w:rFonts w:hint="default" w:ascii="Times New Roman" w:hAnsi="Times New Roman" w:eastAsia="宋体" w:cs="Times New Roman"/>
                <w:b/>
                <w:bCs/>
                <w:color w:val="auto"/>
                <w:sz w:val="24"/>
                <w:szCs w:val="24"/>
                <w:highlight w:val="none"/>
                <w:vertAlign w:val="baseline"/>
                <w:lang w:eastAsia="zh-CN"/>
              </w:rPr>
              <w:t>1专项评价设置原则</w:t>
            </w:r>
            <w:r>
              <w:rPr>
                <w:rFonts w:hint="default" w:ascii="Times New Roman" w:hAnsi="Times New Roman" w:eastAsia="宋体" w:cs="Times New Roman"/>
                <w:b/>
                <w:bCs/>
                <w:color w:val="auto"/>
                <w:sz w:val="24"/>
                <w:szCs w:val="24"/>
                <w:highlight w:val="none"/>
                <w:vertAlign w:val="baseline"/>
                <w:lang w:val="en-US" w:eastAsia="zh-CN"/>
              </w:rPr>
              <w:t>对照</w:t>
            </w:r>
            <w:r>
              <w:rPr>
                <w:rFonts w:hint="default" w:ascii="Times New Roman" w:hAnsi="Times New Roman" w:eastAsia="宋体" w:cs="Times New Roman"/>
                <w:b/>
                <w:bCs/>
                <w:color w:val="auto"/>
                <w:sz w:val="24"/>
                <w:szCs w:val="24"/>
                <w:highlight w:val="none"/>
                <w:vertAlign w:val="baseline"/>
                <w:lang w:eastAsia="zh-CN"/>
              </w:rPr>
              <w:t>表</w:t>
            </w:r>
          </w:p>
          <w:tbl>
            <w:tblPr>
              <w:tblStyle w:val="28"/>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269"/>
              <w:gridCol w:w="2269"/>
              <w:gridCol w:w="1892"/>
            </w:tblGrid>
            <w:tr w14:paraId="1138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noWrap w:val="0"/>
                  <w:vAlign w:val="center"/>
                </w:tcPr>
                <w:p w14:paraId="26BD47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类别</w:t>
                  </w:r>
                </w:p>
              </w:tc>
              <w:tc>
                <w:tcPr>
                  <w:tcW w:w="1904" w:type="dxa"/>
                  <w:noWrap w:val="0"/>
                  <w:vAlign w:val="center"/>
                </w:tcPr>
                <w:p w14:paraId="4DD219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设置原则</w:t>
                  </w:r>
                </w:p>
              </w:tc>
              <w:tc>
                <w:tcPr>
                  <w:tcW w:w="1904" w:type="dxa"/>
                  <w:noWrap w:val="0"/>
                  <w:vAlign w:val="center"/>
                </w:tcPr>
                <w:p w14:paraId="61648E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本项目建设情况</w:t>
                  </w:r>
                </w:p>
              </w:tc>
              <w:tc>
                <w:tcPr>
                  <w:tcW w:w="1587" w:type="dxa"/>
                  <w:noWrap w:val="0"/>
                  <w:vAlign w:val="center"/>
                </w:tcPr>
                <w:p w14:paraId="6EFB29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是否设置专项评价</w:t>
                  </w:r>
                </w:p>
              </w:tc>
            </w:tr>
            <w:tr w14:paraId="3243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noWrap w:val="0"/>
                  <w:vAlign w:val="center"/>
                </w:tcPr>
                <w:p w14:paraId="2EEE4E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大气</w:t>
                  </w:r>
                </w:p>
              </w:tc>
              <w:tc>
                <w:tcPr>
                  <w:tcW w:w="1904" w:type="dxa"/>
                  <w:noWrap w:val="0"/>
                  <w:vAlign w:val="center"/>
                </w:tcPr>
                <w:p w14:paraId="17E58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排放废气含有毒有害污染物、二噁英、苯并[a]芘、氰化物、氯气且厂界外500米范围内有环境空气保护目标的建设项目</w:t>
                  </w:r>
                </w:p>
              </w:tc>
              <w:tc>
                <w:tcPr>
                  <w:tcW w:w="1904" w:type="dxa"/>
                  <w:noWrap w:val="0"/>
                  <w:vAlign w:val="center"/>
                </w:tcPr>
                <w:p w14:paraId="6C490A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本项目生产期排放的废气主要为颗粒物</w:t>
                  </w:r>
                  <w:r>
                    <w:rPr>
                      <w:rFonts w:hint="eastAsia" w:cs="Times New Roman"/>
                      <w:b w:val="0"/>
                      <w:bCs w:val="0"/>
                      <w:color w:val="auto"/>
                      <w:sz w:val="21"/>
                      <w:szCs w:val="21"/>
                      <w:highlight w:val="none"/>
                      <w:vertAlign w:val="baseline"/>
                      <w:lang w:val="en-US" w:eastAsia="zh-CN"/>
                    </w:rPr>
                    <w:t>、二氧化硫、氮氧化物等</w:t>
                  </w:r>
                  <w:r>
                    <w:rPr>
                      <w:rFonts w:hint="default" w:ascii="Times New Roman" w:hAnsi="Times New Roman" w:eastAsia="宋体" w:cs="Times New Roman"/>
                      <w:b w:val="0"/>
                      <w:bCs w:val="0"/>
                      <w:color w:val="auto"/>
                      <w:sz w:val="21"/>
                      <w:szCs w:val="21"/>
                      <w:highlight w:val="none"/>
                      <w:vertAlign w:val="baseline"/>
                      <w:lang w:val="en-US" w:eastAsia="zh-CN"/>
                    </w:rPr>
                    <w:t>，</w:t>
                  </w:r>
                  <w:r>
                    <w:rPr>
                      <w:rFonts w:hint="eastAsia" w:ascii="Times New Roman" w:hAnsi="Times New Roman" w:cs="Times New Roman"/>
                      <w:b w:val="0"/>
                      <w:bCs w:val="0"/>
                      <w:color w:val="auto"/>
                      <w:sz w:val="21"/>
                      <w:szCs w:val="21"/>
                      <w:highlight w:val="none"/>
                      <w:vertAlign w:val="baseline"/>
                      <w:lang w:val="en-US" w:eastAsia="zh-CN"/>
                    </w:rPr>
                    <w:t>无《有毒有害大气污染物名录》中有关污染物、</w:t>
                  </w:r>
                  <w:r>
                    <w:rPr>
                      <w:rFonts w:hint="default" w:ascii="Times New Roman" w:hAnsi="Times New Roman" w:eastAsia="宋体" w:cs="Times New Roman"/>
                      <w:b w:val="0"/>
                      <w:bCs w:val="0"/>
                      <w:color w:val="auto"/>
                      <w:sz w:val="21"/>
                      <w:szCs w:val="21"/>
                      <w:highlight w:val="none"/>
                      <w:vertAlign w:val="baseline"/>
                      <w:lang w:eastAsia="zh-CN"/>
                    </w:rPr>
                    <w:t>二噁英、苯并[a]芘、氰化物、氯气</w:t>
                  </w:r>
                  <w:r>
                    <w:rPr>
                      <w:rFonts w:hint="default" w:ascii="Times New Roman" w:hAnsi="Times New Roman" w:eastAsia="宋体" w:cs="Times New Roman"/>
                      <w:b w:val="0"/>
                      <w:bCs w:val="0"/>
                      <w:color w:val="auto"/>
                      <w:sz w:val="21"/>
                      <w:szCs w:val="21"/>
                      <w:highlight w:val="none"/>
                      <w:vertAlign w:val="baseline"/>
                      <w:lang w:val="en-US" w:eastAsia="zh-CN"/>
                    </w:rPr>
                    <w:t>。</w:t>
                  </w:r>
                  <w:r>
                    <w:rPr>
                      <w:rFonts w:hint="eastAsia" w:ascii="Times New Roman" w:hAnsi="Times New Roman" w:cs="Times New Roman"/>
                      <w:b w:val="0"/>
                      <w:bCs w:val="0"/>
                      <w:color w:val="auto"/>
                      <w:sz w:val="21"/>
                      <w:szCs w:val="21"/>
                      <w:highlight w:val="none"/>
                      <w:vertAlign w:val="baseline"/>
                      <w:lang w:val="en-US" w:eastAsia="zh-CN"/>
                    </w:rPr>
                    <w:t>项目厂界西侧9m处有居民居住。</w:t>
                  </w:r>
                </w:p>
              </w:tc>
              <w:tc>
                <w:tcPr>
                  <w:tcW w:w="1587" w:type="dxa"/>
                  <w:noWrap w:val="0"/>
                  <w:vAlign w:val="center"/>
                </w:tcPr>
                <w:p w14:paraId="4C8242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不设置大气专项评价</w:t>
                  </w:r>
                </w:p>
              </w:tc>
            </w:tr>
            <w:tr w14:paraId="6B25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noWrap w:val="0"/>
                  <w:vAlign w:val="center"/>
                </w:tcPr>
                <w:p w14:paraId="334CBF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地表水</w:t>
                  </w:r>
                </w:p>
              </w:tc>
              <w:tc>
                <w:tcPr>
                  <w:tcW w:w="1904" w:type="dxa"/>
                  <w:noWrap w:val="0"/>
                  <w:vAlign w:val="center"/>
                </w:tcPr>
                <w:p w14:paraId="078516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新增工业废水直排建设项目（槽罐车外送污水处理厂的除外）；新增废水直排的污水集中处理厂</w:t>
                  </w:r>
                </w:p>
              </w:tc>
              <w:tc>
                <w:tcPr>
                  <w:tcW w:w="1904" w:type="dxa"/>
                  <w:noWrap w:val="0"/>
                  <w:vAlign w:val="center"/>
                </w:tcPr>
                <w:p w14:paraId="54547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本项目</w:t>
                  </w:r>
                  <w:r>
                    <w:rPr>
                      <w:rFonts w:hint="eastAsia" w:ascii="Times New Roman" w:hAnsi="Times New Roman" w:cs="Times New Roman"/>
                      <w:color w:val="auto"/>
                      <w:sz w:val="21"/>
                      <w:szCs w:val="21"/>
                      <w:highlight w:val="none"/>
                      <w:lang w:val="en-US" w:eastAsia="zh-CN"/>
                    </w:rPr>
                    <w:t>无生产废水</w:t>
                  </w:r>
                  <w:r>
                    <w:rPr>
                      <w:rFonts w:hint="default" w:ascii="Times New Roman" w:hAnsi="Times New Roman" w:eastAsia="宋体" w:cs="Times New Roman"/>
                      <w:color w:val="auto"/>
                      <w:kern w:val="0"/>
                      <w:sz w:val="21"/>
                      <w:szCs w:val="21"/>
                      <w:highlight w:val="none"/>
                      <w:lang w:val="en-US" w:eastAsia="zh-CN"/>
                    </w:rPr>
                    <w:t>。</w:t>
                  </w:r>
                  <w:r>
                    <w:rPr>
                      <w:rFonts w:hint="eastAsia"/>
                      <w:color w:val="auto"/>
                      <w:sz w:val="21"/>
                      <w:szCs w:val="21"/>
                      <w:lang w:val="en-US" w:eastAsia="zh-CN"/>
                    </w:rPr>
                    <w:t>生活污水进入厂区新建防渗化粪池</w:t>
                  </w:r>
                  <w:r>
                    <w:rPr>
                      <w:rFonts w:hint="eastAsia"/>
                      <w:color w:val="auto"/>
                      <w:lang w:val="en-US" w:eastAsia="zh-CN"/>
                    </w:rPr>
                    <w:t>。</w:t>
                  </w:r>
                </w:p>
              </w:tc>
              <w:tc>
                <w:tcPr>
                  <w:tcW w:w="1587" w:type="dxa"/>
                  <w:noWrap w:val="0"/>
                  <w:vAlign w:val="center"/>
                </w:tcPr>
                <w:p w14:paraId="3285B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val="en-US" w:eastAsia="zh-CN"/>
                    </w:rPr>
                    <w:t>不设置</w:t>
                  </w:r>
                  <w:r>
                    <w:rPr>
                      <w:rFonts w:hint="default" w:ascii="Times New Roman" w:hAnsi="Times New Roman" w:eastAsia="宋体" w:cs="Times New Roman"/>
                      <w:b w:val="0"/>
                      <w:bCs w:val="0"/>
                      <w:color w:val="auto"/>
                      <w:sz w:val="21"/>
                      <w:szCs w:val="21"/>
                      <w:highlight w:val="none"/>
                      <w:vertAlign w:val="baseline"/>
                      <w:lang w:eastAsia="zh-CN"/>
                    </w:rPr>
                    <w:t>地表水</w:t>
                  </w:r>
                  <w:r>
                    <w:rPr>
                      <w:rFonts w:hint="default" w:ascii="Times New Roman" w:hAnsi="Times New Roman" w:eastAsia="宋体" w:cs="Times New Roman"/>
                      <w:b w:val="0"/>
                      <w:bCs w:val="0"/>
                      <w:color w:val="auto"/>
                      <w:sz w:val="21"/>
                      <w:szCs w:val="21"/>
                      <w:highlight w:val="none"/>
                      <w:vertAlign w:val="baseline"/>
                      <w:lang w:val="en-US" w:eastAsia="zh-CN"/>
                    </w:rPr>
                    <w:t>专项评价</w:t>
                  </w:r>
                </w:p>
              </w:tc>
            </w:tr>
            <w:tr w14:paraId="03AA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noWrap w:val="0"/>
                  <w:vAlign w:val="center"/>
                </w:tcPr>
                <w:p w14:paraId="1F7C5C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环境风险</w:t>
                  </w:r>
                </w:p>
              </w:tc>
              <w:tc>
                <w:tcPr>
                  <w:tcW w:w="1904" w:type="dxa"/>
                  <w:noWrap w:val="0"/>
                  <w:vAlign w:val="center"/>
                </w:tcPr>
                <w:p w14:paraId="29AC3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有毒有害和易燃易爆危险物质存储量超过临界量的建设项目</w:t>
                  </w:r>
                </w:p>
              </w:tc>
              <w:tc>
                <w:tcPr>
                  <w:tcW w:w="1904" w:type="dxa"/>
                  <w:noWrap w:val="0"/>
                  <w:vAlign w:val="center"/>
                </w:tcPr>
                <w:p w14:paraId="30F9C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本项目</w:t>
                  </w:r>
                  <w:r>
                    <w:rPr>
                      <w:rFonts w:hint="eastAsia" w:cs="Times New Roman"/>
                      <w:b w:val="0"/>
                      <w:bCs w:val="0"/>
                      <w:color w:val="auto"/>
                      <w:sz w:val="21"/>
                      <w:szCs w:val="21"/>
                      <w:highlight w:val="none"/>
                      <w:vertAlign w:val="baseline"/>
                      <w:lang w:val="en-US" w:eastAsia="zh-CN"/>
                    </w:rPr>
                    <w:t>只产生少量的废机油</w:t>
                  </w:r>
                  <w:r>
                    <w:rPr>
                      <w:rFonts w:hint="eastAsia" w:ascii="Times New Roman" w:hAnsi="Times New Roman" w:eastAsia="宋体" w:cs="Times New Roman"/>
                      <w:b w:val="0"/>
                      <w:bCs w:val="0"/>
                      <w:color w:val="auto"/>
                      <w:sz w:val="21"/>
                      <w:szCs w:val="21"/>
                      <w:highlight w:val="none"/>
                      <w:vertAlign w:val="baseline"/>
                      <w:lang w:val="en-US" w:eastAsia="zh-CN"/>
                    </w:rPr>
                    <w:t>，</w:t>
                  </w:r>
                  <w:r>
                    <w:rPr>
                      <w:rFonts w:hint="eastAsia" w:cs="Times New Roman"/>
                      <w:b w:val="0"/>
                      <w:bCs w:val="0"/>
                      <w:color w:val="auto"/>
                      <w:sz w:val="21"/>
                      <w:szCs w:val="21"/>
                      <w:highlight w:val="none"/>
                      <w:vertAlign w:val="baseline"/>
                      <w:lang w:val="en-US" w:eastAsia="zh-CN"/>
                    </w:rPr>
                    <w:t>未超过临界量</w:t>
                  </w:r>
                  <w:r>
                    <w:rPr>
                      <w:rFonts w:hint="default" w:ascii="Times New Roman" w:hAnsi="Times New Roman" w:eastAsia="宋体" w:cs="Times New Roman"/>
                      <w:b w:val="0"/>
                      <w:bCs w:val="0"/>
                      <w:color w:val="auto"/>
                      <w:sz w:val="21"/>
                      <w:szCs w:val="21"/>
                      <w:highlight w:val="none"/>
                      <w:vertAlign w:val="baseline"/>
                      <w:lang w:eastAsia="zh-CN"/>
                    </w:rPr>
                    <w:t>。</w:t>
                  </w:r>
                </w:p>
              </w:tc>
              <w:tc>
                <w:tcPr>
                  <w:tcW w:w="1587" w:type="dxa"/>
                  <w:noWrap w:val="0"/>
                  <w:vAlign w:val="center"/>
                </w:tcPr>
                <w:p w14:paraId="1938D9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val="en-US" w:eastAsia="zh-CN"/>
                    </w:rPr>
                    <w:t>不设置</w:t>
                  </w:r>
                  <w:r>
                    <w:rPr>
                      <w:rFonts w:hint="default" w:ascii="Times New Roman" w:hAnsi="Times New Roman" w:eastAsia="宋体" w:cs="Times New Roman"/>
                      <w:b w:val="0"/>
                      <w:bCs w:val="0"/>
                      <w:color w:val="auto"/>
                      <w:sz w:val="21"/>
                      <w:szCs w:val="21"/>
                      <w:highlight w:val="none"/>
                      <w:vertAlign w:val="baseline"/>
                      <w:lang w:eastAsia="zh-CN"/>
                    </w:rPr>
                    <w:t>环境风险</w:t>
                  </w:r>
                  <w:r>
                    <w:rPr>
                      <w:rFonts w:hint="default" w:ascii="Times New Roman" w:hAnsi="Times New Roman" w:eastAsia="宋体" w:cs="Times New Roman"/>
                      <w:b w:val="0"/>
                      <w:bCs w:val="0"/>
                      <w:color w:val="auto"/>
                      <w:sz w:val="21"/>
                      <w:szCs w:val="21"/>
                      <w:highlight w:val="none"/>
                      <w:vertAlign w:val="baseline"/>
                      <w:lang w:val="en-US" w:eastAsia="zh-CN"/>
                    </w:rPr>
                    <w:t>专项评价</w:t>
                  </w:r>
                </w:p>
              </w:tc>
            </w:tr>
            <w:tr w14:paraId="7524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noWrap w:val="0"/>
                  <w:vAlign w:val="center"/>
                </w:tcPr>
                <w:p w14:paraId="0B69BF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生态</w:t>
                  </w:r>
                </w:p>
              </w:tc>
              <w:tc>
                <w:tcPr>
                  <w:tcW w:w="1904" w:type="dxa"/>
                  <w:noWrap w:val="0"/>
                  <w:vAlign w:val="center"/>
                </w:tcPr>
                <w:p w14:paraId="5DD87A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取水口下游500米范围内有重要水生生物的自然产卵场、索饵场、越冬场和洄游通道的新增河道取水的污染类建设项目</w:t>
                  </w:r>
                </w:p>
              </w:tc>
              <w:tc>
                <w:tcPr>
                  <w:tcW w:w="1904" w:type="dxa"/>
                  <w:noWrap w:val="0"/>
                  <w:vAlign w:val="center"/>
                </w:tcPr>
                <w:p w14:paraId="0664A8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val="en-US" w:eastAsia="zh-CN"/>
                    </w:rPr>
                    <w:t>本项目</w:t>
                  </w:r>
                  <w:r>
                    <w:rPr>
                      <w:rFonts w:hint="eastAsia" w:cs="Times New Roman"/>
                      <w:b w:val="0"/>
                      <w:bCs w:val="0"/>
                      <w:color w:val="auto"/>
                      <w:sz w:val="21"/>
                      <w:szCs w:val="21"/>
                      <w:highlight w:val="none"/>
                      <w:vertAlign w:val="baseline"/>
                      <w:lang w:val="en-US" w:eastAsia="zh-CN"/>
                    </w:rPr>
                    <w:t>生产用水供水管网供水</w:t>
                  </w:r>
                  <w:r>
                    <w:rPr>
                      <w:rFonts w:hint="default" w:ascii="Times New Roman" w:hAnsi="Times New Roman" w:eastAsia="宋体" w:cs="Times New Roman"/>
                      <w:b w:val="0"/>
                      <w:bCs w:val="0"/>
                      <w:color w:val="auto"/>
                      <w:sz w:val="21"/>
                      <w:szCs w:val="21"/>
                      <w:highlight w:val="none"/>
                      <w:vertAlign w:val="baseline"/>
                      <w:lang w:eastAsia="zh-CN"/>
                    </w:rPr>
                    <w:t>，</w:t>
                  </w:r>
                  <w:r>
                    <w:rPr>
                      <w:rFonts w:hint="default" w:ascii="Times New Roman" w:hAnsi="Times New Roman" w:eastAsia="宋体" w:cs="Times New Roman"/>
                      <w:b w:val="0"/>
                      <w:bCs w:val="0"/>
                      <w:color w:val="auto"/>
                      <w:sz w:val="21"/>
                      <w:szCs w:val="21"/>
                      <w:highlight w:val="none"/>
                      <w:vertAlign w:val="baseline"/>
                      <w:lang w:val="en-US" w:eastAsia="zh-CN"/>
                    </w:rPr>
                    <w:t>生活用水</w:t>
                  </w:r>
                  <w:r>
                    <w:rPr>
                      <w:rFonts w:hint="eastAsia" w:cs="Times New Roman"/>
                      <w:b w:val="0"/>
                      <w:bCs w:val="0"/>
                      <w:color w:val="auto"/>
                      <w:sz w:val="21"/>
                      <w:szCs w:val="21"/>
                      <w:highlight w:val="none"/>
                      <w:vertAlign w:val="baseline"/>
                      <w:lang w:val="en-US" w:eastAsia="zh-CN"/>
                    </w:rPr>
                    <w:t>购买桶装水</w:t>
                  </w:r>
                  <w:r>
                    <w:rPr>
                      <w:rFonts w:hint="default" w:ascii="Times New Roman" w:hAnsi="Times New Roman" w:eastAsia="宋体" w:cs="Times New Roman"/>
                      <w:b w:val="0"/>
                      <w:bCs w:val="0"/>
                      <w:color w:val="auto"/>
                      <w:sz w:val="21"/>
                      <w:szCs w:val="21"/>
                      <w:highlight w:val="none"/>
                      <w:vertAlign w:val="baseline"/>
                      <w:lang w:eastAsia="zh-CN"/>
                    </w:rPr>
                    <w:t>。</w:t>
                  </w:r>
                </w:p>
              </w:tc>
              <w:tc>
                <w:tcPr>
                  <w:tcW w:w="1587" w:type="dxa"/>
                  <w:noWrap w:val="0"/>
                  <w:vAlign w:val="center"/>
                </w:tcPr>
                <w:p w14:paraId="3C402B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val="en-US" w:eastAsia="zh-CN"/>
                    </w:rPr>
                    <w:t>不设置</w:t>
                  </w:r>
                  <w:r>
                    <w:rPr>
                      <w:rFonts w:hint="default" w:ascii="Times New Roman" w:hAnsi="Times New Roman" w:eastAsia="宋体" w:cs="Times New Roman"/>
                      <w:b w:val="0"/>
                      <w:bCs w:val="0"/>
                      <w:color w:val="auto"/>
                      <w:sz w:val="21"/>
                      <w:szCs w:val="21"/>
                      <w:highlight w:val="none"/>
                      <w:vertAlign w:val="baseline"/>
                      <w:lang w:eastAsia="zh-CN"/>
                    </w:rPr>
                    <w:t>生态</w:t>
                  </w:r>
                  <w:r>
                    <w:rPr>
                      <w:rFonts w:hint="default" w:ascii="Times New Roman" w:hAnsi="Times New Roman" w:eastAsia="宋体" w:cs="Times New Roman"/>
                      <w:b w:val="0"/>
                      <w:bCs w:val="0"/>
                      <w:color w:val="auto"/>
                      <w:sz w:val="21"/>
                      <w:szCs w:val="21"/>
                      <w:highlight w:val="none"/>
                      <w:vertAlign w:val="baseline"/>
                      <w:lang w:val="en-US" w:eastAsia="zh-CN"/>
                    </w:rPr>
                    <w:t>专项评价</w:t>
                  </w:r>
                </w:p>
              </w:tc>
            </w:tr>
            <w:tr w14:paraId="0973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noWrap w:val="0"/>
                  <w:vAlign w:val="center"/>
                </w:tcPr>
                <w:p w14:paraId="25B392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海洋</w:t>
                  </w:r>
                </w:p>
              </w:tc>
              <w:tc>
                <w:tcPr>
                  <w:tcW w:w="1904" w:type="dxa"/>
                  <w:noWrap w:val="0"/>
                  <w:vAlign w:val="center"/>
                </w:tcPr>
                <w:p w14:paraId="04AFE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直接向海排放污染物的海洋工程建设项目</w:t>
                  </w:r>
                </w:p>
              </w:tc>
              <w:tc>
                <w:tcPr>
                  <w:tcW w:w="1904" w:type="dxa"/>
                  <w:noWrap w:val="0"/>
                  <w:vAlign w:val="center"/>
                </w:tcPr>
                <w:p w14:paraId="682B7E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本项目不属于海洋工程建设项目，不直接向海排放污染物。</w:t>
                  </w:r>
                </w:p>
              </w:tc>
              <w:tc>
                <w:tcPr>
                  <w:tcW w:w="1587" w:type="dxa"/>
                  <w:noWrap w:val="0"/>
                  <w:vAlign w:val="center"/>
                </w:tcPr>
                <w:p w14:paraId="187DCE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val="en-US" w:eastAsia="zh-CN"/>
                    </w:rPr>
                    <w:t>不设置</w:t>
                  </w:r>
                  <w:r>
                    <w:rPr>
                      <w:rFonts w:hint="default" w:ascii="Times New Roman" w:hAnsi="Times New Roman" w:eastAsia="宋体" w:cs="Times New Roman"/>
                      <w:b w:val="0"/>
                      <w:bCs w:val="0"/>
                      <w:color w:val="auto"/>
                      <w:sz w:val="21"/>
                      <w:szCs w:val="21"/>
                      <w:highlight w:val="none"/>
                      <w:vertAlign w:val="baseline"/>
                      <w:lang w:eastAsia="zh-CN"/>
                    </w:rPr>
                    <w:t>海洋</w:t>
                  </w:r>
                  <w:r>
                    <w:rPr>
                      <w:rFonts w:hint="default" w:ascii="Times New Roman" w:hAnsi="Times New Roman" w:eastAsia="宋体" w:cs="Times New Roman"/>
                      <w:b w:val="0"/>
                      <w:bCs w:val="0"/>
                      <w:color w:val="auto"/>
                      <w:sz w:val="21"/>
                      <w:szCs w:val="21"/>
                      <w:highlight w:val="none"/>
                      <w:vertAlign w:val="baseline"/>
                      <w:lang w:val="en-US" w:eastAsia="zh-CN"/>
                    </w:rPr>
                    <w:t>专项评价</w:t>
                  </w:r>
                </w:p>
              </w:tc>
            </w:tr>
          </w:tbl>
          <w:p w14:paraId="7E715540">
            <w:pPr>
              <w:spacing w:line="240" w:lineRule="auto"/>
              <w:ind w:firstLine="480"/>
              <w:jc w:val="center"/>
              <w:rPr>
                <w:rFonts w:cs="Times New Roman"/>
                <w:color w:val="auto"/>
              </w:rPr>
            </w:pPr>
            <w:r>
              <w:rPr>
                <w:rFonts w:hint="default" w:ascii="Times New Roman" w:hAnsi="Times New Roman" w:eastAsia="宋体" w:cs="Times New Roman"/>
                <w:b w:val="0"/>
                <w:bCs w:val="0"/>
                <w:color w:val="auto"/>
                <w:sz w:val="24"/>
                <w:szCs w:val="24"/>
                <w:highlight w:val="none"/>
                <w:vertAlign w:val="baseline"/>
                <w:lang w:val="en-US" w:eastAsia="zh-CN"/>
              </w:rPr>
              <w:t>综上</w:t>
            </w:r>
            <w:r>
              <w:rPr>
                <w:rFonts w:hint="default" w:ascii="Times New Roman" w:hAnsi="Times New Roman" w:eastAsia="宋体" w:cs="Times New Roman"/>
                <w:b w:val="0"/>
                <w:bCs w:val="0"/>
                <w:color w:val="auto"/>
                <w:sz w:val="24"/>
                <w:szCs w:val="24"/>
                <w:highlight w:val="none"/>
                <w:vertAlign w:val="baseline"/>
                <w:lang w:eastAsia="zh-CN"/>
              </w:rPr>
              <w:t>，本项目不</w:t>
            </w:r>
            <w:r>
              <w:rPr>
                <w:rFonts w:hint="default" w:ascii="Times New Roman" w:hAnsi="Times New Roman" w:eastAsia="宋体" w:cs="Times New Roman"/>
                <w:b w:val="0"/>
                <w:bCs w:val="0"/>
                <w:color w:val="auto"/>
                <w:sz w:val="24"/>
                <w:szCs w:val="24"/>
                <w:highlight w:val="none"/>
                <w:vertAlign w:val="baseline"/>
                <w:lang w:val="en-US" w:eastAsia="zh-CN"/>
              </w:rPr>
              <w:t>设置</w:t>
            </w:r>
            <w:r>
              <w:rPr>
                <w:rFonts w:hint="default" w:ascii="Times New Roman" w:hAnsi="Times New Roman" w:eastAsia="宋体" w:cs="Times New Roman"/>
                <w:b w:val="0"/>
                <w:bCs w:val="0"/>
                <w:color w:val="auto"/>
                <w:sz w:val="24"/>
                <w:szCs w:val="24"/>
                <w:highlight w:val="none"/>
                <w:vertAlign w:val="baseline"/>
                <w:lang w:eastAsia="zh-CN"/>
              </w:rPr>
              <w:t>专项评价。</w:t>
            </w:r>
          </w:p>
        </w:tc>
      </w:tr>
      <w:tr w14:paraId="0CCE2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14:paraId="21023D04">
            <w:pPr>
              <w:spacing w:line="240" w:lineRule="auto"/>
              <w:ind w:firstLine="0" w:firstLineChars="0"/>
              <w:jc w:val="center"/>
              <w:rPr>
                <w:rFonts w:cs="Times New Roman"/>
                <w:color w:val="auto"/>
              </w:rPr>
            </w:pPr>
            <w:r>
              <w:rPr>
                <w:rFonts w:cs="Times New Roman"/>
                <w:color w:val="auto"/>
              </w:rPr>
              <w:t>规划情况</w:t>
            </w:r>
          </w:p>
        </w:tc>
        <w:tc>
          <w:tcPr>
            <w:tcW w:w="7699" w:type="dxa"/>
            <w:gridSpan w:val="3"/>
            <w:vAlign w:val="center"/>
          </w:tcPr>
          <w:p w14:paraId="65F04A12">
            <w:pPr>
              <w:ind w:firstLine="480"/>
              <w:jc w:val="center"/>
              <w:rPr>
                <w:rFonts w:hint="eastAsia" w:eastAsia="宋体" w:cs="Times New Roman"/>
                <w:color w:val="auto"/>
                <w:lang w:eastAsia="zh-CN"/>
              </w:rPr>
            </w:pPr>
            <w:r>
              <w:rPr>
                <w:rFonts w:hint="eastAsia" w:cs="Times New Roman"/>
                <w:color w:val="auto"/>
                <w:lang w:val="en-US" w:eastAsia="zh-CN"/>
              </w:rPr>
              <w:t>无</w:t>
            </w:r>
          </w:p>
        </w:tc>
      </w:tr>
      <w:tr w14:paraId="5FBE7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14:paraId="5427C013">
            <w:pPr>
              <w:spacing w:line="240" w:lineRule="auto"/>
              <w:ind w:firstLine="0" w:firstLineChars="0"/>
              <w:jc w:val="center"/>
              <w:rPr>
                <w:rFonts w:cs="Times New Roman"/>
                <w:color w:val="auto"/>
              </w:rPr>
            </w:pPr>
            <w:r>
              <w:rPr>
                <w:rFonts w:cs="Times New Roman"/>
                <w:color w:val="auto"/>
              </w:rPr>
              <w:t>规划环境影响评价情况</w:t>
            </w:r>
          </w:p>
        </w:tc>
        <w:tc>
          <w:tcPr>
            <w:tcW w:w="7699" w:type="dxa"/>
            <w:gridSpan w:val="3"/>
            <w:vAlign w:val="center"/>
          </w:tcPr>
          <w:p w14:paraId="0519A9D5">
            <w:pPr>
              <w:ind w:firstLine="480"/>
              <w:jc w:val="center"/>
              <w:rPr>
                <w:rFonts w:hint="eastAsia" w:eastAsia="宋体" w:cs="Times New Roman"/>
                <w:color w:val="auto"/>
                <w:lang w:eastAsia="zh-CN"/>
              </w:rPr>
            </w:pPr>
            <w:r>
              <w:rPr>
                <w:rFonts w:hint="eastAsia" w:cs="Times New Roman"/>
                <w:color w:val="auto"/>
                <w:lang w:val="en-US" w:eastAsia="zh-CN"/>
              </w:rPr>
              <w:t>无</w:t>
            </w:r>
          </w:p>
        </w:tc>
      </w:tr>
      <w:tr w14:paraId="029C06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14:paraId="16CB9337">
            <w:pPr>
              <w:spacing w:line="240" w:lineRule="auto"/>
              <w:ind w:firstLine="0" w:firstLineChars="0"/>
              <w:jc w:val="center"/>
              <w:rPr>
                <w:rFonts w:cs="Times New Roman"/>
                <w:color w:val="auto"/>
              </w:rPr>
            </w:pPr>
            <w:r>
              <w:rPr>
                <w:rFonts w:cs="Times New Roman"/>
                <w:color w:val="auto"/>
              </w:rPr>
              <w:t>规划及规划环境影响评价符合性分析</w:t>
            </w:r>
          </w:p>
        </w:tc>
        <w:tc>
          <w:tcPr>
            <w:tcW w:w="7699" w:type="dxa"/>
            <w:gridSpan w:val="3"/>
            <w:vAlign w:val="center"/>
          </w:tcPr>
          <w:p w14:paraId="401DC94D">
            <w:pPr>
              <w:ind w:firstLine="480"/>
              <w:jc w:val="center"/>
              <w:rPr>
                <w:rFonts w:hint="eastAsia" w:eastAsia="宋体" w:cs="Times New Roman"/>
                <w:color w:val="auto"/>
                <w:lang w:eastAsia="zh-CN"/>
              </w:rPr>
            </w:pPr>
            <w:r>
              <w:rPr>
                <w:rFonts w:hint="eastAsia" w:cs="Times New Roman"/>
                <w:color w:val="auto"/>
                <w:lang w:val="en-US" w:eastAsia="zh-CN"/>
              </w:rPr>
              <w:t>无</w:t>
            </w:r>
          </w:p>
        </w:tc>
      </w:tr>
      <w:tr w14:paraId="444B98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14:paraId="18EB4E1D">
            <w:pPr>
              <w:spacing w:line="240" w:lineRule="auto"/>
              <w:ind w:firstLine="0" w:firstLineChars="0"/>
              <w:jc w:val="center"/>
              <w:rPr>
                <w:rFonts w:cs="Times New Roman"/>
                <w:color w:val="auto"/>
              </w:rPr>
            </w:pPr>
            <w:r>
              <w:rPr>
                <w:rFonts w:cs="Times New Roman"/>
                <w:color w:val="auto"/>
              </w:rPr>
              <w:t>其他符合性分析</w:t>
            </w:r>
          </w:p>
        </w:tc>
        <w:tc>
          <w:tcPr>
            <w:tcW w:w="7699" w:type="dxa"/>
            <w:gridSpan w:val="3"/>
            <w:vAlign w:val="center"/>
          </w:tcPr>
          <w:p w14:paraId="1C8CE098">
            <w:pPr>
              <w:ind w:left="0" w:leftChars="0" w:firstLine="0" w:firstLineChars="0"/>
              <w:rPr>
                <w:rFonts w:cs="Times New Roman"/>
                <w:b/>
                <w:bCs/>
                <w:color w:val="auto"/>
              </w:rPr>
            </w:pPr>
            <w:r>
              <w:rPr>
                <w:rFonts w:cs="Times New Roman"/>
                <w:b/>
                <w:bCs/>
                <w:color w:val="auto"/>
              </w:rPr>
              <w:t>1、产业政策符合性</w:t>
            </w:r>
          </w:p>
          <w:p w14:paraId="6CEA604D">
            <w:pPr>
              <w:ind w:firstLine="480"/>
              <w:rPr>
                <w:rFonts w:cs="Times New Roman"/>
                <w:color w:val="auto"/>
              </w:rPr>
            </w:pPr>
            <w:r>
              <w:rPr>
                <w:rFonts w:cs="Times New Roman"/>
                <w:color w:val="auto"/>
              </w:rPr>
              <w:t>根据《产业结构调整指导目录（2024年本）》可知，本项目既不属于鼓励类项目，也不属于限制类和淘汰类项目，视为国家政策允许建设的项目。</w:t>
            </w:r>
          </w:p>
          <w:p w14:paraId="368313AE">
            <w:pPr>
              <w:ind w:firstLine="482"/>
              <w:rPr>
                <w:rFonts w:cs="Times New Roman"/>
                <w:b/>
                <w:bCs/>
                <w:color w:val="auto"/>
              </w:rPr>
            </w:pPr>
            <w:r>
              <w:rPr>
                <w:rFonts w:cs="Times New Roman"/>
                <w:b/>
                <w:bCs/>
                <w:color w:val="auto"/>
              </w:rPr>
              <w:t>2、建设项目选址合理性</w:t>
            </w:r>
          </w:p>
          <w:p w14:paraId="7C19449D">
            <w:pPr>
              <w:ind w:firstLine="480"/>
              <w:rPr>
                <w:rFonts w:hint="eastAsia" w:cs="Times New Roman"/>
                <w:color w:val="auto"/>
                <w:lang w:val="en-US" w:eastAsia="zh-CN"/>
              </w:rPr>
            </w:pPr>
            <w:r>
              <w:rPr>
                <w:rFonts w:cs="Times New Roman"/>
                <w:color w:val="auto"/>
              </w:rPr>
              <w:t>本项目位于内蒙古自治区巴彦淖尔市</w:t>
            </w:r>
            <w:r>
              <w:rPr>
                <w:rFonts w:hint="eastAsia" w:cs="Times New Roman"/>
                <w:color w:val="auto"/>
              </w:rPr>
              <w:t>磴口县巴彦高勒镇</w:t>
            </w:r>
            <w:r>
              <w:rPr>
                <w:rFonts w:cs="Times New Roman"/>
                <w:color w:val="auto"/>
                <w:highlight w:val="none"/>
              </w:rPr>
              <w:t>，项目</w:t>
            </w:r>
            <w:r>
              <w:rPr>
                <w:rFonts w:hint="eastAsia" w:cs="Times New Roman"/>
                <w:color w:val="auto"/>
                <w:highlight w:val="none"/>
                <w:lang w:val="en-US" w:eastAsia="zh-CN"/>
              </w:rPr>
              <w:t>北侧、西侧为居民区（西侧最近为10m，北侧最近处20m）</w:t>
            </w:r>
            <w:r>
              <w:rPr>
                <w:rFonts w:hint="eastAsia" w:cs="Times New Roman"/>
                <w:color w:val="auto"/>
                <w:highlight w:val="none"/>
                <w:lang w:val="en-US" w:eastAsia="zh-CN"/>
              </w:rPr>
              <w:t>，南侧为涵管厂，</w:t>
            </w:r>
            <w:r>
              <w:rPr>
                <w:rFonts w:hint="eastAsia" w:cs="Times New Roman"/>
                <w:color w:val="auto"/>
                <w:highlight w:val="none"/>
                <w:lang w:val="en-US" w:eastAsia="zh-CN"/>
              </w:rPr>
              <w:t>东侧100m为总干渠</w:t>
            </w:r>
            <w:r>
              <w:rPr>
                <w:rFonts w:cs="Times New Roman"/>
                <w:color w:val="auto"/>
                <w:highlight w:val="none"/>
              </w:rPr>
              <w:t>。</w:t>
            </w:r>
            <w:r>
              <w:rPr>
                <w:rFonts w:hint="eastAsia" w:cs="Times New Roman"/>
                <w:color w:val="auto"/>
                <w:highlight w:val="none"/>
                <w:lang w:val="en-US" w:eastAsia="zh-CN"/>
              </w:rPr>
              <w:t>项目主要的影响集中在建设期，在建设时产生大量的粉尘及施工噪声，该影响在施工结束后消失，运营期对周边居民产生的影响较小。</w:t>
            </w:r>
            <w:r>
              <w:rPr>
                <w:rFonts w:cs="Times New Roman"/>
                <w:color w:val="auto"/>
              </w:rPr>
              <w:t>项目区500m范围内无自然保护区、风景名胜区、文物遗迹等特殊环境敏感点，无重大环境制约因素；</w:t>
            </w:r>
            <w:r>
              <w:rPr>
                <w:rFonts w:cs="Times New Roman"/>
                <w:color w:val="auto"/>
              </w:rPr>
              <w:t>项目运营期产生的废气、废水、固废、噪声等污染物在采取本次评价提出的各项环保措施后，均可达标排放</w:t>
            </w:r>
            <w:r>
              <w:rPr>
                <w:rFonts w:hint="eastAsia" w:cs="Times New Roman"/>
                <w:color w:val="auto"/>
                <w:lang w:eastAsia="zh-CN"/>
              </w:rPr>
              <w:t>。</w:t>
            </w:r>
            <w:r>
              <w:rPr>
                <w:rFonts w:hint="eastAsia" w:cs="Times New Roman"/>
                <w:color w:val="auto"/>
                <w:lang w:val="en-US" w:eastAsia="zh-CN"/>
              </w:rPr>
              <w:t>项目周边设有围墙，可减少噪声对周边敏感点的影响。在原料区域建设全封闭原料库房，内部设置雾炮等除尘设施，可减少扬尘对周边敏感点的影响。生活污水进入厂区化粪池，委托环卫部门进行清运，一般固体废物进入一般固废间，不外排。危险废物进入危险废物暂存间，委托有资质单位进行处置。项目</w:t>
            </w:r>
            <w:r>
              <w:rPr>
                <w:rFonts w:cs="Times New Roman"/>
                <w:color w:val="auto"/>
              </w:rPr>
              <w:t>对区域环境影响较小。</w:t>
            </w:r>
          </w:p>
          <w:p w14:paraId="736DA604">
            <w:pPr>
              <w:ind w:firstLine="480"/>
              <w:rPr>
                <w:rFonts w:cs="Times New Roman"/>
                <w:color w:val="auto"/>
              </w:rPr>
            </w:pPr>
            <w:r>
              <w:rPr>
                <w:rFonts w:cs="Times New Roman"/>
                <w:color w:val="auto"/>
              </w:rPr>
              <w:t>从环境保护角度分析，项目选址合理。</w:t>
            </w:r>
          </w:p>
          <w:p w14:paraId="795FDAE4">
            <w:pPr>
              <w:ind w:firstLine="482"/>
              <w:rPr>
                <w:rFonts w:cs="Times New Roman"/>
                <w:b/>
                <w:bCs/>
                <w:color w:val="auto"/>
              </w:rPr>
            </w:pPr>
            <w:r>
              <w:rPr>
                <w:rFonts w:cs="Times New Roman"/>
                <w:b/>
                <w:bCs/>
                <w:color w:val="auto"/>
              </w:rPr>
              <w:t>3、</w:t>
            </w:r>
            <w:r>
              <w:rPr>
                <w:rFonts w:hint="eastAsia" w:cs="Times New Roman"/>
                <w:b/>
                <w:bCs/>
                <w:color w:val="auto"/>
                <w:lang w:val="en-US" w:eastAsia="zh-CN"/>
              </w:rPr>
              <w:t>生态环境分区管控</w:t>
            </w:r>
            <w:r>
              <w:rPr>
                <w:rFonts w:cs="Times New Roman"/>
                <w:b/>
                <w:bCs/>
                <w:color w:val="auto"/>
              </w:rPr>
              <w:t>符合性分析</w:t>
            </w:r>
          </w:p>
          <w:p w14:paraId="52B26A32">
            <w:pPr>
              <w:ind w:firstLine="480"/>
              <w:rPr>
                <w:rFonts w:cs="Times New Roman"/>
                <w:color w:val="auto"/>
              </w:rPr>
            </w:pPr>
            <w:r>
              <w:rPr>
                <w:rFonts w:cs="Times New Roman"/>
                <w:color w:val="auto"/>
              </w:rPr>
              <w:t>（1）生态保护红线</w:t>
            </w:r>
          </w:p>
          <w:p w14:paraId="4818D3E6">
            <w:pPr>
              <w:ind w:firstLine="480"/>
              <w:rPr>
                <w:rFonts w:hint="default" w:eastAsia="宋体" w:cs="Times New Roman"/>
                <w:color w:val="auto"/>
                <w:lang w:val="en-US" w:eastAsia="zh-CN"/>
              </w:rPr>
            </w:pPr>
            <w:r>
              <w:rPr>
                <w:rFonts w:cs="Times New Roman"/>
                <w:color w:val="auto"/>
              </w:rPr>
              <w:t>根据《巴彦淖尔市人民政府办公室关于巴彦淖尔市2023年生态环境分区管控成果动态更新的通知》（巴政办字〔2023〕106号），巴彦淖尔市全市共划定环境管控单元256个，包括优先保护单元、重点管控单元、一般管控单元三类，实施分类管控。</w:t>
            </w:r>
            <w:r>
              <w:rPr>
                <w:rFonts w:hint="eastAsia"/>
                <w:color w:val="auto"/>
                <w:lang w:val="en-US" w:eastAsia="zh-CN"/>
              </w:rPr>
              <w:t>经查询后，本项目不涉及生态保护红线目标，查询函见附件6。</w:t>
            </w:r>
          </w:p>
          <w:p w14:paraId="5668774A">
            <w:pPr>
              <w:ind w:firstLine="480"/>
              <w:rPr>
                <w:rFonts w:cs="Times New Roman"/>
                <w:color w:val="auto"/>
              </w:rPr>
            </w:pPr>
            <w:r>
              <w:rPr>
                <w:rFonts w:cs="Times New Roman"/>
                <w:color w:val="auto"/>
              </w:rPr>
              <w:t>（2）环境质量底线</w:t>
            </w:r>
          </w:p>
          <w:p w14:paraId="1AFCEC45">
            <w:pPr>
              <w:ind w:firstLine="480"/>
              <w:rPr>
                <w:rFonts w:cs="Times New Roman"/>
                <w:color w:val="auto"/>
              </w:rPr>
            </w:pPr>
            <w:r>
              <w:rPr>
                <w:rFonts w:cs="Times New Roman"/>
                <w:color w:val="auto"/>
              </w:rPr>
              <w:t>根据《巴彦淖尔市环境质量状况公报（202</w:t>
            </w:r>
            <w:r>
              <w:rPr>
                <w:rFonts w:hint="eastAsia" w:cs="Times New Roman"/>
                <w:color w:val="auto"/>
                <w:lang w:val="en-US" w:eastAsia="zh-CN"/>
              </w:rPr>
              <w:t>4</w:t>
            </w:r>
            <w:r>
              <w:rPr>
                <w:rFonts w:cs="Times New Roman"/>
                <w:color w:val="auto"/>
              </w:rPr>
              <w:t>年）》，本项目所在地巴彦淖尔市</w:t>
            </w:r>
            <w:r>
              <w:rPr>
                <w:rFonts w:hint="eastAsia" w:cs="Times New Roman"/>
                <w:color w:val="auto"/>
                <w:lang w:val="en-US" w:eastAsia="zh-CN"/>
              </w:rPr>
              <w:t>磴口县巴彦高勒镇，</w:t>
            </w:r>
            <w:r>
              <w:rPr>
                <w:rFonts w:cs="Times New Roman"/>
                <w:color w:val="auto"/>
              </w:rPr>
              <w:t>202</w:t>
            </w:r>
            <w:r>
              <w:rPr>
                <w:rFonts w:hint="eastAsia" w:cs="Times New Roman"/>
                <w:color w:val="auto"/>
                <w:lang w:val="en-US" w:eastAsia="zh-CN"/>
              </w:rPr>
              <w:t>4</w:t>
            </w:r>
            <w:r>
              <w:rPr>
                <w:rFonts w:cs="Times New Roman"/>
                <w:color w:val="auto"/>
              </w:rPr>
              <w:t>年大气环境中6项污染物中SO</w:t>
            </w:r>
            <w:r>
              <w:rPr>
                <w:rFonts w:cs="Times New Roman"/>
                <w:color w:val="auto"/>
                <w:vertAlign w:val="subscript"/>
              </w:rPr>
              <w:t>2</w:t>
            </w:r>
            <w:r>
              <w:rPr>
                <w:rFonts w:cs="Times New Roman"/>
                <w:color w:val="auto"/>
              </w:rPr>
              <w:t>、NO</w:t>
            </w:r>
            <w:r>
              <w:rPr>
                <w:rFonts w:cs="Times New Roman"/>
                <w:color w:val="auto"/>
                <w:vertAlign w:val="subscript"/>
              </w:rPr>
              <w:t>2</w:t>
            </w:r>
            <w:r>
              <w:rPr>
                <w:rFonts w:cs="Times New Roman"/>
                <w:color w:val="auto"/>
              </w:rPr>
              <w:t>、PM</w:t>
            </w:r>
            <w:r>
              <w:rPr>
                <w:rFonts w:cs="Times New Roman"/>
                <w:color w:val="auto"/>
                <w:vertAlign w:val="subscript"/>
              </w:rPr>
              <w:t>10</w:t>
            </w:r>
            <w:r>
              <w:rPr>
                <w:rFonts w:cs="Times New Roman"/>
                <w:color w:val="auto"/>
              </w:rPr>
              <w:t>、PM</w:t>
            </w:r>
            <w:r>
              <w:rPr>
                <w:rFonts w:cs="Times New Roman"/>
                <w:color w:val="auto"/>
                <w:vertAlign w:val="subscript"/>
              </w:rPr>
              <w:t>2.5</w:t>
            </w:r>
            <w:r>
              <w:rPr>
                <w:rFonts w:cs="Times New Roman"/>
                <w:color w:val="auto"/>
              </w:rPr>
              <w:t>、CO和O</w:t>
            </w:r>
            <w:r>
              <w:rPr>
                <w:rFonts w:cs="Times New Roman"/>
                <w:color w:val="auto"/>
                <w:vertAlign w:val="subscript"/>
              </w:rPr>
              <w:t>3</w:t>
            </w:r>
            <w:r>
              <w:rPr>
                <w:rFonts w:cs="Times New Roman"/>
                <w:color w:val="auto"/>
              </w:rPr>
              <w:t>质量浓度均满足《环境空气质量标准》（GB3095-2012）二级标准限值，由此可判断</w:t>
            </w:r>
            <w:r>
              <w:rPr>
                <w:rFonts w:hint="eastAsia" w:cs="Times New Roman"/>
                <w:color w:val="auto"/>
                <w:lang w:val="en-US" w:eastAsia="zh-CN"/>
              </w:rPr>
              <w:t>巴彦高勒镇</w:t>
            </w:r>
            <w:r>
              <w:rPr>
                <w:rFonts w:cs="Times New Roman"/>
                <w:color w:val="auto"/>
              </w:rPr>
              <w:t>为达标区；根据其他污染物TSP监测数据可知，TSP质量浓度满足《环境空气质量标准》（GB3095-2012）二级标准限值。</w:t>
            </w:r>
          </w:p>
          <w:p w14:paraId="43685EF3">
            <w:pPr>
              <w:ind w:firstLine="480"/>
              <w:rPr>
                <w:rFonts w:cs="Times New Roman"/>
                <w:color w:val="auto"/>
              </w:rPr>
            </w:pPr>
            <w:r>
              <w:rPr>
                <w:rFonts w:cs="Times New Roman"/>
                <w:color w:val="auto"/>
              </w:rPr>
              <w:t>本项目运营期废气经处理后，均达标排放；生活污水</w:t>
            </w:r>
            <w:r>
              <w:rPr>
                <w:rFonts w:hint="eastAsia" w:cs="Times New Roman"/>
                <w:color w:val="auto"/>
                <w:lang w:val="en-US" w:eastAsia="zh-CN"/>
              </w:rPr>
              <w:t>由新建</w:t>
            </w:r>
            <w:r>
              <w:rPr>
                <w:rFonts w:hint="eastAsia" w:cs="Times New Roman"/>
                <w:color w:val="auto"/>
              </w:rPr>
              <w:t>化粪池</w:t>
            </w:r>
            <w:r>
              <w:rPr>
                <w:rFonts w:hint="eastAsia"/>
                <w:color w:val="auto"/>
              </w:rPr>
              <w:t>收集</w:t>
            </w:r>
            <w:r>
              <w:rPr>
                <w:rFonts w:hint="eastAsia" w:cs="Times New Roman"/>
                <w:color w:val="auto"/>
              </w:rPr>
              <w:t>，收集后委托环卫部门进行转运处理</w:t>
            </w:r>
            <w:r>
              <w:rPr>
                <w:rFonts w:cs="Times New Roman"/>
                <w:color w:val="auto"/>
              </w:rPr>
              <w:t>。厂界噪声贡献值满足相关标准，对周围声环境影响较小；固废全部妥善处置，对周围环境影响较小。</w:t>
            </w:r>
          </w:p>
          <w:p w14:paraId="65F71E8D">
            <w:pPr>
              <w:ind w:firstLine="480"/>
              <w:rPr>
                <w:rFonts w:cs="Times New Roman"/>
                <w:color w:val="auto"/>
              </w:rPr>
            </w:pPr>
            <w:r>
              <w:rPr>
                <w:rFonts w:cs="Times New Roman"/>
                <w:color w:val="auto"/>
              </w:rPr>
              <w:t>因此，项目实施后对项目所在地的环境质量</w:t>
            </w:r>
            <w:r>
              <w:rPr>
                <w:rFonts w:hint="eastAsia" w:cs="Times New Roman"/>
                <w:color w:val="auto"/>
                <w:lang w:val="en-US" w:eastAsia="zh-CN"/>
              </w:rPr>
              <w:t>产生的影响较小</w:t>
            </w:r>
            <w:r>
              <w:rPr>
                <w:rFonts w:cs="Times New Roman"/>
                <w:color w:val="auto"/>
              </w:rPr>
              <w:t>，项目所在地环境质量可维持现有水平，新建项目符合环境质量底线要求。</w:t>
            </w:r>
          </w:p>
          <w:p w14:paraId="5ED8573B">
            <w:pPr>
              <w:numPr>
                <w:ilvl w:val="0"/>
                <w:numId w:val="0"/>
              </w:numPr>
              <w:ind w:firstLine="480" w:firstLineChars="200"/>
              <w:rPr>
                <w:rFonts w:cs="Times New Roman"/>
                <w:color w:val="auto"/>
              </w:rPr>
            </w:pPr>
            <w:r>
              <w:rPr>
                <w:rFonts w:ascii="Times New Roman" w:hAnsi="Times New Roman" w:eastAsia="宋体" w:cs="Times New Roman"/>
                <w:color w:val="auto"/>
                <w:sz w:val="24"/>
                <w:szCs w:val="22"/>
                <w:lang w:val="en-US" w:eastAsia="zh-CN" w:bidi="ar-SA"/>
              </w:rPr>
              <w:t>（</w:t>
            </w:r>
            <w:r>
              <w:rPr>
                <w:rFonts w:hint="eastAsia" w:cs="Times New Roman"/>
                <w:color w:val="auto"/>
                <w:sz w:val="24"/>
                <w:szCs w:val="22"/>
                <w:lang w:val="en-US" w:eastAsia="zh-CN" w:bidi="ar-SA"/>
              </w:rPr>
              <w:t>3</w:t>
            </w:r>
            <w:r>
              <w:rPr>
                <w:rFonts w:ascii="Times New Roman" w:hAnsi="Times New Roman" w:eastAsia="宋体" w:cs="Times New Roman"/>
                <w:color w:val="auto"/>
                <w:sz w:val="24"/>
                <w:szCs w:val="22"/>
                <w:lang w:val="en-US" w:eastAsia="zh-CN" w:bidi="ar-SA"/>
              </w:rPr>
              <w:t>）</w:t>
            </w:r>
            <w:r>
              <w:rPr>
                <w:rFonts w:cs="Times New Roman"/>
                <w:color w:val="auto"/>
              </w:rPr>
              <w:t>生态环境准入清单</w:t>
            </w:r>
          </w:p>
          <w:p w14:paraId="08DD827C">
            <w:pPr>
              <w:ind w:firstLine="480"/>
              <w:rPr>
                <w:rFonts w:cs="Times New Roman"/>
                <w:color w:val="auto"/>
              </w:rPr>
            </w:pPr>
            <w:r>
              <w:rPr>
                <w:rFonts w:cs="Times New Roman"/>
                <w:color w:val="auto"/>
              </w:rPr>
              <w:t>根据巴彦淖尔市环境管控单元图，本项目厂区位于</w:t>
            </w:r>
            <w:r>
              <w:rPr>
                <w:rFonts w:hint="eastAsia" w:cs="Times New Roman"/>
                <w:color w:val="auto"/>
                <w:lang w:val="en-US" w:eastAsia="zh-CN"/>
              </w:rPr>
              <w:t>磴口县</w:t>
            </w:r>
            <w:r>
              <w:rPr>
                <w:rFonts w:cs="Times New Roman"/>
                <w:color w:val="auto"/>
              </w:rPr>
              <w:t>，本项目生态环境准入清单符合性见下表。</w:t>
            </w:r>
          </w:p>
          <w:p w14:paraId="44CD1F59">
            <w:pPr>
              <w:pStyle w:val="36"/>
              <w:rPr>
                <w:rFonts w:cs="Times New Roman"/>
                <w:color w:val="auto"/>
              </w:rPr>
            </w:pPr>
            <w:r>
              <w:rPr>
                <w:rFonts w:cs="Times New Roman"/>
                <w:color w:val="auto"/>
              </w:rPr>
              <w:t>表1-</w:t>
            </w:r>
            <w:r>
              <w:rPr>
                <w:rFonts w:hint="eastAsia" w:cs="Times New Roman"/>
                <w:color w:val="auto"/>
                <w:lang w:val="en-US" w:eastAsia="zh-CN"/>
              </w:rPr>
              <w:t>1</w:t>
            </w:r>
            <w:r>
              <w:rPr>
                <w:rFonts w:cs="Times New Roman"/>
                <w:color w:val="auto"/>
              </w:rPr>
              <w:t>巴彦淖尔市总体准入要求符合性分析表</w:t>
            </w:r>
          </w:p>
          <w:tbl>
            <w:tblPr>
              <w:tblStyle w:val="27"/>
              <w:tblW w:w="73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4"/>
              <w:gridCol w:w="3905"/>
              <w:gridCol w:w="2217"/>
              <w:gridCol w:w="624"/>
            </w:tblGrid>
            <w:tr w14:paraId="798D68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tcBorders>
                    <w:tl2br w:val="nil"/>
                    <w:tr2bl w:val="nil"/>
                  </w:tcBorders>
                  <w:vAlign w:val="center"/>
                </w:tcPr>
                <w:p w14:paraId="1F424552">
                  <w:pPr>
                    <w:pStyle w:val="50"/>
                    <w:jc w:val="center"/>
                    <w:rPr>
                      <w:color w:val="auto"/>
                      <w:szCs w:val="21"/>
                    </w:rPr>
                  </w:pPr>
                  <w:r>
                    <w:rPr>
                      <w:color w:val="auto"/>
                      <w:szCs w:val="21"/>
                    </w:rPr>
                    <w:t>管控类型</w:t>
                  </w:r>
                </w:p>
              </w:tc>
              <w:tc>
                <w:tcPr>
                  <w:tcW w:w="3905" w:type="dxa"/>
                  <w:tcBorders>
                    <w:tl2br w:val="nil"/>
                    <w:tr2bl w:val="nil"/>
                  </w:tcBorders>
                  <w:vAlign w:val="center"/>
                </w:tcPr>
                <w:p w14:paraId="27268A2B">
                  <w:pPr>
                    <w:pStyle w:val="50"/>
                    <w:jc w:val="center"/>
                    <w:rPr>
                      <w:color w:val="auto"/>
                      <w:szCs w:val="21"/>
                    </w:rPr>
                  </w:pPr>
                  <w:r>
                    <w:rPr>
                      <w:color w:val="auto"/>
                      <w:szCs w:val="21"/>
                    </w:rPr>
                    <w:t>管控要求</w:t>
                  </w:r>
                </w:p>
              </w:tc>
              <w:tc>
                <w:tcPr>
                  <w:tcW w:w="2217" w:type="dxa"/>
                  <w:tcBorders>
                    <w:tl2br w:val="nil"/>
                    <w:tr2bl w:val="nil"/>
                  </w:tcBorders>
                  <w:vAlign w:val="center"/>
                </w:tcPr>
                <w:p w14:paraId="130C76A6">
                  <w:pPr>
                    <w:pStyle w:val="50"/>
                    <w:jc w:val="center"/>
                    <w:rPr>
                      <w:color w:val="auto"/>
                      <w:szCs w:val="21"/>
                    </w:rPr>
                  </w:pPr>
                  <w:r>
                    <w:rPr>
                      <w:color w:val="auto"/>
                      <w:szCs w:val="21"/>
                    </w:rPr>
                    <w:t>本项目情况</w:t>
                  </w:r>
                </w:p>
              </w:tc>
              <w:tc>
                <w:tcPr>
                  <w:tcW w:w="624" w:type="dxa"/>
                  <w:tcBorders>
                    <w:tl2br w:val="nil"/>
                    <w:tr2bl w:val="nil"/>
                  </w:tcBorders>
                  <w:vAlign w:val="center"/>
                </w:tcPr>
                <w:p w14:paraId="725B4E72">
                  <w:pPr>
                    <w:pStyle w:val="50"/>
                    <w:jc w:val="center"/>
                    <w:rPr>
                      <w:color w:val="auto"/>
                      <w:szCs w:val="21"/>
                    </w:rPr>
                  </w:pPr>
                  <w:r>
                    <w:rPr>
                      <w:color w:val="auto"/>
                      <w:szCs w:val="21"/>
                    </w:rPr>
                    <w:t>符合性</w:t>
                  </w:r>
                </w:p>
              </w:tc>
            </w:tr>
            <w:tr w14:paraId="1AEC05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tcBorders>
                    <w:tl2br w:val="nil"/>
                    <w:tr2bl w:val="nil"/>
                  </w:tcBorders>
                  <w:vAlign w:val="center"/>
                </w:tcPr>
                <w:p w14:paraId="2ABEB1F4">
                  <w:pPr>
                    <w:pStyle w:val="50"/>
                    <w:jc w:val="center"/>
                    <w:rPr>
                      <w:color w:val="auto"/>
                      <w:szCs w:val="21"/>
                    </w:rPr>
                  </w:pPr>
                  <w:r>
                    <w:rPr>
                      <w:color w:val="auto"/>
                      <w:szCs w:val="21"/>
                    </w:rPr>
                    <w:t>总体要求</w:t>
                  </w:r>
                </w:p>
              </w:tc>
              <w:tc>
                <w:tcPr>
                  <w:tcW w:w="3905" w:type="dxa"/>
                  <w:tcBorders>
                    <w:tl2br w:val="nil"/>
                    <w:tr2bl w:val="nil"/>
                  </w:tcBorders>
                  <w:vAlign w:val="center"/>
                </w:tcPr>
                <w:p w14:paraId="04C21517">
                  <w:pPr>
                    <w:spacing w:line="240" w:lineRule="auto"/>
                    <w:ind w:firstLine="0" w:firstLineChars="0"/>
                    <w:rPr>
                      <w:rFonts w:cs="Times New Roman"/>
                      <w:color w:val="auto"/>
                      <w:sz w:val="21"/>
                      <w:szCs w:val="21"/>
                    </w:rPr>
                  </w:pPr>
                  <w:r>
                    <w:rPr>
                      <w:rFonts w:cs="Times New Roman"/>
                      <w:color w:val="auto"/>
                      <w:sz w:val="21"/>
                      <w:szCs w:val="21"/>
                    </w:rPr>
                    <w:t>1、根据《内蒙古自治区进一步规范化工行业项目建设的若干规定》，现有园区扩大面积的，要与黄河中上游流域巴彦淖尔段及主要支流岸线至少保持1公里距离。</w:t>
                  </w:r>
                </w:p>
                <w:p w14:paraId="46763D8C">
                  <w:pPr>
                    <w:spacing w:line="240" w:lineRule="auto"/>
                    <w:ind w:firstLine="0" w:firstLineChars="0"/>
                    <w:rPr>
                      <w:rFonts w:cs="Times New Roman"/>
                      <w:color w:val="auto"/>
                      <w:sz w:val="21"/>
                      <w:szCs w:val="21"/>
                    </w:rPr>
                  </w:pPr>
                  <w:r>
                    <w:rPr>
                      <w:rFonts w:cs="Times New Roman"/>
                      <w:color w:val="auto"/>
                      <w:sz w:val="21"/>
                      <w:szCs w:val="21"/>
                    </w:rPr>
                    <w:t>2、新建、改建、扩建“两高”项目须符合生态环境保护法律法规和相关法定规划，满足重点污染物排放总量控制、碳排放达峰目标、生态环境准入清单、相关规划环评和相应行业建设项目环境准入条件、环评文件审批要求。新建、扩建石化、化工、焦化、有色金属冶炼、平板玻璃项目应布设在依法合规设立并经规划环评的产业园区。化工园区（集中区）外已认定为化工重点监控点的企业，在项目审批、建设和管理方面参照化工园区内企业执行。企业可按照化工项目建设管理有关规定，依法依规在厂区内或紧邻厂区新建、改扩建现有装备同类产品、产业链延链补链、循环经济利用、安全环保节能项目，但原则上不能新建上游产业。</w:t>
                  </w:r>
                </w:p>
                <w:p w14:paraId="399EC104">
                  <w:pPr>
                    <w:spacing w:line="240" w:lineRule="auto"/>
                    <w:ind w:firstLine="0" w:firstLineChars="0"/>
                    <w:rPr>
                      <w:rFonts w:cs="Times New Roman"/>
                      <w:color w:val="auto"/>
                      <w:sz w:val="21"/>
                      <w:szCs w:val="21"/>
                    </w:rPr>
                  </w:pPr>
                  <w:r>
                    <w:rPr>
                      <w:rFonts w:cs="Times New Roman"/>
                      <w:color w:val="auto"/>
                      <w:sz w:val="21"/>
                      <w:szCs w:val="21"/>
                    </w:rPr>
                    <w:t>3、为改善区域环境质量，严格控制“两高”项目新增主要污染物排放，确保环境影响报告书及其批复文件要求的主要污染物排放量区域削减措施落实到位。建设项目应满足区域、流域控制单元环境质量改善目标管理要求。所在区域、流域控制单元环境质量未达到国家或者地方环境质量标准的，建设项目应提出有效的区域削减方案</w:t>
                  </w:r>
                  <w:r>
                    <w:rPr>
                      <w:rFonts w:hint="eastAsia" w:cs="Times New Roman"/>
                      <w:color w:val="auto"/>
                      <w:sz w:val="21"/>
                      <w:szCs w:val="21"/>
                      <w:lang w:eastAsia="zh-CN"/>
                    </w:rPr>
                    <w:t>，对</w:t>
                  </w:r>
                  <w:r>
                    <w:rPr>
                      <w:rFonts w:cs="Times New Roman"/>
                      <w:color w:val="auto"/>
                      <w:sz w:val="21"/>
                      <w:szCs w:val="21"/>
                    </w:rPr>
                    <w:t>主要污染物实行区域倍量削减，确保项目投产后区域环境质量有改善。所在区域、流域控制单元环境质量达到国家或者地方环境质量标准的，原则上建设项目主要污染物实行区域等量削减，确保项目投产后区域环境质量不恶化。</w:t>
                  </w:r>
                </w:p>
                <w:p w14:paraId="6F314161">
                  <w:pPr>
                    <w:spacing w:line="240" w:lineRule="auto"/>
                    <w:ind w:firstLine="0" w:firstLineChars="0"/>
                    <w:rPr>
                      <w:rFonts w:cs="Times New Roman"/>
                      <w:color w:val="auto"/>
                      <w:sz w:val="21"/>
                      <w:szCs w:val="21"/>
                    </w:rPr>
                  </w:pPr>
                  <w:r>
                    <w:rPr>
                      <w:rFonts w:cs="Times New Roman"/>
                      <w:color w:val="auto"/>
                      <w:sz w:val="21"/>
                      <w:szCs w:val="21"/>
                    </w:rPr>
                    <w:t>4、各类园区及建设项目选址应当符合当地国土空间规划。</w:t>
                  </w:r>
                </w:p>
                <w:p w14:paraId="0CB7BEF5">
                  <w:pPr>
                    <w:spacing w:line="240" w:lineRule="auto"/>
                    <w:ind w:firstLine="0" w:firstLineChars="0"/>
                    <w:rPr>
                      <w:rFonts w:cs="Times New Roman"/>
                      <w:color w:val="auto"/>
                      <w:sz w:val="21"/>
                      <w:szCs w:val="21"/>
                    </w:rPr>
                  </w:pPr>
                  <w:r>
                    <w:rPr>
                      <w:rFonts w:cs="Times New Roman"/>
                      <w:color w:val="auto"/>
                      <w:sz w:val="21"/>
                      <w:szCs w:val="21"/>
                    </w:rPr>
                    <w:t>5、畜禽养殖禁养区内不得新建、扩建和改建各类畜禽养殖场，限养区内严格限制新建和扩建各类规模化畜禽养殖场。适养区内现有的各类畜禽养殖场必须落实污染防治措施，对污水、废渣和恶臭应进行定期监测，确保排放的污染物达到《畜禽养殖业污染物排放标准》（GB18596）的限值要求，并符合污染物排放总量控制要求。禁养区范围内的已建成的畜禽养殖场（小区）和养殖专业户，由所在地人民政府负责责令限期搬迁、关闭或取缔。</w:t>
                  </w:r>
                </w:p>
                <w:p w14:paraId="7472656A">
                  <w:pPr>
                    <w:spacing w:line="240" w:lineRule="auto"/>
                    <w:ind w:firstLine="0" w:firstLineChars="0"/>
                    <w:rPr>
                      <w:rFonts w:cs="Times New Roman"/>
                      <w:color w:val="auto"/>
                      <w:sz w:val="21"/>
                      <w:szCs w:val="21"/>
                    </w:rPr>
                  </w:pPr>
                  <w:r>
                    <w:rPr>
                      <w:rFonts w:cs="Times New Roman"/>
                      <w:color w:val="auto"/>
                      <w:sz w:val="21"/>
                      <w:szCs w:val="21"/>
                    </w:rPr>
                    <w:t>6、建设对环境有影响的项目，建设单位应当根据国家关于建设项目环境保护分类管理的规定，按照对环境造成影响的程度，组织编制环境影响报告书、环境影响报告表或者填写环境影响登记表。严格落实排污许可管理要求，加强排污许可证实施监管，督促企业采取有效措施控制污染物排放，达到排污许可证规定的许可排放量要求。</w:t>
                  </w:r>
                </w:p>
                <w:p w14:paraId="099082FC">
                  <w:pPr>
                    <w:spacing w:line="240" w:lineRule="auto"/>
                    <w:ind w:firstLine="0" w:firstLineChars="0"/>
                    <w:rPr>
                      <w:rFonts w:cs="Times New Roman"/>
                      <w:color w:val="auto"/>
                      <w:sz w:val="21"/>
                      <w:szCs w:val="21"/>
                    </w:rPr>
                  </w:pPr>
                  <w:r>
                    <w:rPr>
                      <w:rFonts w:cs="Times New Roman"/>
                      <w:color w:val="auto"/>
                      <w:sz w:val="21"/>
                      <w:szCs w:val="21"/>
                    </w:rPr>
                    <w:t>7、入园项目需符合园区产业定位、布局、规划环评等；根据《内蒙古自治区“十四五”危险废物集中处置设施建设规划》，原则上限制新建、扩建危险废物焚烧、填埋、水泥窑协同等集中处置设施。</w:t>
                  </w:r>
                </w:p>
              </w:tc>
              <w:tc>
                <w:tcPr>
                  <w:tcW w:w="2217" w:type="dxa"/>
                  <w:tcBorders>
                    <w:tl2br w:val="nil"/>
                    <w:tr2bl w:val="nil"/>
                  </w:tcBorders>
                  <w:vAlign w:val="center"/>
                </w:tcPr>
                <w:p w14:paraId="6DB3E087">
                  <w:pPr>
                    <w:pStyle w:val="50"/>
                    <w:jc w:val="center"/>
                    <w:rPr>
                      <w:color w:val="auto"/>
                      <w:szCs w:val="21"/>
                    </w:rPr>
                  </w:pPr>
                  <w:r>
                    <w:rPr>
                      <w:color w:val="auto"/>
                      <w:szCs w:val="21"/>
                    </w:rPr>
                    <w:t>1、本项目</w:t>
                  </w:r>
                  <w:r>
                    <w:rPr>
                      <w:color w:val="auto"/>
                      <w:kern w:val="0"/>
                      <w:szCs w:val="21"/>
                    </w:rPr>
                    <w:t>不涉及新化工园区的布局和现有园区面积的扩大</w:t>
                  </w:r>
                  <w:r>
                    <w:rPr>
                      <w:color w:val="auto"/>
                      <w:szCs w:val="21"/>
                    </w:rPr>
                    <w:t>。</w:t>
                  </w:r>
                </w:p>
                <w:p w14:paraId="18DC4A12">
                  <w:pPr>
                    <w:pStyle w:val="50"/>
                    <w:jc w:val="center"/>
                    <w:rPr>
                      <w:color w:val="auto"/>
                      <w:szCs w:val="21"/>
                    </w:rPr>
                  </w:pPr>
                  <w:r>
                    <w:rPr>
                      <w:color w:val="auto"/>
                      <w:szCs w:val="21"/>
                    </w:rPr>
                    <w:t>2、本项目为水泥制品制造</w:t>
                  </w:r>
                  <w:r>
                    <w:rPr>
                      <w:rFonts w:hint="eastAsia"/>
                      <w:color w:val="auto"/>
                      <w:szCs w:val="21"/>
                      <w:lang w:val="en-US" w:eastAsia="zh-CN"/>
                    </w:rPr>
                    <w:t>以及彩钢房屋和制造</w:t>
                  </w:r>
                  <w:r>
                    <w:rPr>
                      <w:color w:val="auto"/>
                      <w:szCs w:val="21"/>
                    </w:rPr>
                    <w:t>项目，</w:t>
                  </w:r>
                  <w:r>
                    <w:rPr>
                      <w:color w:val="auto"/>
                      <w:kern w:val="0"/>
                      <w:szCs w:val="21"/>
                    </w:rPr>
                    <w:t>不属于“两高”项目；不属于石化、化工、焦化、有色金属冶炼、平板玻璃项目。</w:t>
                  </w:r>
                </w:p>
                <w:p w14:paraId="7FEBBA49">
                  <w:pPr>
                    <w:pStyle w:val="50"/>
                    <w:jc w:val="center"/>
                    <w:rPr>
                      <w:color w:val="auto"/>
                      <w:szCs w:val="21"/>
                    </w:rPr>
                  </w:pPr>
                  <w:r>
                    <w:rPr>
                      <w:color w:val="auto"/>
                      <w:szCs w:val="21"/>
                    </w:rPr>
                    <w:t>3、本项目所在地巴彦淖尔市</w:t>
                  </w:r>
                  <w:r>
                    <w:rPr>
                      <w:rFonts w:hint="eastAsia"/>
                      <w:color w:val="auto"/>
                      <w:szCs w:val="21"/>
                      <w:lang w:val="en-US" w:eastAsia="zh-CN"/>
                    </w:rPr>
                    <w:t>磴口县巴彦高勒镇</w:t>
                  </w:r>
                  <w:r>
                    <w:rPr>
                      <w:color w:val="auto"/>
                      <w:szCs w:val="21"/>
                    </w:rPr>
                    <w:t>202</w:t>
                  </w:r>
                  <w:r>
                    <w:rPr>
                      <w:rFonts w:hint="eastAsia"/>
                      <w:color w:val="auto"/>
                      <w:szCs w:val="21"/>
                      <w:lang w:val="en-US" w:eastAsia="zh-CN"/>
                    </w:rPr>
                    <w:t>4</w:t>
                  </w:r>
                  <w:r>
                    <w:rPr>
                      <w:color w:val="auto"/>
                      <w:szCs w:val="21"/>
                    </w:rPr>
                    <w:t>年大气环境中6项污染物中SO</w:t>
                  </w:r>
                  <w:r>
                    <w:rPr>
                      <w:color w:val="auto"/>
                      <w:szCs w:val="21"/>
                      <w:vertAlign w:val="subscript"/>
                    </w:rPr>
                    <w:t>2</w:t>
                  </w:r>
                  <w:r>
                    <w:rPr>
                      <w:color w:val="auto"/>
                      <w:szCs w:val="21"/>
                    </w:rPr>
                    <w:t>、NO</w:t>
                  </w:r>
                  <w:r>
                    <w:rPr>
                      <w:color w:val="auto"/>
                      <w:szCs w:val="21"/>
                      <w:vertAlign w:val="subscript"/>
                    </w:rPr>
                    <w:t>2</w:t>
                  </w:r>
                  <w:r>
                    <w:rPr>
                      <w:color w:val="auto"/>
                      <w:szCs w:val="21"/>
                    </w:rPr>
                    <w:t>、PM</w:t>
                  </w:r>
                  <w:r>
                    <w:rPr>
                      <w:color w:val="auto"/>
                      <w:szCs w:val="21"/>
                      <w:vertAlign w:val="subscript"/>
                    </w:rPr>
                    <w:t>10</w:t>
                  </w:r>
                  <w:r>
                    <w:rPr>
                      <w:color w:val="auto"/>
                      <w:szCs w:val="21"/>
                    </w:rPr>
                    <w:t>、PM</w:t>
                  </w:r>
                  <w:r>
                    <w:rPr>
                      <w:color w:val="auto"/>
                      <w:szCs w:val="21"/>
                      <w:vertAlign w:val="subscript"/>
                    </w:rPr>
                    <w:t>2.5</w:t>
                  </w:r>
                  <w:r>
                    <w:rPr>
                      <w:color w:val="auto"/>
                      <w:szCs w:val="21"/>
                    </w:rPr>
                    <w:t>、CO和O</w:t>
                  </w:r>
                  <w:r>
                    <w:rPr>
                      <w:color w:val="auto"/>
                      <w:szCs w:val="21"/>
                      <w:vertAlign w:val="subscript"/>
                    </w:rPr>
                    <w:t>3</w:t>
                  </w:r>
                  <w:r>
                    <w:rPr>
                      <w:color w:val="auto"/>
                      <w:szCs w:val="21"/>
                    </w:rPr>
                    <w:t>质量浓度均满足《环境空气质量标准》（GB3095-2012）二级标准限值，由此可判断</w:t>
                  </w:r>
                  <w:r>
                    <w:rPr>
                      <w:rFonts w:hint="eastAsia"/>
                      <w:color w:val="auto"/>
                      <w:szCs w:val="21"/>
                      <w:lang w:val="en-US" w:eastAsia="zh-CN"/>
                    </w:rPr>
                    <w:t>磴口县巴彦高勒镇</w:t>
                  </w:r>
                  <w:r>
                    <w:rPr>
                      <w:color w:val="auto"/>
                      <w:szCs w:val="21"/>
                    </w:rPr>
                    <w:t>为达标区；各污染物排放量较小，并且在采取相应环保措施后，各污染物均可达标排放，不会造成区域环境质量恶化。</w:t>
                  </w:r>
                </w:p>
                <w:p w14:paraId="6AA1C2D3">
                  <w:pPr>
                    <w:pStyle w:val="50"/>
                    <w:jc w:val="center"/>
                    <w:rPr>
                      <w:color w:val="auto"/>
                      <w:szCs w:val="21"/>
                    </w:rPr>
                  </w:pPr>
                  <w:r>
                    <w:rPr>
                      <w:color w:val="auto"/>
                      <w:szCs w:val="21"/>
                    </w:rPr>
                    <w:t>4、本项目选址位于</w:t>
                  </w:r>
                  <w:r>
                    <w:rPr>
                      <w:rFonts w:hint="eastAsia"/>
                      <w:color w:val="auto"/>
                      <w:szCs w:val="21"/>
                      <w:lang w:val="en-US" w:eastAsia="zh-CN"/>
                    </w:rPr>
                    <w:t>磴口县巴彦高勒镇</w:t>
                  </w:r>
                  <w:r>
                    <w:rPr>
                      <w:color w:val="auto"/>
                      <w:szCs w:val="21"/>
                    </w:rPr>
                    <w:t>，</w:t>
                  </w:r>
                  <w:r>
                    <w:rPr>
                      <w:rFonts w:hint="eastAsia"/>
                      <w:color w:val="auto"/>
                      <w:szCs w:val="21"/>
                    </w:rPr>
                    <w:t>占地56亩（</w:t>
                  </w:r>
                  <w:r>
                    <w:rPr>
                      <w:rFonts w:hint="eastAsia"/>
                      <w:color w:val="auto"/>
                      <w:szCs w:val="21"/>
                      <w:lang w:eastAsia="zh-CN"/>
                    </w:rPr>
                    <w:t>36701.27</w:t>
                  </w:r>
                  <w:r>
                    <w:rPr>
                      <w:rFonts w:hint="eastAsia"/>
                      <w:color w:val="auto"/>
                      <w:szCs w:val="21"/>
                    </w:rPr>
                    <w:t>平方米），其中工业用地36701平方米，城镇住宅用地768平方米，</w:t>
                  </w:r>
                  <w:r>
                    <w:rPr>
                      <w:rFonts w:hint="eastAsia"/>
                      <w:color w:val="auto"/>
                      <w:szCs w:val="21"/>
                      <w:lang w:val="en-US" w:eastAsia="zh-CN"/>
                    </w:rPr>
                    <w:t>其他</w:t>
                  </w:r>
                  <w:r>
                    <w:rPr>
                      <w:rFonts w:hint="eastAsia"/>
                      <w:color w:val="auto"/>
                      <w:szCs w:val="21"/>
                    </w:rPr>
                    <w:t>草地105平方米</w:t>
                  </w:r>
                  <w:r>
                    <w:rPr>
                      <w:color w:val="auto"/>
                      <w:szCs w:val="21"/>
                    </w:rPr>
                    <w:t>，符合当地国土空间规划。</w:t>
                  </w:r>
                </w:p>
                <w:p w14:paraId="6C21E138">
                  <w:pPr>
                    <w:spacing w:line="240" w:lineRule="auto"/>
                    <w:ind w:firstLine="0" w:firstLineChars="0"/>
                    <w:jc w:val="center"/>
                    <w:rPr>
                      <w:rFonts w:cs="Times New Roman"/>
                      <w:color w:val="auto"/>
                      <w:sz w:val="21"/>
                      <w:szCs w:val="21"/>
                    </w:rPr>
                  </w:pPr>
                  <w:r>
                    <w:rPr>
                      <w:rFonts w:cs="Times New Roman"/>
                      <w:color w:val="auto"/>
                      <w:sz w:val="21"/>
                      <w:szCs w:val="21"/>
                    </w:rPr>
                    <w:t>5、本项目不属于畜禽养殖业。</w:t>
                  </w:r>
                </w:p>
                <w:p w14:paraId="2234731B">
                  <w:pPr>
                    <w:pStyle w:val="50"/>
                    <w:jc w:val="center"/>
                    <w:rPr>
                      <w:color w:val="auto"/>
                      <w:kern w:val="0"/>
                      <w:szCs w:val="21"/>
                    </w:rPr>
                  </w:pPr>
                  <w:r>
                    <w:rPr>
                      <w:color w:val="auto"/>
                      <w:szCs w:val="21"/>
                    </w:rPr>
                    <w:t>6、</w:t>
                  </w:r>
                  <w:r>
                    <w:rPr>
                      <w:color w:val="auto"/>
                      <w:kern w:val="0"/>
                      <w:szCs w:val="21"/>
                    </w:rPr>
                    <w:t>根据《建设项目环境影响评价分类管理名录（2021年版）》，本项目应编制环境影响报告表，根据预测，本项目各污染物均可达标排放。</w:t>
                  </w:r>
                </w:p>
                <w:p w14:paraId="1AA558D7">
                  <w:pPr>
                    <w:pStyle w:val="50"/>
                    <w:jc w:val="center"/>
                    <w:rPr>
                      <w:color w:val="auto"/>
                      <w:szCs w:val="21"/>
                    </w:rPr>
                  </w:pPr>
                  <w:r>
                    <w:rPr>
                      <w:color w:val="auto"/>
                      <w:szCs w:val="21"/>
                    </w:rPr>
                    <w:t>7、</w:t>
                  </w:r>
                  <w:r>
                    <w:rPr>
                      <w:color w:val="auto"/>
                      <w:kern w:val="0"/>
                      <w:szCs w:val="21"/>
                    </w:rPr>
                    <w:t>项目位于</w:t>
                  </w:r>
                  <w:r>
                    <w:rPr>
                      <w:rFonts w:hint="eastAsia"/>
                      <w:color w:val="auto"/>
                      <w:szCs w:val="21"/>
                      <w:lang w:val="en-US" w:eastAsia="zh-CN"/>
                    </w:rPr>
                    <w:t>磴口县巴彦高勒镇</w:t>
                  </w:r>
                  <w:r>
                    <w:rPr>
                      <w:rFonts w:hint="eastAsia"/>
                      <w:color w:val="auto"/>
                      <w:kern w:val="0"/>
                      <w:szCs w:val="21"/>
                      <w:lang w:val="en-US" w:eastAsia="zh-CN"/>
                    </w:rPr>
                    <w:t>，不属于工业园区</w:t>
                  </w:r>
                  <w:r>
                    <w:rPr>
                      <w:color w:val="auto"/>
                      <w:kern w:val="0"/>
                      <w:szCs w:val="21"/>
                    </w:rPr>
                    <w:t>。</w:t>
                  </w:r>
                </w:p>
              </w:tc>
              <w:tc>
                <w:tcPr>
                  <w:tcW w:w="624" w:type="dxa"/>
                  <w:tcBorders>
                    <w:tl2br w:val="nil"/>
                    <w:tr2bl w:val="nil"/>
                  </w:tcBorders>
                  <w:vAlign w:val="center"/>
                </w:tcPr>
                <w:p w14:paraId="1D442CF9">
                  <w:pPr>
                    <w:pStyle w:val="50"/>
                    <w:jc w:val="center"/>
                    <w:rPr>
                      <w:color w:val="auto"/>
                      <w:szCs w:val="21"/>
                    </w:rPr>
                  </w:pPr>
                  <w:r>
                    <w:rPr>
                      <w:color w:val="auto"/>
                      <w:szCs w:val="21"/>
                    </w:rPr>
                    <w:t>符合</w:t>
                  </w:r>
                </w:p>
              </w:tc>
            </w:tr>
          </w:tbl>
          <w:p w14:paraId="66D0C2B1">
            <w:pPr>
              <w:pStyle w:val="36"/>
              <w:rPr>
                <w:rFonts w:cs="Times New Roman"/>
                <w:color w:val="auto"/>
              </w:rPr>
            </w:pPr>
            <w:r>
              <w:rPr>
                <w:rFonts w:cs="Times New Roman"/>
                <w:color w:val="auto"/>
              </w:rPr>
              <w:t>表1-2</w:t>
            </w:r>
            <w:r>
              <w:rPr>
                <w:rFonts w:hint="eastAsia" w:cs="Times New Roman"/>
                <w:color w:val="auto"/>
                <w:lang w:val="en-US" w:eastAsia="zh-CN"/>
              </w:rPr>
              <w:t>环境管控单元</w:t>
            </w:r>
            <w:r>
              <w:rPr>
                <w:rFonts w:cs="Times New Roman"/>
                <w:color w:val="auto"/>
              </w:rPr>
              <w:t>符合性分析表</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507"/>
              <w:gridCol w:w="507"/>
              <w:gridCol w:w="507"/>
              <w:gridCol w:w="756"/>
              <w:gridCol w:w="507"/>
              <w:gridCol w:w="2202"/>
              <w:gridCol w:w="1969"/>
              <w:gridCol w:w="505"/>
            </w:tblGrid>
            <w:tr w14:paraId="40B51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39" w:type="pct"/>
                  <w:tcBorders>
                    <w:tl2br w:val="nil"/>
                    <w:tr2bl w:val="nil"/>
                  </w:tcBorders>
                  <w:noWrap w:val="0"/>
                  <w:vAlign w:val="center"/>
                </w:tcPr>
                <w:p w14:paraId="47F7F168">
                  <w:pPr>
                    <w:keepNext w:val="0"/>
                    <w:keepLines w:val="0"/>
                    <w:pageBreakBefore w:val="0"/>
                    <w:widowControl/>
                    <w:kinsoku/>
                    <w:overflowPunct/>
                    <w:topLinePunct w:val="0"/>
                    <w:autoSpaceDE/>
                    <w:autoSpaceDN/>
                    <w:bidi w:val="0"/>
                    <w:adjustRightInd/>
                    <w:snapToGrid/>
                    <w:spacing w:line="240" w:lineRule="auto"/>
                    <w:ind w:firstLine="0" w:firstLineChars="0"/>
                    <w:jc w:val="center"/>
                    <w:textAlignment w:val="auto"/>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rPr>
                    <w:t>单元名称</w:t>
                  </w:r>
                </w:p>
              </w:tc>
              <w:tc>
                <w:tcPr>
                  <w:tcW w:w="339" w:type="pct"/>
                  <w:tcBorders>
                    <w:tl2br w:val="nil"/>
                    <w:tr2bl w:val="nil"/>
                  </w:tcBorders>
                  <w:noWrap w:val="0"/>
                  <w:vAlign w:val="center"/>
                </w:tcPr>
                <w:p w14:paraId="20F89CE6">
                  <w:pPr>
                    <w:keepNext w:val="0"/>
                    <w:keepLines w:val="0"/>
                    <w:pageBreakBefore w:val="0"/>
                    <w:widowControl/>
                    <w:kinsoku/>
                    <w:overflowPunct/>
                    <w:topLinePunct w:val="0"/>
                    <w:autoSpaceDE/>
                    <w:autoSpaceDN/>
                    <w:bidi w:val="0"/>
                    <w:adjustRightInd/>
                    <w:snapToGrid/>
                    <w:spacing w:line="240" w:lineRule="auto"/>
                    <w:ind w:firstLine="0" w:firstLineChars="0"/>
                    <w:jc w:val="center"/>
                    <w:textAlignment w:val="auto"/>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rPr>
                    <w:t>编码</w:t>
                  </w:r>
                </w:p>
              </w:tc>
              <w:tc>
                <w:tcPr>
                  <w:tcW w:w="339" w:type="pct"/>
                  <w:tcBorders>
                    <w:tl2br w:val="nil"/>
                    <w:tr2bl w:val="nil"/>
                  </w:tcBorders>
                  <w:noWrap w:val="0"/>
                  <w:vAlign w:val="center"/>
                </w:tcPr>
                <w:p w14:paraId="772B9B41">
                  <w:pPr>
                    <w:keepNext w:val="0"/>
                    <w:keepLines w:val="0"/>
                    <w:pageBreakBefore w:val="0"/>
                    <w:widowControl/>
                    <w:kinsoku/>
                    <w:overflowPunct/>
                    <w:topLinePunct w:val="0"/>
                    <w:autoSpaceDE/>
                    <w:autoSpaceDN/>
                    <w:bidi w:val="0"/>
                    <w:adjustRightInd/>
                    <w:snapToGrid/>
                    <w:spacing w:line="240" w:lineRule="auto"/>
                    <w:ind w:firstLine="0" w:firstLineChars="0"/>
                    <w:jc w:val="center"/>
                    <w:textAlignment w:val="auto"/>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rPr>
                    <w:t>管控单元类别</w:t>
                  </w:r>
                </w:p>
              </w:tc>
              <w:tc>
                <w:tcPr>
                  <w:tcW w:w="506" w:type="pct"/>
                  <w:tcBorders>
                    <w:tl2br w:val="nil"/>
                    <w:tr2bl w:val="nil"/>
                  </w:tcBorders>
                  <w:noWrap w:val="0"/>
                  <w:vAlign w:val="center"/>
                </w:tcPr>
                <w:p w14:paraId="4438944C">
                  <w:pPr>
                    <w:keepNext w:val="0"/>
                    <w:keepLines w:val="0"/>
                    <w:pageBreakBefore w:val="0"/>
                    <w:widowControl/>
                    <w:kinsoku/>
                    <w:overflowPunct/>
                    <w:topLinePunct w:val="0"/>
                    <w:autoSpaceDE/>
                    <w:autoSpaceDN/>
                    <w:bidi w:val="0"/>
                    <w:adjustRightInd/>
                    <w:snapToGrid/>
                    <w:spacing w:line="240" w:lineRule="auto"/>
                    <w:ind w:firstLine="0" w:firstLineChars="0"/>
                    <w:jc w:val="center"/>
                    <w:textAlignment w:val="auto"/>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rPr>
                    <w:t>生态保护重点</w:t>
                  </w:r>
                </w:p>
              </w:tc>
              <w:tc>
                <w:tcPr>
                  <w:tcW w:w="1815" w:type="pct"/>
                  <w:gridSpan w:val="2"/>
                  <w:tcBorders>
                    <w:tl2br w:val="nil"/>
                    <w:tr2bl w:val="nil"/>
                  </w:tcBorders>
                  <w:noWrap w:val="0"/>
                  <w:vAlign w:val="center"/>
                </w:tcPr>
                <w:p w14:paraId="343A73C1">
                  <w:pPr>
                    <w:keepNext w:val="0"/>
                    <w:keepLines w:val="0"/>
                    <w:pageBreakBefore w:val="0"/>
                    <w:widowControl/>
                    <w:kinsoku/>
                    <w:overflowPunct/>
                    <w:topLinePunct w:val="0"/>
                    <w:autoSpaceDE/>
                    <w:autoSpaceDN/>
                    <w:bidi w:val="0"/>
                    <w:adjustRightInd/>
                    <w:snapToGrid/>
                    <w:spacing w:line="240" w:lineRule="auto"/>
                    <w:ind w:firstLine="0" w:firstLineChars="0"/>
                    <w:jc w:val="center"/>
                    <w:textAlignment w:val="auto"/>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rPr>
                    <w:t>管控要求</w:t>
                  </w:r>
                </w:p>
              </w:tc>
              <w:tc>
                <w:tcPr>
                  <w:tcW w:w="1319" w:type="pct"/>
                  <w:tcBorders>
                    <w:tl2br w:val="nil"/>
                    <w:tr2bl w:val="nil"/>
                  </w:tcBorders>
                  <w:noWrap w:val="0"/>
                  <w:vAlign w:val="center"/>
                </w:tcPr>
                <w:p w14:paraId="65BB83B4">
                  <w:pPr>
                    <w:keepNext w:val="0"/>
                    <w:keepLines w:val="0"/>
                    <w:pageBreakBefore w:val="0"/>
                    <w:widowControl/>
                    <w:kinsoku/>
                    <w:overflowPunct/>
                    <w:topLinePunct w:val="0"/>
                    <w:autoSpaceDE/>
                    <w:autoSpaceDN/>
                    <w:bidi w:val="0"/>
                    <w:adjustRightInd/>
                    <w:snapToGrid/>
                    <w:spacing w:line="240" w:lineRule="auto"/>
                    <w:ind w:firstLine="0" w:firstLineChars="0"/>
                    <w:jc w:val="center"/>
                    <w:textAlignment w:val="auto"/>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rPr>
                    <w:t>本项目情况</w:t>
                  </w:r>
                </w:p>
              </w:tc>
              <w:tc>
                <w:tcPr>
                  <w:tcW w:w="338" w:type="pct"/>
                  <w:tcBorders>
                    <w:tl2br w:val="nil"/>
                    <w:tr2bl w:val="nil"/>
                  </w:tcBorders>
                  <w:noWrap w:val="0"/>
                  <w:vAlign w:val="center"/>
                </w:tcPr>
                <w:p w14:paraId="1D221AEF">
                  <w:pPr>
                    <w:keepNext w:val="0"/>
                    <w:keepLines w:val="0"/>
                    <w:pageBreakBefore w:val="0"/>
                    <w:widowControl/>
                    <w:kinsoku/>
                    <w:overflowPunct/>
                    <w:topLinePunct w:val="0"/>
                    <w:autoSpaceDE/>
                    <w:autoSpaceDN/>
                    <w:bidi w:val="0"/>
                    <w:adjustRightInd/>
                    <w:snapToGrid/>
                    <w:spacing w:line="240" w:lineRule="auto"/>
                    <w:ind w:firstLine="0" w:firstLineChars="0"/>
                    <w:jc w:val="center"/>
                    <w:textAlignment w:val="auto"/>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rPr>
                    <w:t>符合性</w:t>
                  </w:r>
                </w:p>
              </w:tc>
            </w:tr>
            <w:tr w14:paraId="1A6F5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080" w:hRule="atLeast"/>
                <w:jc w:val="center"/>
              </w:trPr>
              <w:tc>
                <w:tcPr>
                  <w:tcW w:w="339" w:type="pct"/>
                  <w:tcBorders>
                    <w:tl2br w:val="nil"/>
                    <w:tr2bl w:val="nil"/>
                  </w:tcBorders>
                  <w:noWrap w:val="0"/>
                  <w:vAlign w:val="center"/>
                </w:tcPr>
                <w:p w14:paraId="3C86DC0B">
                  <w:pPr>
                    <w:keepNext w:val="0"/>
                    <w:keepLines w:val="0"/>
                    <w:pageBreakBefore w:val="0"/>
                    <w:widowControl/>
                    <w:kinsoku/>
                    <w:overflowPunct/>
                    <w:topLinePunct w:val="0"/>
                    <w:autoSpaceDE/>
                    <w:autoSpaceDN/>
                    <w:bidi w:val="0"/>
                    <w:adjustRightInd/>
                    <w:snapToGrid/>
                    <w:spacing w:line="240" w:lineRule="auto"/>
                    <w:ind w:firstLine="0" w:firstLineChars="0"/>
                    <w:jc w:val="center"/>
                    <w:textAlignment w:val="auto"/>
                    <w:rPr>
                      <w:rFonts w:hint="eastAsia"/>
                      <w:color w:val="auto"/>
                      <w:szCs w:val="21"/>
                      <w:lang w:val="en-US" w:eastAsia="zh-CN"/>
                    </w:rPr>
                  </w:pPr>
                  <w:r>
                    <w:rPr>
                      <w:rFonts w:hint="eastAsia"/>
                      <w:color w:val="auto"/>
                      <w:szCs w:val="21"/>
                      <w:lang w:val="en-US" w:eastAsia="zh-CN"/>
                    </w:rPr>
                    <w:t>磴口县一般生态空间</w:t>
                  </w:r>
                </w:p>
                <w:p w14:paraId="6AACF500">
                  <w:pPr>
                    <w:keepNext w:val="0"/>
                    <w:keepLines w:val="0"/>
                    <w:pageBreakBefore w:val="0"/>
                    <w:widowControl/>
                    <w:kinsoku/>
                    <w:overflowPunct/>
                    <w:topLinePunct w:val="0"/>
                    <w:autoSpaceDE/>
                    <w:autoSpaceDN/>
                    <w:bidi w:val="0"/>
                    <w:adjustRightInd/>
                    <w:snapToGrid/>
                    <w:spacing w:line="240" w:lineRule="auto"/>
                    <w:ind w:firstLine="0" w:firstLineChars="0"/>
                    <w:jc w:val="center"/>
                    <w:textAlignment w:val="auto"/>
                    <w:rPr>
                      <w:rFonts w:hint="eastAsia"/>
                      <w:color w:val="auto"/>
                      <w:szCs w:val="21"/>
                      <w:lang w:val="en-US" w:eastAsia="zh-CN"/>
                    </w:rPr>
                  </w:pPr>
                  <w:r>
                    <w:rPr>
                      <w:rFonts w:hint="eastAsia"/>
                      <w:color w:val="auto"/>
                      <w:szCs w:val="21"/>
                      <w:lang w:val="en-US" w:eastAsia="zh-CN"/>
                    </w:rPr>
                    <w:t>-</w:t>
                  </w:r>
                </w:p>
                <w:p w14:paraId="693C0BDB">
                  <w:pPr>
                    <w:keepNext w:val="0"/>
                    <w:keepLines w:val="0"/>
                    <w:pageBreakBefore w:val="0"/>
                    <w:widowControl/>
                    <w:kinsoku/>
                    <w:overflowPunct/>
                    <w:topLinePunct w:val="0"/>
                    <w:autoSpaceDE/>
                    <w:autoSpaceDN/>
                    <w:bidi w:val="0"/>
                    <w:adjustRightInd/>
                    <w:snapToGrid/>
                    <w:spacing w:line="240" w:lineRule="auto"/>
                    <w:ind w:firstLine="0" w:firstLineChars="0"/>
                    <w:jc w:val="center"/>
                    <w:textAlignment w:val="auto"/>
                    <w:rPr>
                      <w:rFonts w:hint="default" w:ascii="Arial" w:hAnsi="Arial" w:eastAsia="宋体" w:cs="Arial"/>
                      <w:bCs/>
                      <w:color w:val="auto"/>
                      <w:sz w:val="21"/>
                      <w:szCs w:val="21"/>
                      <w:highlight w:val="none"/>
                    </w:rPr>
                  </w:pPr>
                  <w:r>
                    <w:rPr>
                      <w:rFonts w:hint="eastAsia"/>
                      <w:color w:val="auto"/>
                      <w:szCs w:val="21"/>
                      <w:lang w:val="en-US" w:eastAsia="zh-CN"/>
                    </w:rPr>
                    <w:t>水土保持</w:t>
                  </w:r>
                </w:p>
              </w:tc>
              <w:tc>
                <w:tcPr>
                  <w:tcW w:w="339" w:type="pct"/>
                  <w:tcBorders>
                    <w:tl2br w:val="nil"/>
                    <w:tr2bl w:val="nil"/>
                  </w:tcBorders>
                  <w:noWrap w:val="0"/>
                  <w:vAlign w:val="center"/>
                </w:tcPr>
                <w:p w14:paraId="2091D441">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Arial" w:hAnsi="Arial" w:eastAsia="宋体" w:cs="Arial"/>
                      <w:bCs/>
                      <w:color w:val="auto"/>
                      <w:sz w:val="21"/>
                      <w:szCs w:val="21"/>
                      <w:highlight w:val="none"/>
                      <w:lang w:val="en-US" w:eastAsia="zh-CN"/>
                    </w:rPr>
                  </w:pPr>
                  <w:r>
                    <w:rPr>
                      <w:rFonts w:hint="eastAsia" w:ascii="Arial" w:hAnsi="Arial" w:cs="Arial"/>
                      <w:bCs/>
                      <w:color w:val="auto"/>
                      <w:sz w:val="21"/>
                      <w:szCs w:val="21"/>
                      <w:highlight w:val="none"/>
                      <w:lang w:val="en-US" w:eastAsia="zh-CN"/>
                    </w:rPr>
                    <w:t>ZH15082210019</w:t>
                  </w:r>
                </w:p>
              </w:tc>
              <w:tc>
                <w:tcPr>
                  <w:tcW w:w="339" w:type="pct"/>
                  <w:tcBorders>
                    <w:tl2br w:val="nil"/>
                    <w:tr2bl w:val="nil"/>
                  </w:tcBorders>
                  <w:noWrap w:val="0"/>
                  <w:vAlign w:val="center"/>
                </w:tcPr>
                <w:p w14:paraId="6BAD7673">
                  <w:pPr>
                    <w:keepNext w:val="0"/>
                    <w:keepLines w:val="0"/>
                    <w:pageBreakBefore w:val="0"/>
                    <w:widowControl/>
                    <w:kinsoku/>
                    <w:overflowPunct/>
                    <w:topLinePunct w:val="0"/>
                    <w:autoSpaceDE/>
                    <w:autoSpaceDN/>
                    <w:bidi w:val="0"/>
                    <w:adjustRightInd/>
                    <w:snapToGrid/>
                    <w:spacing w:line="240" w:lineRule="auto"/>
                    <w:ind w:firstLine="0" w:firstLineChars="0"/>
                    <w:jc w:val="center"/>
                    <w:textAlignment w:val="auto"/>
                    <w:rPr>
                      <w:rFonts w:hint="eastAsia" w:ascii="Arial" w:hAnsi="Arial" w:eastAsia="宋体" w:cs="Arial"/>
                      <w:bCs/>
                      <w:color w:val="auto"/>
                      <w:sz w:val="21"/>
                      <w:szCs w:val="21"/>
                      <w:highlight w:val="none"/>
                      <w:lang w:val="en-US" w:eastAsia="zh-CN"/>
                    </w:rPr>
                  </w:pPr>
                  <w:r>
                    <w:rPr>
                      <w:rFonts w:hint="eastAsia" w:ascii="Arial" w:hAnsi="Arial" w:cs="Arial"/>
                      <w:bCs/>
                      <w:color w:val="auto"/>
                      <w:sz w:val="21"/>
                      <w:szCs w:val="21"/>
                      <w:highlight w:val="none"/>
                      <w:lang w:val="en-US" w:eastAsia="zh-CN"/>
                    </w:rPr>
                    <w:t>优先保护单元</w:t>
                  </w:r>
                </w:p>
              </w:tc>
              <w:tc>
                <w:tcPr>
                  <w:tcW w:w="506" w:type="pct"/>
                  <w:tcBorders>
                    <w:tl2br w:val="nil"/>
                    <w:tr2bl w:val="nil"/>
                  </w:tcBorders>
                  <w:noWrap w:val="0"/>
                  <w:vAlign w:val="center"/>
                </w:tcPr>
                <w:p w14:paraId="30E3EF93">
                  <w:pPr>
                    <w:keepNext w:val="0"/>
                    <w:keepLines w:val="0"/>
                    <w:pageBreakBefore w:val="0"/>
                    <w:widowControl/>
                    <w:kinsoku/>
                    <w:overflowPunct/>
                    <w:topLinePunct w:val="0"/>
                    <w:autoSpaceDE/>
                    <w:autoSpaceDN/>
                    <w:bidi w:val="0"/>
                    <w:adjustRightInd/>
                    <w:snapToGrid/>
                    <w:spacing w:line="240" w:lineRule="auto"/>
                    <w:ind w:firstLine="0" w:firstLineChars="0"/>
                    <w:jc w:val="center"/>
                    <w:textAlignment w:val="auto"/>
                    <w:rPr>
                      <w:rFonts w:hint="default" w:ascii="Arial" w:hAnsi="Arial" w:eastAsia="宋体" w:cs="Arial"/>
                      <w:bCs/>
                      <w:color w:val="auto"/>
                      <w:sz w:val="21"/>
                      <w:szCs w:val="21"/>
                      <w:highlight w:val="none"/>
                      <w:lang w:val="en-US" w:eastAsia="zh-CN"/>
                    </w:rPr>
                  </w:pPr>
                  <w:r>
                    <w:rPr>
                      <w:rFonts w:hint="eastAsia" w:ascii="Arial" w:hAnsi="Arial" w:cs="Arial"/>
                      <w:bCs/>
                      <w:color w:val="auto"/>
                      <w:sz w:val="21"/>
                      <w:szCs w:val="21"/>
                      <w:highlight w:val="none"/>
                      <w:lang w:val="en-US" w:eastAsia="zh-CN"/>
                    </w:rPr>
                    <w:t>-</w:t>
                  </w:r>
                </w:p>
              </w:tc>
              <w:tc>
                <w:tcPr>
                  <w:tcW w:w="339" w:type="pct"/>
                  <w:tcBorders>
                    <w:tl2br w:val="nil"/>
                    <w:tr2bl w:val="nil"/>
                  </w:tcBorders>
                  <w:noWrap w:val="0"/>
                  <w:vAlign w:val="center"/>
                </w:tcPr>
                <w:p w14:paraId="42B08CA7">
                  <w:pPr>
                    <w:pStyle w:val="50"/>
                    <w:ind w:firstLine="0" w:firstLineChars="0"/>
                    <w:jc w:val="center"/>
                    <w:rPr>
                      <w:rFonts w:hint="default" w:ascii="Arial" w:hAnsi="Arial" w:eastAsia="宋体" w:cs="Arial"/>
                      <w:bCs/>
                      <w:color w:val="auto"/>
                      <w:sz w:val="21"/>
                      <w:szCs w:val="21"/>
                      <w:highlight w:val="none"/>
                    </w:rPr>
                  </w:pPr>
                  <w:r>
                    <w:rPr>
                      <w:color w:val="auto"/>
                      <w:szCs w:val="21"/>
                    </w:rPr>
                    <w:t>空间布局约束</w:t>
                  </w:r>
                </w:p>
              </w:tc>
              <w:tc>
                <w:tcPr>
                  <w:tcW w:w="1475" w:type="pct"/>
                  <w:tcBorders>
                    <w:tl2br w:val="nil"/>
                    <w:tr2bl w:val="nil"/>
                  </w:tcBorders>
                  <w:noWrap w:val="0"/>
                  <w:vAlign w:val="center"/>
                </w:tcPr>
                <w:p w14:paraId="21FB6FAA">
                  <w:pPr>
                    <w:pStyle w:val="50"/>
                    <w:numPr>
                      <w:ilvl w:val="0"/>
                      <w:numId w:val="0"/>
                    </w:numPr>
                    <w:ind w:left="0" w:leftChars="0" w:firstLine="0" w:firstLineChars="0"/>
                    <w:rPr>
                      <w:rFonts w:hint="default" w:ascii="Arial" w:hAnsi="Arial" w:eastAsia="宋体" w:cs="Arial"/>
                      <w:bCs/>
                      <w:color w:val="auto"/>
                      <w:sz w:val="21"/>
                      <w:szCs w:val="21"/>
                      <w:highlight w:val="none"/>
                    </w:rPr>
                  </w:pPr>
                  <w:r>
                    <w:rPr>
                      <w:rFonts w:hint="eastAsia"/>
                      <w:color w:val="auto"/>
                      <w:szCs w:val="21"/>
                    </w:rPr>
                    <w:t>全面实施保护天然林、退耕还林还牧工程，严禁陡坡垦殖，禁止在二十五度以上陡坡地开垦种植农作物，禁止开垦的范围由旗县级人民政府划定并公告</w:t>
                  </w:r>
                  <w:r>
                    <w:rPr>
                      <w:rFonts w:hint="eastAsia"/>
                      <w:color w:val="auto"/>
                      <w:szCs w:val="21"/>
                      <w:lang w:eastAsia="zh-CN"/>
                    </w:rPr>
                    <w:t>；</w:t>
                  </w:r>
                  <w:r>
                    <w:rPr>
                      <w:rFonts w:hint="eastAsia"/>
                      <w:color w:val="auto"/>
                      <w:szCs w:val="21"/>
                    </w:rPr>
                    <w:t>已经开垦种植农作物的应当按照国家有关规定逐步退耕还林还草</w:t>
                  </w:r>
                  <w:r>
                    <w:rPr>
                      <w:rFonts w:hint="eastAsia"/>
                      <w:color w:val="auto"/>
                      <w:szCs w:val="21"/>
                      <w:lang w:eastAsia="zh-CN"/>
                    </w:rPr>
                    <w:t>；</w:t>
                  </w:r>
                  <w:r>
                    <w:rPr>
                      <w:rFonts w:hint="eastAsia"/>
                      <w:color w:val="auto"/>
                      <w:szCs w:val="21"/>
                    </w:rPr>
                    <w:t>耕地短缺或者已经签订农村土地承包合同、退耕确有困难的，应当根据实际采取相应的水土保持措施。禁止毁林开荒烧山开荒，合理开发自然资源，保护和恢复自然生态系统，增强</w:t>
                  </w:r>
                  <w:r>
                    <w:rPr>
                      <w:rFonts w:hint="eastAsia"/>
                      <w:color w:val="auto"/>
                      <w:szCs w:val="21"/>
                      <w:lang w:eastAsia="zh-CN"/>
                    </w:rPr>
                    <w:t>区域</w:t>
                  </w:r>
                  <w:r>
                    <w:rPr>
                      <w:rFonts w:hint="eastAsia"/>
                      <w:color w:val="auto"/>
                      <w:szCs w:val="21"/>
                    </w:rPr>
                    <w:t>水土保持能力</w:t>
                  </w:r>
                  <w:r>
                    <w:rPr>
                      <w:rFonts w:hint="eastAsia"/>
                      <w:color w:val="auto"/>
                      <w:szCs w:val="21"/>
                      <w:lang w:eastAsia="zh-CN"/>
                    </w:rPr>
                    <w:t>；</w:t>
                  </w:r>
                  <w:r>
                    <w:rPr>
                      <w:rFonts w:hint="eastAsia"/>
                      <w:color w:val="auto"/>
                      <w:szCs w:val="21"/>
                    </w:rPr>
                    <w:t>禁止在崩塌、滑坡危险区和泥石流易发区从事取土、挖砂、采石等可能造成</w:t>
                  </w:r>
                  <w:r>
                    <w:rPr>
                      <w:rFonts w:hint="eastAsia"/>
                      <w:color w:val="auto"/>
                      <w:szCs w:val="21"/>
                      <w:lang w:eastAsia="zh-CN"/>
                    </w:rPr>
                    <w:t>水土流失</w:t>
                  </w:r>
                  <w:r>
                    <w:rPr>
                      <w:rFonts w:hint="eastAsia"/>
                      <w:color w:val="auto"/>
                      <w:szCs w:val="21"/>
                    </w:rPr>
                    <w:t>的活动。禁止在</w:t>
                  </w:r>
                  <w:r>
                    <w:rPr>
                      <w:rFonts w:hint="eastAsia"/>
                      <w:color w:val="auto"/>
                      <w:szCs w:val="21"/>
                      <w:lang w:eastAsia="zh-CN"/>
                    </w:rPr>
                    <w:t>水土流失</w:t>
                  </w:r>
                  <w:r>
                    <w:rPr>
                      <w:rFonts w:hint="eastAsia"/>
                      <w:color w:val="auto"/>
                      <w:szCs w:val="21"/>
                    </w:rPr>
                    <w:t>重点预防区和重点治理区铲草皮、挖树等。</w:t>
                  </w:r>
                </w:p>
              </w:tc>
              <w:tc>
                <w:tcPr>
                  <w:tcW w:w="1319" w:type="pct"/>
                  <w:tcBorders>
                    <w:tl2br w:val="nil"/>
                    <w:tr2bl w:val="nil"/>
                  </w:tcBorders>
                  <w:noWrap w:val="0"/>
                  <w:vAlign w:val="center"/>
                </w:tcPr>
                <w:p w14:paraId="0ADFDECA">
                  <w:pPr>
                    <w:pStyle w:val="50"/>
                    <w:ind w:firstLine="0" w:firstLineChars="0"/>
                    <w:jc w:val="center"/>
                    <w:rPr>
                      <w:rFonts w:hint="default" w:ascii="Arial" w:hAnsi="Arial" w:eastAsia="宋体" w:cs="Arial"/>
                      <w:bCs/>
                      <w:color w:val="auto"/>
                      <w:sz w:val="21"/>
                      <w:szCs w:val="21"/>
                      <w:highlight w:val="none"/>
                    </w:rPr>
                  </w:pPr>
                  <w:r>
                    <w:rPr>
                      <w:rFonts w:hint="eastAsia"/>
                      <w:color w:val="auto"/>
                      <w:szCs w:val="21"/>
                      <w:lang w:val="en-US" w:eastAsia="zh-CN"/>
                    </w:rPr>
                    <w:t>本项目大部分用地为工业用地，无耕地、不涉及天然保护林；本项目为水泥制品，不属于退耕还林还牧工程</w:t>
                  </w:r>
                  <w:r>
                    <w:rPr>
                      <w:color w:val="auto"/>
                      <w:szCs w:val="21"/>
                    </w:rPr>
                    <w:t>。</w:t>
                  </w:r>
                </w:p>
              </w:tc>
              <w:tc>
                <w:tcPr>
                  <w:tcW w:w="338" w:type="pct"/>
                  <w:tcBorders>
                    <w:tl2br w:val="nil"/>
                    <w:tr2bl w:val="nil"/>
                  </w:tcBorders>
                  <w:noWrap w:val="0"/>
                  <w:vAlign w:val="center"/>
                </w:tcPr>
                <w:p w14:paraId="2A3DE4D4">
                  <w:pPr>
                    <w:pStyle w:val="50"/>
                    <w:ind w:firstLine="0" w:firstLineChars="0"/>
                    <w:jc w:val="center"/>
                    <w:rPr>
                      <w:rFonts w:hint="default" w:ascii="Arial" w:hAnsi="Arial" w:eastAsia="宋体" w:cs="Arial"/>
                      <w:bCs/>
                      <w:color w:val="auto"/>
                      <w:sz w:val="21"/>
                      <w:szCs w:val="21"/>
                      <w:highlight w:val="none"/>
                    </w:rPr>
                  </w:pPr>
                  <w:r>
                    <w:rPr>
                      <w:color w:val="auto"/>
                      <w:szCs w:val="21"/>
                    </w:rPr>
                    <w:t>符合</w:t>
                  </w:r>
                </w:p>
              </w:tc>
            </w:tr>
          </w:tbl>
          <w:p w14:paraId="263FE11E">
            <w:pPr>
              <w:ind w:firstLine="480"/>
              <w:rPr>
                <w:rFonts w:cs="Times New Roman"/>
                <w:color w:val="auto"/>
              </w:rPr>
            </w:pPr>
            <w:r>
              <w:rPr>
                <w:rFonts w:cs="Times New Roman"/>
                <w:color w:val="auto"/>
              </w:rPr>
              <w:t>本项目位于内蒙古自治区巴彦淖尔市</w:t>
            </w:r>
            <w:r>
              <w:rPr>
                <w:rFonts w:hint="eastAsia" w:cs="Times New Roman"/>
                <w:color w:val="auto"/>
                <w:lang w:val="en-US" w:eastAsia="zh-CN"/>
              </w:rPr>
              <w:t>磴口县巴彦高勒镇</w:t>
            </w:r>
            <w:r>
              <w:rPr>
                <w:rFonts w:cs="Times New Roman"/>
                <w:color w:val="auto"/>
              </w:rPr>
              <w:t>，</w:t>
            </w:r>
            <w:r>
              <w:rPr>
                <w:rFonts w:hint="eastAsia" w:cs="Times New Roman"/>
                <w:color w:val="auto"/>
                <w:lang w:val="en-US" w:eastAsia="zh-CN"/>
              </w:rPr>
              <w:t>位于磴口县一般生态空间-水土保持，属于优先保护单元，</w:t>
            </w:r>
            <w:r>
              <w:rPr>
                <w:rFonts w:cs="Times New Roman"/>
                <w:color w:val="auto"/>
              </w:rPr>
              <w:t>从空间布局约束方面</w:t>
            </w:r>
            <w:r>
              <w:rPr>
                <w:rFonts w:hint="eastAsia" w:cs="Times New Roman"/>
                <w:color w:val="auto"/>
                <w:lang w:eastAsia="zh-CN"/>
              </w:rPr>
              <w:t>、</w:t>
            </w:r>
            <w:r>
              <w:rPr>
                <w:rFonts w:hint="eastAsia" w:cs="Times New Roman"/>
                <w:color w:val="auto"/>
                <w:lang w:val="en-US" w:eastAsia="zh-CN"/>
              </w:rPr>
              <w:t>环境风险防控、资源利用效率要求、污染物排放管控分析，</w:t>
            </w:r>
            <w:r>
              <w:rPr>
                <w:rFonts w:cs="Times New Roman"/>
                <w:color w:val="auto"/>
              </w:rPr>
              <w:t>本项目配套设置环保措施，环境影响及环境风险可控。</w:t>
            </w:r>
            <w:r>
              <w:rPr>
                <w:rFonts w:hint="eastAsia" w:cs="Times New Roman"/>
                <w:color w:val="auto"/>
                <w:lang w:val="en-US" w:eastAsia="zh-CN"/>
              </w:rPr>
              <w:t>因此本项目在该地区可行。</w:t>
            </w:r>
          </w:p>
          <w:p w14:paraId="5C3611BF">
            <w:pPr>
              <w:ind w:firstLine="480"/>
              <w:rPr>
                <w:rFonts w:cs="Times New Roman"/>
                <w:color w:val="auto"/>
              </w:rPr>
            </w:pPr>
            <w:r>
              <w:rPr>
                <w:rFonts w:cs="Times New Roman"/>
                <w:color w:val="auto"/>
              </w:rPr>
              <w:t>因此，本项目符合</w:t>
            </w:r>
            <w:r>
              <w:rPr>
                <w:rFonts w:hint="eastAsia" w:cs="Times New Roman"/>
                <w:color w:val="auto"/>
                <w:lang w:val="en-US" w:eastAsia="zh-CN"/>
              </w:rPr>
              <w:t>生态环境分区管控</w:t>
            </w:r>
            <w:r>
              <w:rPr>
                <w:rFonts w:cs="Times New Roman"/>
                <w:color w:val="auto"/>
              </w:rPr>
              <w:t>管控要求。</w:t>
            </w:r>
          </w:p>
        </w:tc>
      </w:tr>
    </w:tbl>
    <w:p w14:paraId="2F4EAC6F">
      <w:pPr>
        <w:pStyle w:val="2"/>
        <w:ind w:firstLine="640"/>
        <w:rPr>
          <w:rFonts w:cs="Times New Roman"/>
          <w:snapToGrid w:val="0"/>
          <w:color w:val="auto"/>
        </w:rPr>
        <w:sectPr>
          <w:headerReference r:id="rId5" w:type="default"/>
          <w:footerReference r:id="rId6" w:type="default"/>
          <w:pgSz w:w="11906" w:h="16838"/>
          <w:pgMar w:top="1417" w:right="1417" w:bottom="1417" w:left="1417" w:header="992" w:footer="992" w:gutter="0"/>
          <w:pgBorders>
            <w:top w:val="none" w:sz="0" w:space="0"/>
            <w:left w:val="none" w:sz="0" w:space="0"/>
            <w:bottom w:val="none" w:sz="0" w:space="0"/>
            <w:right w:val="none" w:sz="0" w:space="0"/>
          </w:pgBorders>
          <w:pgNumType w:start="1"/>
          <w:cols w:space="425" w:num="1"/>
          <w:docGrid w:type="lines" w:linePitch="312" w:charSpace="0"/>
        </w:sectPr>
      </w:pPr>
    </w:p>
    <w:p w14:paraId="6407548F">
      <w:pPr>
        <w:pStyle w:val="2"/>
        <w:ind w:firstLine="321" w:firstLineChars="100"/>
        <w:rPr>
          <w:rFonts w:cs="Times New Roman"/>
          <w:snapToGrid w:val="0"/>
          <w:color w:val="auto"/>
        </w:rPr>
      </w:pPr>
      <w:bookmarkStart w:id="1" w:name="_Toc19142"/>
      <w:r>
        <w:rPr>
          <w:rFonts w:cs="Times New Roman"/>
          <w:snapToGrid w:val="0"/>
          <w:color w:val="auto"/>
        </w:rPr>
        <w:t>二、建设项目工程分析</w:t>
      </w:r>
      <w:bookmarkEnd w:id="1"/>
    </w:p>
    <w:tbl>
      <w:tblPr>
        <w:tblStyle w:val="27"/>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9"/>
        <w:gridCol w:w="7693"/>
      </w:tblGrid>
      <w:tr w14:paraId="35228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67" w:hRule="atLeast"/>
          <w:jc w:val="center"/>
        </w:trPr>
        <w:tc>
          <w:tcPr>
            <w:tcW w:w="829" w:type="dxa"/>
            <w:vAlign w:val="center"/>
          </w:tcPr>
          <w:p w14:paraId="009BE911">
            <w:pPr>
              <w:ind w:firstLine="0" w:firstLineChars="0"/>
              <w:jc w:val="center"/>
              <w:rPr>
                <w:rFonts w:cs="Times New Roman"/>
                <w:color w:val="auto"/>
              </w:rPr>
            </w:pPr>
            <w:r>
              <w:rPr>
                <w:rFonts w:cs="Times New Roman"/>
                <w:color w:val="auto"/>
              </w:rPr>
              <w:t>建设内容</w:t>
            </w:r>
          </w:p>
        </w:tc>
        <w:tc>
          <w:tcPr>
            <w:tcW w:w="7693" w:type="dxa"/>
          </w:tcPr>
          <w:p w14:paraId="3A29D85C">
            <w:pPr>
              <w:tabs>
                <w:tab w:val="left" w:pos="347"/>
              </w:tabs>
              <w:ind w:left="0" w:leftChars="0" w:firstLine="0" w:firstLineChars="0"/>
              <w:rPr>
                <w:rFonts w:cs="Times New Roman"/>
                <w:b/>
                <w:bCs/>
                <w:color w:val="auto"/>
              </w:rPr>
            </w:pPr>
            <w:r>
              <w:rPr>
                <w:rFonts w:cs="Times New Roman"/>
                <w:b/>
                <w:bCs/>
                <w:color w:val="auto"/>
              </w:rPr>
              <w:t>1、项目建设内容及规模</w:t>
            </w:r>
          </w:p>
          <w:p w14:paraId="141AA2FB">
            <w:pPr>
              <w:ind w:left="0" w:leftChars="0" w:firstLine="0" w:firstLineChars="0"/>
              <w:rPr>
                <w:rFonts w:cs="Times New Roman"/>
                <w:b/>
                <w:bCs/>
                <w:color w:val="auto"/>
              </w:rPr>
            </w:pPr>
            <w:r>
              <w:rPr>
                <w:rFonts w:cs="Times New Roman"/>
                <w:b/>
                <w:bCs/>
                <w:color w:val="auto"/>
              </w:rPr>
              <w:t>1.1项目基本情况</w:t>
            </w:r>
          </w:p>
          <w:p w14:paraId="54CE5F29">
            <w:pPr>
              <w:ind w:firstLine="480"/>
              <w:rPr>
                <w:rFonts w:cs="Times New Roman"/>
                <w:color w:val="auto"/>
              </w:rPr>
            </w:pPr>
            <w:r>
              <w:rPr>
                <w:rFonts w:cs="Times New Roman"/>
                <w:color w:val="auto"/>
              </w:rPr>
              <w:t>（1）项目名称：</w:t>
            </w:r>
            <w:r>
              <w:rPr>
                <w:rFonts w:hint="eastAsia" w:cs="Times New Roman"/>
                <w:color w:val="auto"/>
                <w:lang w:val="en-US" w:eastAsia="zh-CN"/>
              </w:rPr>
              <w:t>磴口县富鑫水泥制品厂水泥制品及彩钢房生产项目</w:t>
            </w:r>
            <w:r>
              <w:rPr>
                <w:rFonts w:cs="Times New Roman"/>
                <w:color w:val="auto"/>
              </w:rPr>
              <w:t>；</w:t>
            </w:r>
          </w:p>
          <w:p w14:paraId="7C6D2C1E">
            <w:pPr>
              <w:ind w:firstLine="480"/>
              <w:rPr>
                <w:rFonts w:cs="Times New Roman"/>
                <w:color w:val="auto"/>
              </w:rPr>
            </w:pPr>
            <w:r>
              <w:rPr>
                <w:rFonts w:cs="Times New Roman"/>
                <w:color w:val="auto"/>
              </w:rPr>
              <w:t>（2）建设性质：新建；</w:t>
            </w:r>
          </w:p>
          <w:p w14:paraId="68F7FE1C">
            <w:pPr>
              <w:ind w:firstLine="480"/>
              <w:rPr>
                <w:rFonts w:cs="Times New Roman"/>
                <w:color w:val="auto"/>
              </w:rPr>
            </w:pPr>
            <w:r>
              <w:rPr>
                <w:rFonts w:cs="Times New Roman"/>
                <w:color w:val="auto"/>
              </w:rPr>
              <w:t>（3）建设单位：</w:t>
            </w:r>
            <w:r>
              <w:rPr>
                <w:rFonts w:hint="eastAsia" w:cs="Times New Roman"/>
                <w:color w:val="auto"/>
                <w:lang w:val="en-US" w:eastAsia="zh-CN"/>
              </w:rPr>
              <w:t>磴口县富鑫水泥制品厂</w:t>
            </w:r>
            <w:r>
              <w:rPr>
                <w:rFonts w:cs="Times New Roman"/>
                <w:color w:val="auto"/>
              </w:rPr>
              <w:t>；</w:t>
            </w:r>
          </w:p>
          <w:p w14:paraId="19BC8FB7">
            <w:pPr>
              <w:ind w:firstLine="480"/>
              <w:rPr>
                <w:rFonts w:cs="Times New Roman"/>
                <w:color w:val="auto"/>
              </w:rPr>
            </w:pPr>
            <w:r>
              <w:rPr>
                <w:rFonts w:cs="Times New Roman"/>
                <w:color w:val="auto"/>
              </w:rPr>
              <w:t>（4）建设地点：项目位于内蒙古巴彦淖尔市</w:t>
            </w:r>
            <w:r>
              <w:rPr>
                <w:rFonts w:hint="eastAsia" w:cs="Times New Roman"/>
                <w:color w:val="auto"/>
              </w:rPr>
              <w:t>磴口县巴彦高勒镇</w:t>
            </w:r>
            <w:r>
              <w:rPr>
                <w:rFonts w:cs="Times New Roman"/>
                <w:color w:val="auto"/>
              </w:rPr>
              <w:t>，项目区中心坐标为东经：10</w:t>
            </w:r>
            <w:r>
              <w:rPr>
                <w:rFonts w:hint="eastAsia" w:cs="Times New Roman"/>
                <w:color w:val="auto"/>
                <w:lang w:val="en-US" w:eastAsia="zh-CN"/>
              </w:rPr>
              <w:t>7</w:t>
            </w:r>
            <w:r>
              <w:rPr>
                <w:rFonts w:cs="Times New Roman"/>
                <w:color w:val="auto"/>
              </w:rPr>
              <w:t>°</w:t>
            </w:r>
            <w:r>
              <w:rPr>
                <w:rFonts w:hint="eastAsia" w:cs="Times New Roman"/>
                <w:color w:val="auto"/>
                <w:lang w:val="en-US" w:eastAsia="zh-CN"/>
              </w:rPr>
              <w:t>01</w:t>
            </w:r>
            <w:r>
              <w:rPr>
                <w:rFonts w:cs="Times New Roman"/>
                <w:color w:val="auto"/>
              </w:rPr>
              <w:t>′</w:t>
            </w:r>
            <w:r>
              <w:rPr>
                <w:rFonts w:hint="eastAsia" w:cs="Times New Roman"/>
                <w:color w:val="auto"/>
                <w:lang w:val="en-US" w:eastAsia="zh-CN"/>
              </w:rPr>
              <w:t>28.0051</w:t>
            </w:r>
            <w:r>
              <w:rPr>
                <w:rFonts w:cs="Times New Roman"/>
                <w:color w:val="auto"/>
              </w:rPr>
              <w:t>″，北纬：</w:t>
            </w:r>
            <w:r>
              <w:rPr>
                <w:rFonts w:hint="eastAsia" w:cs="Times New Roman"/>
                <w:color w:val="auto"/>
                <w:lang w:val="en-US" w:eastAsia="zh-CN"/>
              </w:rPr>
              <w:t>40</w:t>
            </w:r>
            <w:r>
              <w:rPr>
                <w:rFonts w:cs="Times New Roman"/>
                <w:color w:val="auto"/>
              </w:rPr>
              <w:t>°</w:t>
            </w:r>
            <w:r>
              <w:rPr>
                <w:rFonts w:hint="eastAsia" w:cs="Times New Roman"/>
                <w:color w:val="auto"/>
                <w:lang w:val="en-US" w:eastAsia="zh-CN"/>
              </w:rPr>
              <w:t>19</w:t>
            </w:r>
            <w:r>
              <w:rPr>
                <w:rFonts w:cs="Times New Roman"/>
                <w:color w:val="auto"/>
              </w:rPr>
              <w:t>′</w:t>
            </w:r>
            <w:r>
              <w:rPr>
                <w:rFonts w:hint="eastAsia" w:cs="Times New Roman"/>
                <w:color w:val="auto"/>
                <w:lang w:val="en-US" w:eastAsia="zh-CN"/>
              </w:rPr>
              <w:t>12.1146</w:t>
            </w:r>
            <w:r>
              <w:rPr>
                <w:rFonts w:cs="Times New Roman"/>
                <w:color w:val="auto"/>
              </w:rPr>
              <w:t>″，地理位置图见附图1。</w:t>
            </w:r>
          </w:p>
          <w:p w14:paraId="29A69407">
            <w:pPr>
              <w:pStyle w:val="36"/>
              <w:rPr>
                <w:rFonts w:cs="Times New Roman"/>
                <w:color w:val="auto"/>
              </w:rPr>
            </w:pPr>
            <w:r>
              <w:rPr>
                <w:rFonts w:cs="Times New Roman"/>
                <w:color w:val="auto"/>
              </w:rPr>
              <w:t>表2-1  项目区四点坐标一览表</w:t>
            </w:r>
          </w:p>
          <w:tbl>
            <w:tblPr>
              <w:tblStyle w:val="28"/>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492"/>
              <w:gridCol w:w="2492"/>
            </w:tblGrid>
            <w:tr w14:paraId="56D1CD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1665" w:type="pct"/>
                  <w:tcBorders>
                    <w:tl2br w:val="nil"/>
                    <w:tr2bl w:val="nil"/>
                  </w:tcBorders>
                  <w:vAlign w:val="center"/>
                </w:tcPr>
                <w:p w14:paraId="7BE8E1C1">
                  <w:pPr>
                    <w:pStyle w:val="50"/>
                    <w:jc w:val="center"/>
                    <w:rPr>
                      <w:b/>
                      <w:bCs/>
                      <w:color w:val="auto"/>
                    </w:rPr>
                  </w:pPr>
                  <w:r>
                    <w:rPr>
                      <w:b/>
                      <w:bCs/>
                      <w:color w:val="auto"/>
                    </w:rPr>
                    <w:t>序号</w:t>
                  </w:r>
                </w:p>
              </w:tc>
              <w:tc>
                <w:tcPr>
                  <w:tcW w:w="1667" w:type="pct"/>
                  <w:tcBorders>
                    <w:tl2br w:val="nil"/>
                    <w:tr2bl w:val="nil"/>
                  </w:tcBorders>
                  <w:vAlign w:val="center"/>
                </w:tcPr>
                <w:p w14:paraId="53427C61">
                  <w:pPr>
                    <w:pStyle w:val="50"/>
                    <w:jc w:val="center"/>
                    <w:rPr>
                      <w:rFonts w:hint="eastAsia" w:eastAsia="宋体"/>
                      <w:b/>
                      <w:bCs/>
                      <w:color w:val="auto"/>
                      <w:lang w:eastAsia="zh-CN"/>
                    </w:rPr>
                  </w:pPr>
                  <w:r>
                    <w:rPr>
                      <w:rFonts w:hint="eastAsia"/>
                      <w:b/>
                      <w:bCs/>
                      <w:color w:val="auto"/>
                      <w:lang w:val="en-US" w:eastAsia="zh-CN"/>
                    </w:rPr>
                    <w:t>X（m）</w:t>
                  </w:r>
                </w:p>
              </w:tc>
              <w:tc>
                <w:tcPr>
                  <w:tcW w:w="1667" w:type="pct"/>
                  <w:tcBorders>
                    <w:tl2br w:val="nil"/>
                    <w:tr2bl w:val="nil"/>
                  </w:tcBorders>
                  <w:vAlign w:val="center"/>
                </w:tcPr>
                <w:p w14:paraId="27ED544B">
                  <w:pPr>
                    <w:pStyle w:val="50"/>
                    <w:jc w:val="center"/>
                    <w:rPr>
                      <w:rFonts w:hint="default" w:eastAsia="宋体"/>
                      <w:b/>
                      <w:bCs/>
                      <w:color w:val="auto"/>
                      <w:lang w:val="en-US" w:eastAsia="zh-CN"/>
                    </w:rPr>
                  </w:pPr>
                  <w:r>
                    <w:rPr>
                      <w:rFonts w:hint="eastAsia"/>
                      <w:b/>
                      <w:bCs/>
                      <w:color w:val="auto"/>
                      <w:lang w:val="en-US" w:eastAsia="zh-CN"/>
                    </w:rPr>
                    <w:t>Y（m）</w:t>
                  </w:r>
                </w:p>
              </w:tc>
            </w:tr>
            <w:tr w14:paraId="518808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tcBorders>
                    <w:tl2br w:val="nil"/>
                    <w:tr2bl w:val="nil"/>
                  </w:tcBorders>
                  <w:vAlign w:val="center"/>
                </w:tcPr>
                <w:p w14:paraId="4054097D">
                  <w:pPr>
                    <w:pStyle w:val="50"/>
                    <w:jc w:val="center"/>
                    <w:rPr>
                      <w:color w:val="auto"/>
                    </w:rPr>
                  </w:pPr>
                  <w:r>
                    <w:rPr>
                      <w:color w:val="auto"/>
                    </w:rPr>
                    <w:t>J1</w:t>
                  </w:r>
                </w:p>
              </w:tc>
              <w:tc>
                <w:tcPr>
                  <w:tcW w:w="1667" w:type="pct"/>
                  <w:tcBorders>
                    <w:tl2br w:val="nil"/>
                    <w:tr2bl w:val="nil"/>
                  </w:tcBorders>
                  <w:vAlign w:val="center"/>
                </w:tcPr>
                <w:p w14:paraId="0BF8FEA9">
                  <w:pPr>
                    <w:pStyle w:val="50"/>
                    <w:jc w:val="center"/>
                    <w:rPr>
                      <w:rFonts w:hint="default" w:eastAsia="宋体"/>
                      <w:color w:val="auto"/>
                      <w:lang w:val="en-US" w:eastAsia="zh-CN"/>
                    </w:rPr>
                  </w:pPr>
                  <w:r>
                    <w:rPr>
                      <w:rFonts w:hint="eastAsia"/>
                      <w:color w:val="auto"/>
                      <w:lang w:val="en-US" w:eastAsia="zh-CN"/>
                    </w:rPr>
                    <w:t>4465486.455</w:t>
                  </w:r>
                </w:p>
              </w:tc>
              <w:tc>
                <w:tcPr>
                  <w:tcW w:w="1667" w:type="pct"/>
                  <w:tcBorders>
                    <w:tl2br w:val="nil"/>
                    <w:tr2bl w:val="nil"/>
                  </w:tcBorders>
                  <w:vAlign w:val="center"/>
                </w:tcPr>
                <w:p w14:paraId="4BF9439F">
                  <w:pPr>
                    <w:pStyle w:val="50"/>
                    <w:jc w:val="center"/>
                    <w:rPr>
                      <w:rFonts w:hint="default" w:eastAsia="宋体"/>
                      <w:color w:val="auto"/>
                      <w:lang w:val="en-US" w:eastAsia="zh-CN"/>
                    </w:rPr>
                  </w:pPr>
                  <w:r>
                    <w:rPr>
                      <w:rFonts w:hint="eastAsia"/>
                      <w:color w:val="auto"/>
                      <w:lang w:val="en-US" w:eastAsia="zh-CN"/>
                    </w:rPr>
                    <w:t>36416534.553</w:t>
                  </w:r>
                </w:p>
              </w:tc>
            </w:tr>
            <w:tr w14:paraId="27C8CE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tcBorders>
                    <w:tl2br w:val="nil"/>
                    <w:tr2bl w:val="nil"/>
                  </w:tcBorders>
                  <w:vAlign w:val="center"/>
                </w:tcPr>
                <w:p w14:paraId="6D190744">
                  <w:pPr>
                    <w:pStyle w:val="50"/>
                    <w:jc w:val="center"/>
                    <w:rPr>
                      <w:color w:val="auto"/>
                    </w:rPr>
                  </w:pPr>
                  <w:r>
                    <w:rPr>
                      <w:color w:val="auto"/>
                    </w:rPr>
                    <w:t>J2</w:t>
                  </w:r>
                </w:p>
              </w:tc>
              <w:tc>
                <w:tcPr>
                  <w:tcW w:w="1667" w:type="pct"/>
                  <w:tcBorders>
                    <w:tl2br w:val="nil"/>
                    <w:tr2bl w:val="nil"/>
                  </w:tcBorders>
                  <w:shd w:val="clear" w:color="auto" w:fill="auto"/>
                  <w:vAlign w:val="center"/>
                </w:tcPr>
                <w:p w14:paraId="4E996B24">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4465523.847</w:t>
                  </w:r>
                </w:p>
              </w:tc>
              <w:tc>
                <w:tcPr>
                  <w:tcW w:w="1667" w:type="pct"/>
                  <w:tcBorders>
                    <w:tl2br w:val="nil"/>
                    <w:tr2bl w:val="nil"/>
                  </w:tcBorders>
                  <w:shd w:val="clear" w:color="auto" w:fill="auto"/>
                  <w:vAlign w:val="center"/>
                </w:tcPr>
                <w:p w14:paraId="2A38FC00">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36416683.061</w:t>
                  </w:r>
                </w:p>
              </w:tc>
            </w:tr>
            <w:tr w14:paraId="609468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tcBorders>
                    <w:tl2br w:val="nil"/>
                    <w:tr2bl w:val="nil"/>
                  </w:tcBorders>
                  <w:vAlign w:val="center"/>
                </w:tcPr>
                <w:p w14:paraId="72A5A3CA">
                  <w:pPr>
                    <w:pStyle w:val="50"/>
                    <w:jc w:val="center"/>
                    <w:rPr>
                      <w:color w:val="auto"/>
                    </w:rPr>
                  </w:pPr>
                  <w:r>
                    <w:rPr>
                      <w:color w:val="auto"/>
                    </w:rPr>
                    <w:t>J3</w:t>
                  </w:r>
                </w:p>
              </w:tc>
              <w:tc>
                <w:tcPr>
                  <w:tcW w:w="1667" w:type="pct"/>
                  <w:tcBorders>
                    <w:tl2br w:val="nil"/>
                    <w:tr2bl w:val="nil"/>
                  </w:tcBorders>
                  <w:shd w:val="clear" w:color="auto" w:fill="auto"/>
                  <w:vAlign w:val="center"/>
                </w:tcPr>
                <w:p w14:paraId="045AC786">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4465411.898</w:t>
                  </w:r>
                </w:p>
              </w:tc>
              <w:tc>
                <w:tcPr>
                  <w:tcW w:w="1667" w:type="pct"/>
                  <w:tcBorders>
                    <w:tl2br w:val="nil"/>
                    <w:tr2bl w:val="nil"/>
                  </w:tcBorders>
                  <w:shd w:val="clear" w:color="auto" w:fill="auto"/>
                  <w:vAlign w:val="center"/>
                </w:tcPr>
                <w:p w14:paraId="7E6A9304">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36416707.904</w:t>
                  </w:r>
                </w:p>
              </w:tc>
            </w:tr>
            <w:tr w14:paraId="330EB3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tcBorders>
                    <w:tl2br w:val="nil"/>
                    <w:tr2bl w:val="nil"/>
                  </w:tcBorders>
                  <w:vAlign w:val="center"/>
                </w:tcPr>
                <w:p w14:paraId="00C2D8E8">
                  <w:pPr>
                    <w:pStyle w:val="50"/>
                    <w:jc w:val="center"/>
                    <w:rPr>
                      <w:color w:val="auto"/>
                    </w:rPr>
                  </w:pPr>
                  <w:r>
                    <w:rPr>
                      <w:color w:val="auto"/>
                    </w:rPr>
                    <w:t>J4</w:t>
                  </w:r>
                </w:p>
              </w:tc>
              <w:tc>
                <w:tcPr>
                  <w:tcW w:w="1667" w:type="pct"/>
                  <w:tcBorders>
                    <w:tl2br w:val="nil"/>
                    <w:tr2bl w:val="nil"/>
                  </w:tcBorders>
                  <w:shd w:val="clear" w:color="auto" w:fill="auto"/>
                  <w:vAlign w:val="center"/>
                </w:tcPr>
                <w:p w14:paraId="16028A2C">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4465376.936</w:t>
                  </w:r>
                </w:p>
              </w:tc>
              <w:tc>
                <w:tcPr>
                  <w:tcW w:w="1667" w:type="pct"/>
                  <w:tcBorders>
                    <w:tl2br w:val="nil"/>
                    <w:tr2bl w:val="nil"/>
                  </w:tcBorders>
                  <w:shd w:val="clear" w:color="auto" w:fill="auto"/>
                  <w:vAlign w:val="center"/>
                </w:tcPr>
                <w:p w14:paraId="0502B69B">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36416714.841</w:t>
                  </w:r>
                </w:p>
              </w:tc>
            </w:tr>
            <w:tr w14:paraId="590D54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tcBorders>
                    <w:tl2br w:val="nil"/>
                    <w:tr2bl w:val="nil"/>
                  </w:tcBorders>
                  <w:vAlign w:val="center"/>
                </w:tcPr>
                <w:p w14:paraId="50F31F83">
                  <w:pPr>
                    <w:pStyle w:val="50"/>
                    <w:jc w:val="center"/>
                    <w:rPr>
                      <w:color w:val="auto"/>
                    </w:rPr>
                  </w:pPr>
                  <w:r>
                    <w:rPr>
                      <w:color w:val="auto"/>
                    </w:rPr>
                    <w:t>J</w:t>
                  </w:r>
                  <w:r>
                    <w:rPr>
                      <w:rFonts w:hint="eastAsia"/>
                      <w:color w:val="auto"/>
                    </w:rPr>
                    <w:t>5</w:t>
                  </w:r>
                </w:p>
              </w:tc>
              <w:tc>
                <w:tcPr>
                  <w:tcW w:w="1667" w:type="pct"/>
                  <w:tcBorders>
                    <w:tl2br w:val="nil"/>
                    <w:tr2bl w:val="nil"/>
                  </w:tcBorders>
                  <w:shd w:val="clear" w:color="auto" w:fill="auto"/>
                  <w:vAlign w:val="center"/>
                </w:tcPr>
                <w:p w14:paraId="092BA59B">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4465388.859</w:t>
                  </w:r>
                </w:p>
              </w:tc>
              <w:tc>
                <w:tcPr>
                  <w:tcW w:w="1667" w:type="pct"/>
                  <w:tcBorders>
                    <w:tl2br w:val="nil"/>
                    <w:tr2bl w:val="nil"/>
                  </w:tcBorders>
                  <w:shd w:val="clear" w:color="auto" w:fill="auto"/>
                  <w:vAlign w:val="center"/>
                </w:tcPr>
                <w:p w14:paraId="1922C66F">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36416764.107</w:t>
                  </w:r>
                </w:p>
              </w:tc>
            </w:tr>
            <w:tr w14:paraId="50743C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tcBorders>
                    <w:tl2br w:val="nil"/>
                    <w:tr2bl w:val="nil"/>
                  </w:tcBorders>
                  <w:vAlign w:val="center"/>
                </w:tcPr>
                <w:p w14:paraId="2990FAD3">
                  <w:pPr>
                    <w:pStyle w:val="50"/>
                    <w:jc w:val="center"/>
                    <w:rPr>
                      <w:rFonts w:hint="default" w:eastAsia="宋体"/>
                      <w:color w:val="auto"/>
                      <w:lang w:val="en-US" w:eastAsia="zh-CN"/>
                    </w:rPr>
                  </w:pPr>
                  <w:r>
                    <w:rPr>
                      <w:rFonts w:hint="eastAsia"/>
                      <w:color w:val="auto"/>
                      <w:lang w:val="en-US" w:eastAsia="zh-CN"/>
                    </w:rPr>
                    <w:t>J6</w:t>
                  </w:r>
                </w:p>
              </w:tc>
              <w:tc>
                <w:tcPr>
                  <w:tcW w:w="1667" w:type="pct"/>
                  <w:tcBorders>
                    <w:tl2br w:val="nil"/>
                    <w:tr2bl w:val="nil"/>
                  </w:tcBorders>
                  <w:shd w:val="clear" w:color="auto" w:fill="auto"/>
                  <w:vAlign w:val="center"/>
                </w:tcPr>
                <w:p w14:paraId="408D8EF0">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4465325.847</w:t>
                  </w:r>
                </w:p>
              </w:tc>
              <w:tc>
                <w:tcPr>
                  <w:tcW w:w="1667" w:type="pct"/>
                  <w:tcBorders>
                    <w:tl2br w:val="nil"/>
                    <w:tr2bl w:val="nil"/>
                  </w:tcBorders>
                  <w:shd w:val="clear" w:color="auto" w:fill="auto"/>
                  <w:vAlign w:val="center"/>
                </w:tcPr>
                <w:p w14:paraId="026946F2">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36416776.848</w:t>
                  </w:r>
                </w:p>
              </w:tc>
            </w:tr>
            <w:tr w14:paraId="541C81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tcBorders>
                    <w:tl2br w:val="nil"/>
                    <w:tr2bl w:val="nil"/>
                  </w:tcBorders>
                  <w:vAlign w:val="center"/>
                </w:tcPr>
                <w:p w14:paraId="187EC3B0">
                  <w:pPr>
                    <w:pStyle w:val="50"/>
                    <w:jc w:val="center"/>
                    <w:rPr>
                      <w:rFonts w:hint="default" w:eastAsia="宋体"/>
                      <w:color w:val="auto"/>
                      <w:lang w:val="en-US" w:eastAsia="zh-CN"/>
                    </w:rPr>
                  </w:pPr>
                  <w:r>
                    <w:rPr>
                      <w:rFonts w:hint="eastAsia"/>
                      <w:color w:val="auto"/>
                      <w:lang w:val="en-US" w:eastAsia="zh-CN"/>
                    </w:rPr>
                    <w:t>J7</w:t>
                  </w:r>
                </w:p>
              </w:tc>
              <w:tc>
                <w:tcPr>
                  <w:tcW w:w="1667" w:type="pct"/>
                  <w:tcBorders>
                    <w:tl2br w:val="nil"/>
                    <w:tr2bl w:val="nil"/>
                  </w:tcBorders>
                  <w:shd w:val="clear" w:color="auto" w:fill="auto"/>
                  <w:vAlign w:val="center"/>
                </w:tcPr>
                <w:p w14:paraId="24772E75">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4465280.068</w:t>
                  </w:r>
                </w:p>
              </w:tc>
              <w:tc>
                <w:tcPr>
                  <w:tcW w:w="1667" w:type="pct"/>
                  <w:tcBorders>
                    <w:tl2br w:val="nil"/>
                    <w:tr2bl w:val="nil"/>
                  </w:tcBorders>
                  <w:shd w:val="clear" w:color="auto" w:fill="auto"/>
                  <w:vAlign w:val="center"/>
                </w:tcPr>
                <w:p w14:paraId="764325FC">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36416571.487</w:t>
                  </w:r>
                </w:p>
              </w:tc>
            </w:tr>
            <w:tr w14:paraId="786B26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tcBorders>
                    <w:tl2br w:val="nil"/>
                    <w:tr2bl w:val="nil"/>
                  </w:tcBorders>
                  <w:vAlign w:val="center"/>
                </w:tcPr>
                <w:p w14:paraId="3C7B105E">
                  <w:pPr>
                    <w:pStyle w:val="50"/>
                    <w:jc w:val="center"/>
                    <w:rPr>
                      <w:rFonts w:hint="default" w:eastAsia="宋体"/>
                      <w:color w:val="auto"/>
                      <w:lang w:val="en-US" w:eastAsia="zh-CN"/>
                    </w:rPr>
                  </w:pPr>
                  <w:r>
                    <w:rPr>
                      <w:rFonts w:hint="eastAsia"/>
                      <w:color w:val="auto"/>
                      <w:lang w:val="en-US" w:eastAsia="zh-CN"/>
                    </w:rPr>
                    <w:t>J8</w:t>
                  </w:r>
                </w:p>
              </w:tc>
              <w:tc>
                <w:tcPr>
                  <w:tcW w:w="1667" w:type="pct"/>
                  <w:tcBorders>
                    <w:tl2br w:val="nil"/>
                    <w:tr2bl w:val="nil"/>
                  </w:tcBorders>
                  <w:shd w:val="clear" w:color="auto" w:fill="auto"/>
                  <w:vAlign w:val="center"/>
                </w:tcPr>
                <w:p w14:paraId="34706B12">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4465404.427</w:t>
                  </w:r>
                </w:p>
              </w:tc>
              <w:tc>
                <w:tcPr>
                  <w:tcW w:w="1667" w:type="pct"/>
                  <w:tcBorders>
                    <w:tl2br w:val="nil"/>
                    <w:tr2bl w:val="nil"/>
                  </w:tcBorders>
                  <w:shd w:val="clear" w:color="auto" w:fill="auto"/>
                  <w:vAlign w:val="center"/>
                </w:tcPr>
                <w:p w14:paraId="601F3B77">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36416549.744</w:t>
                  </w:r>
                </w:p>
              </w:tc>
            </w:tr>
            <w:tr w14:paraId="176F0F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tcBorders>
                    <w:tl2br w:val="nil"/>
                    <w:tr2bl w:val="nil"/>
                  </w:tcBorders>
                  <w:vAlign w:val="center"/>
                </w:tcPr>
                <w:p w14:paraId="4692BAFB">
                  <w:pPr>
                    <w:pStyle w:val="50"/>
                    <w:jc w:val="center"/>
                    <w:rPr>
                      <w:rFonts w:hint="default" w:eastAsia="宋体"/>
                      <w:color w:val="auto"/>
                      <w:lang w:val="en-US" w:eastAsia="zh-CN"/>
                    </w:rPr>
                  </w:pPr>
                  <w:r>
                    <w:rPr>
                      <w:rFonts w:hint="eastAsia"/>
                      <w:color w:val="auto"/>
                      <w:lang w:val="en-US" w:eastAsia="zh-CN"/>
                    </w:rPr>
                    <w:t>J9</w:t>
                  </w:r>
                </w:p>
              </w:tc>
              <w:tc>
                <w:tcPr>
                  <w:tcW w:w="1667" w:type="pct"/>
                  <w:tcBorders>
                    <w:tl2br w:val="nil"/>
                    <w:tr2bl w:val="nil"/>
                  </w:tcBorders>
                  <w:shd w:val="clear" w:color="auto" w:fill="auto"/>
                  <w:vAlign w:val="center"/>
                </w:tcPr>
                <w:p w14:paraId="5642D20F">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4465408.690</w:t>
                  </w:r>
                </w:p>
              </w:tc>
              <w:tc>
                <w:tcPr>
                  <w:tcW w:w="1667" w:type="pct"/>
                  <w:tcBorders>
                    <w:tl2br w:val="nil"/>
                    <w:tr2bl w:val="nil"/>
                  </w:tcBorders>
                  <w:shd w:val="clear" w:color="auto" w:fill="auto"/>
                  <w:vAlign w:val="center"/>
                </w:tcPr>
                <w:p w14:paraId="019A47F5">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36416539.837</w:t>
                  </w:r>
                </w:p>
              </w:tc>
            </w:tr>
            <w:tr w14:paraId="4F048F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tcBorders>
                    <w:tl2br w:val="nil"/>
                    <w:tr2bl w:val="nil"/>
                  </w:tcBorders>
                  <w:vAlign w:val="center"/>
                </w:tcPr>
                <w:p w14:paraId="136AB8A7">
                  <w:pPr>
                    <w:pStyle w:val="50"/>
                    <w:jc w:val="center"/>
                    <w:rPr>
                      <w:rFonts w:hint="default" w:eastAsia="宋体"/>
                      <w:color w:val="auto"/>
                      <w:lang w:val="en-US" w:eastAsia="zh-CN"/>
                    </w:rPr>
                  </w:pPr>
                  <w:r>
                    <w:rPr>
                      <w:rFonts w:hint="eastAsia"/>
                      <w:color w:val="auto"/>
                      <w:lang w:val="en-US" w:eastAsia="zh-CN"/>
                    </w:rPr>
                    <w:t>J10</w:t>
                  </w:r>
                </w:p>
              </w:tc>
              <w:tc>
                <w:tcPr>
                  <w:tcW w:w="1667" w:type="pct"/>
                  <w:tcBorders>
                    <w:tl2br w:val="nil"/>
                    <w:tr2bl w:val="nil"/>
                  </w:tcBorders>
                  <w:shd w:val="clear" w:color="auto" w:fill="auto"/>
                  <w:vAlign w:val="center"/>
                </w:tcPr>
                <w:p w14:paraId="26A8D5A8">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4465409.736</w:t>
                  </w:r>
                </w:p>
              </w:tc>
              <w:tc>
                <w:tcPr>
                  <w:tcW w:w="1667" w:type="pct"/>
                  <w:tcBorders>
                    <w:tl2br w:val="nil"/>
                    <w:tr2bl w:val="nil"/>
                  </w:tcBorders>
                  <w:shd w:val="clear" w:color="auto" w:fill="auto"/>
                  <w:vAlign w:val="center"/>
                </w:tcPr>
                <w:p w14:paraId="42CE70E0">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36416532.573</w:t>
                  </w:r>
                </w:p>
              </w:tc>
            </w:tr>
            <w:tr w14:paraId="7422B3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tcBorders>
                    <w:tl2br w:val="nil"/>
                    <w:tr2bl w:val="nil"/>
                  </w:tcBorders>
                  <w:vAlign w:val="center"/>
                </w:tcPr>
                <w:p w14:paraId="46B27396">
                  <w:pPr>
                    <w:pStyle w:val="50"/>
                    <w:jc w:val="center"/>
                    <w:rPr>
                      <w:rFonts w:hint="default" w:eastAsia="宋体"/>
                      <w:color w:val="auto"/>
                      <w:lang w:val="en-US" w:eastAsia="zh-CN"/>
                    </w:rPr>
                  </w:pPr>
                  <w:r>
                    <w:rPr>
                      <w:rFonts w:hint="eastAsia"/>
                      <w:color w:val="auto"/>
                      <w:lang w:val="en-US" w:eastAsia="zh-CN"/>
                    </w:rPr>
                    <w:t>J11</w:t>
                  </w:r>
                </w:p>
              </w:tc>
              <w:tc>
                <w:tcPr>
                  <w:tcW w:w="1667" w:type="pct"/>
                  <w:tcBorders>
                    <w:tl2br w:val="nil"/>
                    <w:tr2bl w:val="nil"/>
                  </w:tcBorders>
                  <w:shd w:val="clear" w:color="auto" w:fill="auto"/>
                  <w:vAlign w:val="center"/>
                </w:tcPr>
                <w:p w14:paraId="0C553C85">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4465425.509</w:t>
                  </w:r>
                </w:p>
              </w:tc>
              <w:tc>
                <w:tcPr>
                  <w:tcW w:w="1667" w:type="pct"/>
                  <w:tcBorders>
                    <w:tl2br w:val="nil"/>
                    <w:tr2bl w:val="nil"/>
                  </w:tcBorders>
                  <w:shd w:val="clear" w:color="auto" w:fill="auto"/>
                  <w:vAlign w:val="center"/>
                </w:tcPr>
                <w:p w14:paraId="3777A8CA">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36416525.484</w:t>
                  </w:r>
                </w:p>
              </w:tc>
            </w:tr>
            <w:tr w14:paraId="6B0A34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tcBorders>
                    <w:tl2br w:val="nil"/>
                    <w:tr2bl w:val="nil"/>
                  </w:tcBorders>
                  <w:vAlign w:val="center"/>
                </w:tcPr>
                <w:p w14:paraId="7BD0D215">
                  <w:pPr>
                    <w:pStyle w:val="50"/>
                    <w:jc w:val="center"/>
                    <w:rPr>
                      <w:rFonts w:hint="default"/>
                      <w:color w:val="auto"/>
                      <w:lang w:val="en-US" w:eastAsia="zh-CN"/>
                    </w:rPr>
                  </w:pPr>
                  <w:r>
                    <w:rPr>
                      <w:rFonts w:hint="eastAsia"/>
                      <w:color w:val="auto"/>
                      <w:lang w:val="en-US" w:eastAsia="zh-CN"/>
                    </w:rPr>
                    <w:t>J12</w:t>
                  </w:r>
                </w:p>
              </w:tc>
              <w:tc>
                <w:tcPr>
                  <w:tcW w:w="1667" w:type="pct"/>
                  <w:tcBorders>
                    <w:tl2br w:val="nil"/>
                    <w:tr2bl w:val="nil"/>
                  </w:tcBorders>
                  <w:shd w:val="clear" w:color="auto" w:fill="auto"/>
                  <w:vAlign w:val="center"/>
                </w:tcPr>
                <w:p w14:paraId="59644EA6">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4465461.003</w:t>
                  </w:r>
                </w:p>
              </w:tc>
              <w:tc>
                <w:tcPr>
                  <w:tcW w:w="1667" w:type="pct"/>
                  <w:tcBorders>
                    <w:tl2br w:val="nil"/>
                    <w:tr2bl w:val="nil"/>
                  </w:tcBorders>
                  <w:shd w:val="clear" w:color="auto" w:fill="auto"/>
                  <w:vAlign w:val="center"/>
                </w:tcPr>
                <w:p w14:paraId="08205ADA">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36416520.655</w:t>
                  </w:r>
                </w:p>
              </w:tc>
            </w:tr>
            <w:tr w14:paraId="4B8F1D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tcBorders>
                    <w:tl2br w:val="nil"/>
                    <w:tr2bl w:val="nil"/>
                  </w:tcBorders>
                  <w:vAlign w:val="center"/>
                </w:tcPr>
                <w:p w14:paraId="64EB650D">
                  <w:pPr>
                    <w:pStyle w:val="50"/>
                    <w:jc w:val="center"/>
                    <w:rPr>
                      <w:rFonts w:hint="default"/>
                      <w:color w:val="auto"/>
                      <w:lang w:val="en-US" w:eastAsia="zh-CN"/>
                    </w:rPr>
                  </w:pPr>
                  <w:r>
                    <w:rPr>
                      <w:rFonts w:hint="eastAsia"/>
                      <w:color w:val="auto"/>
                      <w:lang w:val="en-US" w:eastAsia="zh-CN"/>
                    </w:rPr>
                    <w:t>J13</w:t>
                  </w:r>
                </w:p>
              </w:tc>
              <w:tc>
                <w:tcPr>
                  <w:tcW w:w="1667" w:type="pct"/>
                  <w:tcBorders>
                    <w:tl2br w:val="nil"/>
                    <w:tr2bl w:val="nil"/>
                  </w:tcBorders>
                  <w:shd w:val="clear" w:color="auto" w:fill="auto"/>
                  <w:vAlign w:val="center"/>
                </w:tcPr>
                <w:p w14:paraId="1C541B36">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4465469.736</w:t>
                  </w:r>
                </w:p>
              </w:tc>
              <w:tc>
                <w:tcPr>
                  <w:tcW w:w="1667" w:type="pct"/>
                  <w:tcBorders>
                    <w:tl2br w:val="nil"/>
                    <w:tr2bl w:val="nil"/>
                  </w:tcBorders>
                  <w:shd w:val="clear" w:color="auto" w:fill="auto"/>
                  <w:vAlign w:val="center"/>
                </w:tcPr>
                <w:p w14:paraId="70B1B1DD">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36416528.922</w:t>
                  </w:r>
                </w:p>
              </w:tc>
            </w:tr>
          </w:tbl>
          <w:p w14:paraId="3B14FF8C">
            <w:pPr>
              <w:ind w:firstLine="480"/>
              <w:rPr>
                <w:rFonts w:cs="Times New Roman"/>
                <w:color w:val="auto"/>
              </w:rPr>
            </w:pPr>
            <w:r>
              <w:rPr>
                <w:rFonts w:cs="Times New Roman"/>
                <w:color w:val="auto"/>
              </w:rPr>
              <w:t>（5）项目投资：总投资</w:t>
            </w:r>
            <w:r>
              <w:rPr>
                <w:rFonts w:hint="eastAsia" w:cs="Times New Roman"/>
                <w:color w:val="auto"/>
                <w:lang w:val="en-US" w:eastAsia="zh-CN"/>
              </w:rPr>
              <w:t>600</w:t>
            </w:r>
            <w:r>
              <w:rPr>
                <w:rFonts w:cs="Times New Roman"/>
                <w:color w:val="auto"/>
              </w:rPr>
              <w:t>万元，环保投资为</w:t>
            </w:r>
            <w:r>
              <w:rPr>
                <w:rFonts w:hint="eastAsia" w:cs="Times New Roman"/>
                <w:color w:val="auto"/>
                <w:lang w:val="en-US" w:eastAsia="zh-CN"/>
              </w:rPr>
              <w:t>121.5</w:t>
            </w:r>
            <w:r>
              <w:rPr>
                <w:rFonts w:cs="Times New Roman"/>
                <w:color w:val="auto"/>
              </w:rPr>
              <w:t>万元，占总投资的</w:t>
            </w:r>
            <w:r>
              <w:rPr>
                <w:rFonts w:hint="eastAsia" w:cs="Times New Roman"/>
                <w:color w:val="auto"/>
                <w:lang w:val="en-US" w:eastAsia="zh-CN"/>
              </w:rPr>
              <w:t>20.25</w:t>
            </w:r>
            <w:r>
              <w:rPr>
                <w:rFonts w:cs="Times New Roman"/>
                <w:color w:val="auto"/>
              </w:rPr>
              <w:t>%。</w:t>
            </w:r>
          </w:p>
          <w:p w14:paraId="4DAC5E55">
            <w:pPr>
              <w:ind w:firstLine="480"/>
              <w:rPr>
                <w:rFonts w:cs="Times New Roman"/>
                <w:color w:val="auto"/>
              </w:rPr>
            </w:pPr>
            <w:r>
              <w:rPr>
                <w:rFonts w:cs="Times New Roman"/>
                <w:color w:val="auto"/>
              </w:rPr>
              <w:t>（6）厂区四邻关系：本项目位于内蒙古巴彦淖尔市</w:t>
            </w:r>
            <w:r>
              <w:rPr>
                <w:rFonts w:hint="eastAsia" w:cs="Times New Roman"/>
                <w:color w:val="auto"/>
              </w:rPr>
              <w:t>磴口县巴彦高勒镇</w:t>
            </w:r>
            <w:r>
              <w:rPr>
                <w:rFonts w:cs="Times New Roman"/>
                <w:color w:val="auto"/>
              </w:rPr>
              <w:t>，项目</w:t>
            </w:r>
            <w:r>
              <w:rPr>
                <w:rFonts w:hint="eastAsia" w:cs="Times New Roman"/>
                <w:color w:val="auto"/>
                <w:lang w:val="en-US" w:eastAsia="zh-CN"/>
              </w:rPr>
              <w:t>北侧、西侧为居民区（最近处仅为10m），</w:t>
            </w:r>
            <w:r>
              <w:rPr>
                <w:rFonts w:hint="eastAsia" w:cs="Times New Roman"/>
                <w:color w:val="auto"/>
                <w:highlight w:val="none"/>
                <w:lang w:val="en-US" w:eastAsia="zh-CN"/>
              </w:rPr>
              <w:t>南侧为涵管厂，东侧100m为总干渠</w:t>
            </w:r>
            <w:r>
              <w:rPr>
                <w:rFonts w:cs="Times New Roman"/>
                <w:color w:val="auto"/>
              </w:rPr>
              <w:t>。根据</w:t>
            </w:r>
            <w:r>
              <w:rPr>
                <w:rFonts w:hint="eastAsia" w:cs="Times New Roman"/>
                <w:color w:val="auto"/>
                <w:lang w:val="en-US" w:eastAsia="zh-CN"/>
              </w:rPr>
              <w:t>磴口自然资源局关于《关于磴口县富鑫水泥制品厂第类查询的函》的复函可知项目用地为工业用地，见附件7</w:t>
            </w:r>
            <w:r>
              <w:rPr>
                <w:rFonts w:cs="Times New Roman"/>
                <w:color w:val="auto"/>
              </w:rPr>
              <w:t>。</w:t>
            </w:r>
          </w:p>
          <w:p w14:paraId="23E57B7E">
            <w:pPr>
              <w:ind w:left="0" w:leftChars="0" w:firstLine="0" w:firstLineChars="0"/>
              <w:rPr>
                <w:rFonts w:cs="Times New Roman"/>
                <w:b/>
                <w:bCs/>
                <w:color w:val="auto"/>
              </w:rPr>
            </w:pPr>
            <w:r>
              <w:rPr>
                <w:rFonts w:cs="Times New Roman"/>
                <w:b/>
                <w:bCs/>
                <w:color w:val="auto"/>
              </w:rPr>
              <w:t>1.2项目建设规模</w:t>
            </w:r>
          </w:p>
          <w:p w14:paraId="7F2054A8">
            <w:pPr>
              <w:ind w:firstLine="480"/>
              <w:rPr>
                <w:rFonts w:cs="Times New Roman"/>
                <w:color w:val="auto"/>
                <w:highlight w:val="none"/>
              </w:rPr>
            </w:pPr>
            <w:r>
              <w:rPr>
                <w:rFonts w:cs="Times New Roman"/>
                <w:color w:val="auto"/>
                <w:highlight w:val="none"/>
              </w:rPr>
              <w:t>本项目建设规模为</w:t>
            </w:r>
            <w:r>
              <w:rPr>
                <w:rFonts w:hint="eastAsia" w:cs="Times New Roman"/>
                <w:color w:val="auto"/>
                <w:highlight w:val="none"/>
              </w:rPr>
              <w:t>年产1.2万</w:t>
            </w:r>
            <w:r>
              <w:rPr>
                <w:rFonts w:hint="eastAsia" w:cs="Times New Roman"/>
                <w:color w:val="auto"/>
                <w:highlight w:val="none"/>
                <w:lang w:eastAsia="zh-CN"/>
              </w:rPr>
              <w:t>平方米</w:t>
            </w:r>
            <w:r>
              <w:rPr>
                <w:rFonts w:hint="eastAsia" w:cs="Times New Roman"/>
                <w:color w:val="auto"/>
                <w:highlight w:val="none"/>
              </w:rPr>
              <w:t>各类</w:t>
            </w:r>
            <w:r>
              <w:rPr>
                <w:rFonts w:hint="eastAsia" w:cs="Times New Roman"/>
                <w:color w:val="auto"/>
                <w:highlight w:val="none"/>
                <w:lang w:val="en-US" w:eastAsia="zh-CN"/>
              </w:rPr>
              <w:t>水泥制品</w:t>
            </w:r>
            <w:r>
              <w:rPr>
                <w:rFonts w:cs="Times New Roman"/>
                <w:color w:val="auto"/>
                <w:highlight w:val="none"/>
              </w:rPr>
              <w:t>，产品规格详见下表。</w:t>
            </w:r>
          </w:p>
          <w:p w14:paraId="2ADB39B3">
            <w:pPr>
              <w:pStyle w:val="36"/>
              <w:rPr>
                <w:rFonts w:cs="Times New Roman"/>
                <w:color w:val="auto"/>
              </w:rPr>
            </w:pPr>
            <w:r>
              <w:rPr>
                <w:rFonts w:cs="Times New Roman"/>
                <w:color w:val="auto"/>
              </w:rPr>
              <w:t>表2-2  项目产品方案</w:t>
            </w:r>
          </w:p>
          <w:tbl>
            <w:tblPr>
              <w:tblStyle w:val="27"/>
              <w:tblW w:w="474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2403"/>
              <w:gridCol w:w="1776"/>
              <w:gridCol w:w="1776"/>
            </w:tblGrid>
            <w:tr w14:paraId="646B6F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03" w:type="dxa"/>
                  <w:gridSpan w:val="4"/>
                  <w:vAlign w:val="center"/>
                </w:tcPr>
                <w:p w14:paraId="4AF1591B">
                  <w:pPr>
                    <w:pStyle w:val="50"/>
                    <w:jc w:val="center"/>
                    <w:rPr>
                      <w:rFonts w:hint="eastAsia" w:eastAsia="宋体"/>
                      <w:b/>
                      <w:bCs/>
                      <w:color w:val="auto"/>
                      <w:lang w:val="en-US" w:eastAsia="zh-CN"/>
                    </w:rPr>
                  </w:pPr>
                  <w:r>
                    <w:rPr>
                      <w:rFonts w:hint="eastAsia"/>
                      <w:b/>
                      <w:bCs/>
                      <w:color w:val="auto"/>
                      <w:lang w:val="en-US" w:eastAsia="zh-CN"/>
                    </w:rPr>
                    <w:t>水泥房</w:t>
                  </w:r>
                </w:p>
              </w:tc>
            </w:tr>
            <w:tr w14:paraId="6007FD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0F859E07">
                  <w:pPr>
                    <w:pStyle w:val="50"/>
                    <w:jc w:val="center"/>
                    <w:rPr>
                      <w:b/>
                      <w:bCs/>
                      <w:color w:val="auto"/>
                    </w:rPr>
                  </w:pPr>
                  <w:r>
                    <w:rPr>
                      <w:b/>
                      <w:bCs/>
                      <w:color w:val="auto"/>
                    </w:rPr>
                    <w:t>序号</w:t>
                  </w:r>
                </w:p>
              </w:tc>
              <w:tc>
                <w:tcPr>
                  <w:tcW w:w="2403" w:type="dxa"/>
                  <w:vAlign w:val="center"/>
                </w:tcPr>
                <w:p w14:paraId="29711CDA">
                  <w:pPr>
                    <w:pStyle w:val="50"/>
                    <w:jc w:val="center"/>
                    <w:rPr>
                      <w:rFonts w:hint="eastAsia" w:eastAsia="宋体"/>
                      <w:b/>
                      <w:bCs/>
                      <w:color w:val="auto"/>
                      <w:lang w:val="en-US" w:eastAsia="zh-CN"/>
                    </w:rPr>
                  </w:pPr>
                  <w:r>
                    <w:rPr>
                      <w:b/>
                      <w:bCs/>
                      <w:color w:val="auto"/>
                    </w:rPr>
                    <w:t>产品</w:t>
                  </w:r>
                  <w:r>
                    <w:rPr>
                      <w:rFonts w:hint="eastAsia"/>
                      <w:b/>
                      <w:bCs/>
                      <w:color w:val="auto"/>
                      <w:lang w:val="en-US" w:eastAsia="zh-CN"/>
                    </w:rPr>
                    <w:t>规格</w:t>
                  </w:r>
                </w:p>
              </w:tc>
              <w:tc>
                <w:tcPr>
                  <w:tcW w:w="1776" w:type="dxa"/>
                  <w:vAlign w:val="center"/>
                </w:tcPr>
                <w:p w14:paraId="28B1B5B4">
                  <w:pPr>
                    <w:pStyle w:val="50"/>
                    <w:jc w:val="center"/>
                    <w:rPr>
                      <w:b/>
                      <w:bCs/>
                      <w:color w:val="auto"/>
                    </w:rPr>
                  </w:pPr>
                  <w:r>
                    <w:rPr>
                      <w:b/>
                      <w:bCs/>
                      <w:color w:val="auto"/>
                    </w:rPr>
                    <w:t>建设规模</w:t>
                  </w:r>
                </w:p>
              </w:tc>
              <w:tc>
                <w:tcPr>
                  <w:tcW w:w="1776" w:type="dxa"/>
                  <w:vAlign w:val="center"/>
                </w:tcPr>
                <w:p w14:paraId="29EBE790">
                  <w:pPr>
                    <w:pStyle w:val="50"/>
                    <w:jc w:val="center"/>
                    <w:rPr>
                      <w:b/>
                      <w:bCs/>
                      <w:color w:val="auto"/>
                    </w:rPr>
                  </w:pPr>
                  <w:r>
                    <w:rPr>
                      <w:b/>
                      <w:bCs/>
                      <w:color w:val="auto"/>
                    </w:rPr>
                    <w:t>备注</w:t>
                  </w:r>
                </w:p>
              </w:tc>
            </w:tr>
            <w:tr w14:paraId="4E1F2E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649CD587">
                  <w:pPr>
                    <w:pStyle w:val="50"/>
                    <w:jc w:val="center"/>
                    <w:rPr>
                      <w:color w:val="auto"/>
                    </w:rPr>
                  </w:pPr>
                  <w:r>
                    <w:rPr>
                      <w:color w:val="auto"/>
                    </w:rPr>
                    <w:t>1</w:t>
                  </w:r>
                </w:p>
              </w:tc>
              <w:tc>
                <w:tcPr>
                  <w:tcW w:w="2403" w:type="dxa"/>
                  <w:vAlign w:val="center"/>
                </w:tcPr>
                <w:p w14:paraId="406C5309">
                  <w:pPr>
                    <w:pStyle w:val="50"/>
                    <w:jc w:val="center"/>
                    <w:rPr>
                      <w:rFonts w:hint="default" w:eastAsia="宋体"/>
                      <w:color w:val="auto"/>
                      <w:lang w:val="en-US" w:eastAsia="zh-CN"/>
                    </w:rPr>
                  </w:pPr>
                  <w:r>
                    <w:rPr>
                      <w:rFonts w:hint="eastAsia" w:cs="Times New Roman"/>
                      <w:color w:val="auto"/>
                      <w:highlight w:val="none"/>
                      <w:lang w:val="en-US" w:eastAsia="zh-CN"/>
                    </w:rPr>
                    <w:t>3.3×6m</w:t>
                  </w:r>
                </w:p>
              </w:tc>
              <w:tc>
                <w:tcPr>
                  <w:tcW w:w="1776" w:type="dxa"/>
                  <w:vAlign w:val="center"/>
                </w:tcPr>
                <w:p w14:paraId="4C9EC769">
                  <w:pPr>
                    <w:pStyle w:val="50"/>
                    <w:jc w:val="center"/>
                    <w:rPr>
                      <w:rFonts w:hint="eastAsia" w:eastAsia="宋体"/>
                      <w:color w:val="auto"/>
                      <w:lang w:eastAsia="zh-CN"/>
                    </w:rPr>
                  </w:pPr>
                  <w:r>
                    <w:rPr>
                      <w:rFonts w:hint="eastAsia"/>
                      <w:color w:val="auto"/>
                      <w:lang w:val="en-US" w:eastAsia="zh-CN"/>
                    </w:rPr>
                    <w:t>80套</w:t>
                  </w:r>
                </w:p>
              </w:tc>
              <w:tc>
                <w:tcPr>
                  <w:tcW w:w="1776" w:type="dxa"/>
                  <w:vAlign w:val="center"/>
                </w:tcPr>
                <w:p w14:paraId="12CBB214">
                  <w:pPr>
                    <w:pStyle w:val="50"/>
                    <w:jc w:val="center"/>
                    <w:rPr>
                      <w:color w:val="auto"/>
                    </w:rPr>
                  </w:pPr>
                  <w:r>
                    <w:rPr>
                      <w:color w:val="auto"/>
                    </w:rPr>
                    <w:t>全部外售</w:t>
                  </w:r>
                </w:p>
              </w:tc>
            </w:tr>
            <w:tr w14:paraId="7871F9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B350D0D">
                  <w:pPr>
                    <w:pStyle w:val="50"/>
                    <w:jc w:val="center"/>
                    <w:rPr>
                      <w:rFonts w:hint="eastAsia" w:eastAsia="宋体"/>
                      <w:color w:val="auto"/>
                      <w:lang w:val="en-US" w:eastAsia="zh-CN"/>
                    </w:rPr>
                  </w:pPr>
                  <w:r>
                    <w:rPr>
                      <w:rFonts w:hint="eastAsia"/>
                      <w:color w:val="auto"/>
                      <w:lang w:val="en-US" w:eastAsia="zh-CN"/>
                    </w:rPr>
                    <w:t>2</w:t>
                  </w:r>
                </w:p>
              </w:tc>
              <w:tc>
                <w:tcPr>
                  <w:tcW w:w="2403" w:type="dxa"/>
                  <w:vAlign w:val="center"/>
                </w:tcPr>
                <w:p w14:paraId="020E5340">
                  <w:pPr>
                    <w:pStyle w:val="50"/>
                    <w:jc w:val="center"/>
                    <w:rPr>
                      <w:color w:val="auto"/>
                    </w:rPr>
                  </w:pPr>
                  <w:r>
                    <w:rPr>
                      <w:rFonts w:hint="eastAsia" w:cs="Times New Roman"/>
                      <w:color w:val="auto"/>
                      <w:highlight w:val="none"/>
                      <w:lang w:val="en-US" w:eastAsia="zh-CN"/>
                    </w:rPr>
                    <w:t>3.6×6m</w:t>
                  </w:r>
                </w:p>
              </w:tc>
              <w:tc>
                <w:tcPr>
                  <w:tcW w:w="1776" w:type="dxa"/>
                  <w:vAlign w:val="center"/>
                </w:tcPr>
                <w:p w14:paraId="6BDC7869">
                  <w:pPr>
                    <w:pStyle w:val="50"/>
                    <w:jc w:val="center"/>
                    <w:rPr>
                      <w:rFonts w:hint="default" w:eastAsia="宋体"/>
                      <w:color w:val="auto"/>
                      <w:lang w:val="en-US" w:eastAsia="zh-CN"/>
                    </w:rPr>
                  </w:pPr>
                  <w:r>
                    <w:rPr>
                      <w:rFonts w:hint="eastAsia"/>
                      <w:color w:val="auto"/>
                      <w:lang w:val="en-US" w:eastAsia="zh-CN"/>
                    </w:rPr>
                    <w:t>50套</w:t>
                  </w:r>
                </w:p>
              </w:tc>
              <w:tc>
                <w:tcPr>
                  <w:tcW w:w="1776" w:type="dxa"/>
                  <w:vAlign w:val="center"/>
                </w:tcPr>
                <w:p w14:paraId="1DE40CF1">
                  <w:pPr>
                    <w:pStyle w:val="50"/>
                    <w:jc w:val="center"/>
                    <w:rPr>
                      <w:rFonts w:hint="eastAsia" w:eastAsia="宋体"/>
                      <w:color w:val="auto"/>
                      <w:lang w:val="en-US" w:eastAsia="zh-CN"/>
                    </w:rPr>
                  </w:pPr>
                  <w:r>
                    <w:rPr>
                      <w:rFonts w:hint="eastAsia"/>
                      <w:color w:val="auto"/>
                      <w:lang w:val="en-US" w:eastAsia="zh-CN"/>
                    </w:rPr>
                    <w:t>全部外售</w:t>
                  </w:r>
                </w:p>
              </w:tc>
            </w:tr>
            <w:tr w14:paraId="215386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78968E3">
                  <w:pPr>
                    <w:pStyle w:val="50"/>
                    <w:jc w:val="center"/>
                    <w:rPr>
                      <w:rFonts w:hint="default"/>
                      <w:color w:val="auto"/>
                      <w:lang w:val="en-US" w:eastAsia="zh-CN"/>
                    </w:rPr>
                  </w:pPr>
                  <w:r>
                    <w:rPr>
                      <w:rFonts w:hint="eastAsia"/>
                      <w:color w:val="auto"/>
                      <w:lang w:val="en-US" w:eastAsia="zh-CN"/>
                    </w:rPr>
                    <w:t>3</w:t>
                  </w:r>
                </w:p>
              </w:tc>
              <w:tc>
                <w:tcPr>
                  <w:tcW w:w="2403" w:type="dxa"/>
                  <w:vAlign w:val="center"/>
                </w:tcPr>
                <w:p w14:paraId="66DE950A">
                  <w:pPr>
                    <w:pStyle w:val="50"/>
                    <w:jc w:val="center"/>
                    <w:rPr>
                      <w:rFonts w:hint="eastAsia" w:cs="Times New Roman"/>
                      <w:color w:val="auto"/>
                      <w:highlight w:val="none"/>
                      <w:lang w:val="en-US" w:eastAsia="zh-CN"/>
                    </w:rPr>
                  </w:pPr>
                  <w:r>
                    <w:rPr>
                      <w:rFonts w:hint="eastAsia" w:cs="Times New Roman"/>
                      <w:color w:val="auto"/>
                      <w:highlight w:val="none"/>
                      <w:lang w:val="en-US" w:eastAsia="zh-CN"/>
                    </w:rPr>
                    <w:t>3.6×6.6m</w:t>
                  </w:r>
                </w:p>
              </w:tc>
              <w:tc>
                <w:tcPr>
                  <w:tcW w:w="1776" w:type="dxa"/>
                  <w:vAlign w:val="center"/>
                </w:tcPr>
                <w:p w14:paraId="2D9EAB85">
                  <w:pPr>
                    <w:pStyle w:val="50"/>
                    <w:jc w:val="center"/>
                    <w:rPr>
                      <w:rFonts w:hint="default"/>
                      <w:color w:val="auto"/>
                      <w:lang w:val="en-US" w:eastAsia="zh-CN"/>
                    </w:rPr>
                  </w:pPr>
                  <w:r>
                    <w:rPr>
                      <w:rFonts w:hint="eastAsia"/>
                      <w:color w:val="auto"/>
                      <w:lang w:val="en-US" w:eastAsia="zh-CN"/>
                    </w:rPr>
                    <w:t>100套</w:t>
                  </w:r>
                </w:p>
              </w:tc>
              <w:tc>
                <w:tcPr>
                  <w:tcW w:w="1776" w:type="dxa"/>
                  <w:vAlign w:val="center"/>
                </w:tcPr>
                <w:p w14:paraId="1BF40105">
                  <w:pPr>
                    <w:pStyle w:val="50"/>
                    <w:jc w:val="center"/>
                    <w:rPr>
                      <w:rFonts w:hint="eastAsia"/>
                      <w:color w:val="auto"/>
                      <w:lang w:val="en-US" w:eastAsia="zh-CN"/>
                    </w:rPr>
                  </w:pPr>
                  <w:r>
                    <w:rPr>
                      <w:rFonts w:hint="eastAsia"/>
                      <w:color w:val="auto"/>
                      <w:lang w:val="en-US" w:eastAsia="zh-CN"/>
                    </w:rPr>
                    <w:t>全部外售</w:t>
                  </w:r>
                </w:p>
              </w:tc>
            </w:tr>
            <w:tr w14:paraId="563D49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5FB9C195">
                  <w:pPr>
                    <w:pStyle w:val="50"/>
                    <w:jc w:val="center"/>
                    <w:rPr>
                      <w:rFonts w:hint="default"/>
                      <w:color w:val="auto"/>
                      <w:lang w:val="en-US" w:eastAsia="zh-CN"/>
                    </w:rPr>
                  </w:pPr>
                  <w:r>
                    <w:rPr>
                      <w:rFonts w:hint="eastAsia"/>
                      <w:color w:val="auto"/>
                      <w:lang w:val="en-US" w:eastAsia="zh-CN"/>
                    </w:rPr>
                    <w:t>4</w:t>
                  </w:r>
                </w:p>
              </w:tc>
              <w:tc>
                <w:tcPr>
                  <w:tcW w:w="2403" w:type="dxa"/>
                  <w:vAlign w:val="center"/>
                </w:tcPr>
                <w:p w14:paraId="31661553">
                  <w:pPr>
                    <w:pStyle w:val="50"/>
                    <w:jc w:val="center"/>
                    <w:rPr>
                      <w:rFonts w:hint="eastAsia" w:cs="Times New Roman"/>
                      <w:color w:val="auto"/>
                      <w:highlight w:val="none"/>
                      <w:lang w:val="en-US" w:eastAsia="zh-CN"/>
                    </w:rPr>
                  </w:pPr>
                  <w:r>
                    <w:rPr>
                      <w:rFonts w:hint="eastAsia" w:cs="Times New Roman"/>
                      <w:color w:val="auto"/>
                      <w:highlight w:val="none"/>
                      <w:lang w:val="en-US" w:eastAsia="zh-CN"/>
                    </w:rPr>
                    <w:t>3.6×7.6m</w:t>
                  </w:r>
                </w:p>
              </w:tc>
              <w:tc>
                <w:tcPr>
                  <w:tcW w:w="1776" w:type="dxa"/>
                  <w:vAlign w:val="center"/>
                </w:tcPr>
                <w:p w14:paraId="10F583BD">
                  <w:pPr>
                    <w:pStyle w:val="50"/>
                    <w:jc w:val="center"/>
                    <w:rPr>
                      <w:rFonts w:hint="default"/>
                      <w:color w:val="auto"/>
                      <w:lang w:val="en-US" w:eastAsia="zh-CN"/>
                    </w:rPr>
                  </w:pPr>
                  <w:r>
                    <w:rPr>
                      <w:rFonts w:hint="eastAsia"/>
                      <w:color w:val="auto"/>
                      <w:lang w:val="en-US" w:eastAsia="zh-CN"/>
                    </w:rPr>
                    <w:t>100套</w:t>
                  </w:r>
                </w:p>
              </w:tc>
              <w:tc>
                <w:tcPr>
                  <w:tcW w:w="1776" w:type="dxa"/>
                  <w:vAlign w:val="center"/>
                </w:tcPr>
                <w:p w14:paraId="752EC04D">
                  <w:pPr>
                    <w:pStyle w:val="50"/>
                    <w:jc w:val="center"/>
                    <w:rPr>
                      <w:rFonts w:hint="eastAsia"/>
                      <w:color w:val="auto"/>
                      <w:lang w:val="en-US" w:eastAsia="zh-CN"/>
                    </w:rPr>
                  </w:pPr>
                  <w:r>
                    <w:rPr>
                      <w:rFonts w:hint="eastAsia"/>
                      <w:color w:val="auto"/>
                      <w:lang w:val="en-US" w:eastAsia="zh-CN"/>
                    </w:rPr>
                    <w:t>全部外售</w:t>
                  </w:r>
                </w:p>
              </w:tc>
            </w:tr>
            <w:tr w14:paraId="08907F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43882AA1">
                  <w:pPr>
                    <w:pStyle w:val="50"/>
                    <w:jc w:val="center"/>
                    <w:rPr>
                      <w:rFonts w:hint="default"/>
                      <w:color w:val="auto"/>
                      <w:lang w:val="en-US" w:eastAsia="zh-CN"/>
                    </w:rPr>
                  </w:pPr>
                  <w:r>
                    <w:rPr>
                      <w:rFonts w:hint="eastAsia"/>
                      <w:color w:val="auto"/>
                      <w:lang w:val="en-US" w:eastAsia="zh-CN"/>
                    </w:rPr>
                    <w:t>5</w:t>
                  </w:r>
                </w:p>
              </w:tc>
              <w:tc>
                <w:tcPr>
                  <w:tcW w:w="2403" w:type="dxa"/>
                  <w:vAlign w:val="center"/>
                </w:tcPr>
                <w:p w14:paraId="2DB3A7B2">
                  <w:pPr>
                    <w:pStyle w:val="50"/>
                    <w:jc w:val="center"/>
                    <w:rPr>
                      <w:rFonts w:hint="eastAsia" w:cs="Times New Roman"/>
                      <w:color w:val="auto"/>
                      <w:highlight w:val="none"/>
                      <w:lang w:val="en-US" w:eastAsia="zh-CN"/>
                    </w:rPr>
                  </w:pPr>
                  <w:r>
                    <w:rPr>
                      <w:rFonts w:hint="eastAsia" w:cs="Times New Roman"/>
                      <w:color w:val="auto"/>
                      <w:highlight w:val="none"/>
                      <w:lang w:val="en-US" w:eastAsia="zh-CN"/>
                    </w:rPr>
                    <w:t>4×8m</w:t>
                  </w:r>
                </w:p>
              </w:tc>
              <w:tc>
                <w:tcPr>
                  <w:tcW w:w="1776" w:type="dxa"/>
                  <w:vAlign w:val="center"/>
                </w:tcPr>
                <w:p w14:paraId="59A76DC9">
                  <w:pPr>
                    <w:pStyle w:val="50"/>
                    <w:jc w:val="center"/>
                    <w:rPr>
                      <w:rFonts w:hint="default"/>
                      <w:color w:val="auto"/>
                      <w:lang w:val="en-US" w:eastAsia="zh-CN"/>
                    </w:rPr>
                  </w:pPr>
                  <w:r>
                    <w:rPr>
                      <w:rFonts w:hint="eastAsia"/>
                      <w:color w:val="auto"/>
                      <w:lang w:val="en-US" w:eastAsia="zh-CN"/>
                    </w:rPr>
                    <w:t>50套</w:t>
                  </w:r>
                </w:p>
              </w:tc>
              <w:tc>
                <w:tcPr>
                  <w:tcW w:w="1776" w:type="dxa"/>
                  <w:vAlign w:val="center"/>
                </w:tcPr>
                <w:p w14:paraId="0B4551A6">
                  <w:pPr>
                    <w:pStyle w:val="50"/>
                    <w:jc w:val="center"/>
                    <w:rPr>
                      <w:rFonts w:hint="eastAsia"/>
                      <w:color w:val="auto"/>
                      <w:lang w:val="en-US" w:eastAsia="zh-CN"/>
                    </w:rPr>
                  </w:pPr>
                  <w:r>
                    <w:rPr>
                      <w:rFonts w:hint="eastAsia"/>
                      <w:color w:val="auto"/>
                      <w:lang w:val="en-US" w:eastAsia="zh-CN"/>
                    </w:rPr>
                    <w:t>全部外售</w:t>
                  </w:r>
                </w:p>
              </w:tc>
            </w:tr>
            <w:tr w14:paraId="24A783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1DDB90B9">
                  <w:pPr>
                    <w:pStyle w:val="50"/>
                    <w:jc w:val="center"/>
                    <w:rPr>
                      <w:rFonts w:hint="default"/>
                      <w:color w:val="auto"/>
                      <w:lang w:val="en-US" w:eastAsia="zh-CN"/>
                    </w:rPr>
                  </w:pPr>
                  <w:r>
                    <w:rPr>
                      <w:rFonts w:hint="eastAsia"/>
                      <w:color w:val="auto"/>
                      <w:lang w:val="en-US" w:eastAsia="zh-CN"/>
                    </w:rPr>
                    <w:t>6</w:t>
                  </w:r>
                </w:p>
              </w:tc>
              <w:tc>
                <w:tcPr>
                  <w:tcW w:w="2403" w:type="dxa"/>
                  <w:vAlign w:val="center"/>
                </w:tcPr>
                <w:p w14:paraId="20BF4A21">
                  <w:pPr>
                    <w:pStyle w:val="50"/>
                    <w:jc w:val="center"/>
                    <w:rPr>
                      <w:rFonts w:hint="eastAsia" w:cs="Times New Roman"/>
                      <w:color w:val="auto"/>
                      <w:highlight w:val="none"/>
                      <w:lang w:val="en-US" w:eastAsia="zh-CN"/>
                    </w:rPr>
                  </w:pPr>
                  <w:r>
                    <w:rPr>
                      <w:rFonts w:hint="eastAsia" w:cs="Times New Roman"/>
                      <w:color w:val="auto"/>
                      <w:highlight w:val="none"/>
                      <w:lang w:val="en-US" w:eastAsia="zh-CN"/>
                    </w:rPr>
                    <w:t>4×9m</w:t>
                  </w:r>
                </w:p>
              </w:tc>
              <w:tc>
                <w:tcPr>
                  <w:tcW w:w="1776" w:type="dxa"/>
                  <w:vAlign w:val="center"/>
                </w:tcPr>
                <w:p w14:paraId="250DF450">
                  <w:pPr>
                    <w:pStyle w:val="50"/>
                    <w:jc w:val="center"/>
                    <w:rPr>
                      <w:rFonts w:hint="default"/>
                      <w:color w:val="auto"/>
                      <w:lang w:val="en-US" w:eastAsia="zh-CN"/>
                    </w:rPr>
                  </w:pPr>
                  <w:r>
                    <w:rPr>
                      <w:rFonts w:hint="eastAsia"/>
                      <w:color w:val="auto"/>
                      <w:lang w:val="en-US" w:eastAsia="zh-CN"/>
                    </w:rPr>
                    <w:t>60套</w:t>
                  </w:r>
                </w:p>
              </w:tc>
              <w:tc>
                <w:tcPr>
                  <w:tcW w:w="1776" w:type="dxa"/>
                  <w:vAlign w:val="center"/>
                </w:tcPr>
                <w:p w14:paraId="112176D3">
                  <w:pPr>
                    <w:pStyle w:val="50"/>
                    <w:jc w:val="center"/>
                    <w:rPr>
                      <w:rFonts w:hint="eastAsia"/>
                      <w:color w:val="auto"/>
                      <w:lang w:val="en-US" w:eastAsia="zh-CN"/>
                    </w:rPr>
                  </w:pPr>
                  <w:r>
                    <w:rPr>
                      <w:rFonts w:hint="eastAsia"/>
                      <w:color w:val="auto"/>
                      <w:lang w:val="en-US" w:eastAsia="zh-CN"/>
                    </w:rPr>
                    <w:t>全部外售</w:t>
                  </w:r>
                </w:p>
              </w:tc>
            </w:tr>
            <w:tr w14:paraId="5F43D1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03" w:type="dxa"/>
                  <w:gridSpan w:val="4"/>
                  <w:vAlign w:val="center"/>
                </w:tcPr>
                <w:p w14:paraId="1635547C">
                  <w:pPr>
                    <w:pStyle w:val="50"/>
                    <w:jc w:val="center"/>
                    <w:rPr>
                      <w:rFonts w:hint="default"/>
                      <w:color w:val="auto"/>
                      <w:lang w:val="en-US" w:eastAsia="zh-CN"/>
                    </w:rPr>
                  </w:pPr>
                  <w:r>
                    <w:rPr>
                      <w:rFonts w:hint="eastAsia"/>
                      <w:b/>
                      <w:bCs/>
                      <w:color w:val="auto"/>
                      <w:lang w:val="en-US" w:eastAsia="zh-CN"/>
                    </w:rPr>
                    <w:t>化粪池、水池</w:t>
                  </w:r>
                </w:p>
              </w:tc>
            </w:tr>
            <w:tr w14:paraId="664D96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384EBABF">
                  <w:pPr>
                    <w:pStyle w:val="50"/>
                    <w:ind w:firstLine="0" w:firstLineChars="0"/>
                    <w:jc w:val="center"/>
                    <w:rPr>
                      <w:rFonts w:hint="eastAsia"/>
                      <w:color w:val="auto"/>
                      <w:lang w:val="en-US" w:eastAsia="zh-CN"/>
                    </w:rPr>
                  </w:pPr>
                  <w:r>
                    <w:rPr>
                      <w:b/>
                      <w:bCs/>
                      <w:color w:val="auto"/>
                    </w:rPr>
                    <w:t>序号</w:t>
                  </w:r>
                </w:p>
              </w:tc>
              <w:tc>
                <w:tcPr>
                  <w:tcW w:w="2403" w:type="dxa"/>
                  <w:vAlign w:val="center"/>
                </w:tcPr>
                <w:p w14:paraId="42DD1022">
                  <w:pPr>
                    <w:pStyle w:val="50"/>
                    <w:ind w:firstLine="0" w:firstLineChars="0"/>
                    <w:jc w:val="center"/>
                    <w:rPr>
                      <w:rFonts w:hint="eastAsia" w:cs="Times New Roman"/>
                      <w:color w:val="auto"/>
                      <w:highlight w:val="none"/>
                      <w:lang w:val="en-US" w:eastAsia="zh-CN"/>
                    </w:rPr>
                  </w:pPr>
                  <w:r>
                    <w:rPr>
                      <w:b/>
                      <w:bCs/>
                      <w:color w:val="auto"/>
                    </w:rPr>
                    <w:t>产品</w:t>
                  </w:r>
                  <w:r>
                    <w:rPr>
                      <w:rFonts w:hint="eastAsia"/>
                      <w:b/>
                      <w:bCs/>
                      <w:color w:val="auto"/>
                      <w:lang w:val="en-US" w:eastAsia="zh-CN"/>
                    </w:rPr>
                    <w:t>规格</w:t>
                  </w:r>
                </w:p>
              </w:tc>
              <w:tc>
                <w:tcPr>
                  <w:tcW w:w="1776" w:type="dxa"/>
                  <w:vAlign w:val="center"/>
                </w:tcPr>
                <w:p w14:paraId="4B383C57">
                  <w:pPr>
                    <w:pStyle w:val="50"/>
                    <w:ind w:firstLine="0" w:firstLineChars="0"/>
                    <w:jc w:val="center"/>
                    <w:rPr>
                      <w:rFonts w:hint="eastAsia"/>
                      <w:color w:val="auto"/>
                      <w:lang w:val="en-US" w:eastAsia="zh-CN"/>
                    </w:rPr>
                  </w:pPr>
                  <w:r>
                    <w:rPr>
                      <w:b/>
                      <w:bCs/>
                      <w:color w:val="auto"/>
                    </w:rPr>
                    <w:t>建设规模</w:t>
                  </w:r>
                </w:p>
              </w:tc>
              <w:tc>
                <w:tcPr>
                  <w:tcW w:w="1776" w:type="dxa"/>
                  <w:vAlign w:val="center"/>
                </w:tcPr>
                <w:p w14:paraId="2506B9A1">
                  <w:pPr>
                    <w:pStyle w:val="50"/>
                    <w:ind w:firstLine="0" w:firstLineChars="0"/>
                    <w:jc w:val="center"/>
                    <w:rPr>
                      <w:rFonts w:hint="eastAsia"/>
                      <w:color w:val="auto"/>
                      <w:lang w:val="en-US" w:eastAsia="zh-CN"/>
                    </w:rPr>
                  </w:pPr>
                  <w:r>
                    <w:rPr>
                      <w:b/>
                      <w:bCs/>
                      <w:color w:val="auto"/>
                    </w:rPr>
                    <w:t>备注</w:t>
                  </w:r>
                </w:p>
              </w:tc>
            </w:tr>
            <w:tr w14:paraId="44BBE4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3C8AC66A">
                  <w:pPr>
                    <w:pStyle w:val="50"/>
                    <w:jc w:val="center"/>
                    <w:rPr>
                      <w:rFonts w:hint="default"/>
                      <w:color w:val="auto"/>
                      <w:lang w:val="en-US" w:eastAsia="zh-CN"/>
                    </w:rPr>
                  </w:pPr>
                  <w:r>
                    <w:rPr>
                      <w:rFonts w:hint="eastAsia"/>
                      <w:color w:val="auto"/>
                      <w:lang w:val="en-US" w:eastAsia="zh-CN"/>
                    </w:rPr>
                    <w:t>1</w:t>
                  </w:r>
                </w:p>
              </w:tc>
              <w:tc>
                <w:tcPr>
                  <w:tcW w:w="2403" w:type="dxa"/>
                  <w:vAlign w:val="center"/>
                </w:tcPr>
                <w:p w14:paraId="2FC54DB5">
                  <w:pPr>
                    <w:pStyle w:val="50"/>
                    <w:jc w:val="center"/>
                    <w:rPr>
                      <w:rFonts w:hint="default" w:cs="Times New Roman"/>
                      <w:color w:val="auto"/>
                      <w:highlight w:val="none"/>
                      <w:lang w:val="en-US" w:eastAsia="zh-CN"/>
                    </w:rPr>
                  </w:pPr>
                  <w:r>
                    <w:rPr>
                      <w:rFonts w:hint="eastAsia" w:cs="Times New Roman"/>
                      <w:color w:val="auto"/>
                      <w:highlight w:val="none"/>
                      <w:lang w:val="en-US" w:eastAsia="zh-CN"/>
                    </w:rPr>
                    <w:t>7m</w:t>
                  </w:r>
                  <w:r>
                    <w:rPr>
                      <w:rFonts w:hint="eastAsia" w:cs="Times New Roman"/>
                      <w:color w:val="auto"/>
                      <w:highlight w:val="none"/>
                      <w:vertAlign w:val="superscript"/>
                      <w:lang w:val="en-US" w:eastAsia="zh-CN"/>
                    </w:rPr>
                    <w:t>3</w:t>
                  </w:r>
                </w:p>
              </w:tc>
              <w:tc>
                <w:tcPr>
                  <w:tcW w:w="1776" w:type="dxa"/>
                  <w:vAlign w:val="center"/>
                </w:tcPr>
                <w:p w14:paraId="7C24FF53">
                  <w:pPr>
                    <w:pStyle w:val="50"/>
                    <w:jc w:val="center"/>
                    <w:rPr>
                      <w:rFonts w:hint="default"/>
                      <w:color w:val="auto"/>
                      <w:lang w:val="en-US" w:eastAsia="zh-CN"/>
                    </w:rPr>
                  </w:pPr>
                  <w:r>
                    <w:rPr>
                      <w:rFonts w:hint="eastAsia"/>
                      <w:color w:val="auto"/>
                      <w:lang w:val="en-US" w:eastAsia="zh-CN"/>
                    </w:rPr>
                    <w:t>20套</w:t>
                  </w:r>
                </w:p>
              </w:tc>
              <w:tc>
                <w:tcPr>
                  <w:tcW w:w="1776" w:type="dxa"/>
                  <w:vAlign w:val="center"/>
                </w:tcPr>
                <w:p w14:paraId="68DA1177">
                  <w:pPr>
                    <w:pStyle w:val="50"/>
                    <w:jc w:val="center"/>
                    <w:rPr>
                      <w:rFonts w:hint="eastAsia"/>
                      <w:color w:val="auto"/>
                      <w:lang w:val="en-US" w:eastAsia="zh-CN"/>
                    </w:rPr>
                  </w:pPr>
                  <w:r>
                    <w:rPr>
                      <w:rFonts w:hint="eastAsia"/>
                      <w:color w:val="auto"/>
                      <w:lang w:val="en-US" w:eastAsia="zh-CN"/>
                    </w:rPr>
                    <w:t>全部外售</w:t>
                  </w:r>
                </w:p>
              </w:tc>
            </w:tr>
            <w:tr w14:paraId="23B08E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4BD8F834">
                  <w:pPr>
                    <w:pStyle w:val="50"/>
                    <w:jc w:val="center"/>
                    <w:rPr>
                      <w:rFonts w:hint="default"/>
                      <w:color w:val="auto"/>
                      <w:lang w:val="en-US" w:eastAsia="zh-CN"/>
                    </w:rPr>
                  </w:pPr>
                  <w:r>
                    <w:rPr>
                      <w:rFonts w:hint="eastAsia"/>
                      <w:color w:val="auto"/>
                      <w:lang w:val="en-US" w:eastAsia="zh-CN"/>
                    </w:rPr>
                    <w:t>2</w:t>
                  </w:r>
                </w:p>
              </w:tc>
              <w:tc>
                <w:tcPr>
                  <w:tcW w:w="2403" w:type="dxa"/>
                  <w:vAlign w:val="center"/>
                </w:tcPr>
                <w:p w14:paraId="76698EBE">
                  <w:pPr>
                    <w:pStyle w:val="50"/>
                    <w:jc w:val="center"/>
                    <w:rPr>
                      <w:rFonts w:hint="eastAsia" w:cs="Times New Roman"/>
                      <w:color w:val="auto"/>
                      <w:highlight w:val="none"/>
                      <w:lang w:val="en-US" w:eastAsia="zh-CN"/>
                    </w:rPr>
                  </w:pPr>
                  <w:r>
                    <w:rPr>
                      <w:rFonts w:hint="eastAsia" w:cs="Times New Roman"/>
                      <w:color w:val="auto"/>
                      <w:highlight w:val="none"/>
                      <w:lang w:val="en-US" w:eastAsia="zh-CN"/>
                    </w:rPr>
                    <w:t>20m</w:t>
                  </w:r>
                  <w:r>
                    <w:rPr>
                      <w:rFonts w:hint="eastAsia" w:cs="Times New Roman"/>
                      <w:color w:val="auto"/>
                      <w:highlight w:val="none"/>
                      <w:vertAlign w:val="superscript"/>
                      <w:lang w:val="en-US" w:eastAsia="zh-CN"/>
                    </w:rPr>
                    <w:t>3</w:t>
                  </w:r>
                </w:p>
              </w:tc>
              <w:tc>
                <w:tcPr>
                  <w:tcW w:w="1776" w:type="dxa"/>
                  <w:vAlign w:val="center"/>
                </w:tcPr>
                <w:p w14:paraId="29D83F71">
                  <w:pPr>
                    <w:pStyle w:val="50"/>
                    <w:jc w:val="center"/>
                    <w:rPr>
                      <w:rFonts w:hint="default"/>
                      <w:color w:val="auto"/>
                      <w:lang w:val="en-US" w:eastAsia="zh-CN"/>
                    </w:rPr>
                  </w:pPr>
                  <w:r>
                    <w:rPr>
                      <w:rFonts w:hint="eastAsia"/>
                      <w:color w:val="auto"/>
                      <w:lang w:val="en-US" w:eastAsia="zh-CN"/>
                    </w:rPr>
                    <w:t>20套</w:t>
                  </w:r>
                </w:p>
              </w:tc>
              <w:tc>
                <w:tcPr>
                  <w:tcW w:w="1776" w:type="dxa"/>
                  <w:vAlign w:val="center"/>
                </w:tcPr>
                <w:p w14:paraId="159F2C9C">
                  <w:pPr>
                    <w:pStyle w:val="50"/>
                    <w:jc w:val="center"/>
                    <w:rPr>
                      <w:rFonts w:hint="eastAsia"/>
                      <w:color w:val="auto"/>
                      <w:lang w:val="en-US" w:eastAsia="zh-CN"/>
                    </w:rPr>
                  </w:pPr>
                  <w:r>
                    <w:rPr>
                      <w:rFonts w:hint="eastAsia"/>
                      <w:color w:val="auto"/>
                      <w:lang w:val="en-US" w:eastAsia="zh-CN"/>
                    </w:rPr>
                    <w:t>全部外售</w:t>
                  </w:r>
                </w:p>
              </w:tc>
            </w:tr>
            <w:tr w14:paraId="64339B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42A3F39C">
                  <w:pPr>
                    <w:pStyle w:val="50"/>
                    <w:jc w:val="center"/>
                    <w:rPr>
                      <w:rFonts w:hint="default"/>
                      <w:color w:val="auto"/>
                      <w:lang w:val="en-US" w:eastAsia="zh-CN"/>
                    </w:rPr>
                  </w:pPr>
                  <w:r>
                    <w:rPr>
                      <w:rFonts w:hint="eastAsia"/>
                      <w:color w:val="auto"/>
                      <w:lang w:val="en-US" w:eastAsia="zh-CN"/>
                    </w:rPr>
                    <w:t>3</w:t>
                  </w:r>
                </w:p>
              </w:tc>
              <w:tc>
                <w:tcPr>
                  <w:tcW w:w="2403" w:type="dxa"/>
                  <w:vAlign w:val="center"/>
                </w:tcPr>
                <w:p w14:paraId="4AADDD9C">
                  <w:pPr>
                    <w:pStyle w:val="50"/>
                    <w:jc w:val="center"/>
                    <w:rPr>
                      <w:rFonts w:hint="eastAsia" w:cs="Times New Roman"/>
                      <w:color w:val="auto"/>
                      <w:highlight w:val="none"/>
                      <w:lang w:val="en-US" w:eastAsia="zh-CN"/>
                    </w:rPr>
                  </w:pPr>
                  <w:r>
                    <w:rPr>
                      <w:rFonts w:hint="eastAsia" w:cs="Times New Roman"/>
                      <w:color w:val="auto"/>
                      <w:highlight w:val="none"/>
                      <w:lang w:val="en-US" w:eastAsia="zh-CN"/>
                    </w:rPr>
                    <w:t>50m</w:t>
                  </w:r>
                  <w:r>
                    <w:rPr>
                      <w:rFonts w:hint="eastAsia" w:cs="Times New Roman"/>
                      <w:color w:val="auto"/>
                      <w:highlight w:val="none"/>
                      <w:vertAlign w:val="superscript"/>
                      <w:lang w:val="en-US" w:eastAsia="zh-CN"/>
                    </w:rPr>
                    <w:t>3</w:t>
                  </w:r>
                </w:p>
              </w:tc>
              <w:tc>
                <w:tcPr>
                  <w:tcW w:w="1776" w:type="dxa"/>
                  <w:vAlign w:val="center"/>
                </w:tcPr>
                <w:p w14:paraId="758BC777">
                  <w:pPr>
                    <w:pStyle w:val="50"/>
                    <w:jc w:val="center"/>
                    <w:rPr>
                      <w:rFonts w:hint="default"/>
                      <w:color w:val="auto"/>
                      <w:lang w:val="en-US" w:eastAsia="zh-CN"/>
                    </w:rPr>
                  </w:pPr>
                  <w:r>
                    <w:rPr>
                      <w:rFonts w:hint="eastAsia"/>
                      <w:color w:val="auto"/>
                      <w:lang w:val="en-US" w:eastAsia="zh-CN"/>
                    </w:rPr>
                    <w:t>15套</w:t>
                  </w:r>
                </w:p>
              </w:tc>
              <w:tc>
                <w:tcPr>
                  <w:tcW w:w="1776" w:type="dxa"/>
                  <w:vAlign w:val="center"/>
                </w:tcPr>
                <w:p w14:paraId="3B5909B2">
                  <w:pPr>
                    <w:pStyle w:val="50"/>
                    <w:jc w:val="center"/>
                    <w:rPr>
                      <w:rFonts w:hint="eastAsia"/>
                      <w:color w:val="auto"/>
                      <w:lang w:val="en-US" w:eastAsia="zh-CN"/>
                    </w:rPr>
                  </w:pPr>
                  <w:r>
                    <w:rPr>
                      <w:rFonts w:hint="eastAsia"/>
                      <w:color w:val="auto"/>
                      <w:lang w:val="en-US" w:eastAsia="zh-CN"/>
                    </w:rPr>
                    <w:t>全部外售</w:t>
                  </w:r>
                </w:p>
              </w:tc>
            </w:tr>
            <w:tr w14:paraId="0E64AE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03" w:type="dxa"/>
                  <w:gridSpan w:val="4"/>
                  <w:vAlign w:val="center"/>
                </w:tcPr>
                <w:p w14:paraId="3D922760">
                  <w:pPr>
                    <w:pStyle w:val="50"/>
                    <w:jc w:val="center"/>
                    <w:rPr>
                      <w:rFonts w:hint="default"/>
                      <w:color w:val="auto"/>
                      <w:lang w:val="en-US" w:eastAsia="zh-CN"/>
                    </w:rPr>
                  </w:pPr>
                  <w:r>
                    <w:rPr>
                      <w:rFonts w:hint="eastAsia"/>
                      <w:b/>
                      <w:bCs/>
                      <w:color w:val="auto"/>
                      <w:lang w:val="en-US" w:eastAsia="zh-CN"/>
                    </w:rPr>
                    <w:t>其他</w:t>
                  </w:r>
                </w:p>
              </w:tc>
            </w:tr>
            <w:tr w14:paraId="79AB9D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61352270">
                  <w:pPr>
                    <w:pStyle w:val="50"/>
                    <w:ind w:firstLine="0" w:firstLineChars="0"/>
                    <w:jc w:val="center"/>
                    <w:rPr>
                      <w:rFonts w:hint="default" w:eastAsia="宋体"/>
                      <w:color w:val="auto"/>
                      <w:lang w:val="en-US" w:eastAsia="zh-CN"/>
                    </w:rPr>
                  </w:pPr>
                  <w:r>
                    <w:rPr>
                      <w:rFonts w:hint="eastAsia"/>
                      <w:b/>
                      <w:bCs/>
                      <w:color w:val="auto"/>
                      <w:lang w:val="en-US" w:eastAsia="zh-CN"/>
                    </w:rPr>
                    <w:t>名称</w:t>
                  </w:r>
                </w:p>
              </w:tc>
              <w:tc>
                <w:tcPr>
                  <w:tcW w:w="2403" w:type="dxa"/>
                  <w:vAlign w:val="center"/>
                </w:tcPr>
                <w:p w14:paraId="294F562F">
                  <w:pPr>
                    <w:pStyle w:val="50"/>
                    <w:ind w:firstLine="0" w:firstLineChars="0"/>
                    <w:jc w:val="center"/>
                    <w:rPr>
                      <w:rFonts w:hint="eastAsia" w:cs="Times New Roman"/>
                      <w:color w:val="auto"/>
                      <w:highlight w:val="none"/>
                      <w:lang w:val="en-US" w:eastAsia="zh-CN"/>
                    </w:rPr>
                  </w:pPr>
                  <w:r>
                    <w:rPr>
                      <w:b/>
                      <w:bCs/>
                      <w:color w:val="auto"/>
                    </w:rPr>
                    <w:t>产品</w:t>
                  </w:r>
                  <w:r>
                    <w:rPr>
                      <w:rFonts w:hint="eastAsia"/>
                      <w:b/>
                      <w:bCs/>
                      <w:color w:val="auto"/>
                      <w:lang w:val="en-US" w:eastAsia="zh-CN"/>
                    </w:rPr>
                    <w:t>规格</w:t>
                  </w:r>
                </w:p>
              </w:tc>
              <w:tc>
                <w:tcPr>
                  <w:tcW w:w="1776" w:type="dxa"/>
                  <w:vAlign w:val="center"/>
                </w:tcPr>
                <w:p w14:paraId="184F2666">
                  <w:pPr>
                    <w:pStyle w:val="50"/>
                    <w:ind w:firstLine="0" w:firstLineChars="0"/>
                    <w:jc w:val="center"/>
                    <w:rPr>
                      <w:rFonts w:hint="eastAsia"/>
                      <w:color w:val="auto"/>
                      <w:lang w:val="en-US" w:eastAsia="zh-CN"/>
                    </w:rPr>
                  </w:pPr>
                  <w:r>
                    <w:rPr>
                      <w:b/>
                      <w:bCs/>
                      <w:color w:val="auto"/>
                    </w:rPr>
                    <w:t>建设规模</w:t>
                  </w:r>
                </w:p>
              </w:tc>
              <w:tc>
                <w:tcPr>
                  <w:tcW w:w="1776" w:type="dxa"/>
                  <w:vAlign w:val="center"/>
                </w:tcPr>
                <w:p w14:paraId="3838A744">
                  <w:pPr>
                    <w:pStyle w:val="50"/>
                    <w:ind w:firstLine="0" w:firstLineChars="0"/>
                    <w:jc w:val="center"/>
                    <w:rPr>
                      <w:rFonts w:hint="eastAsia"/>
                      <w:color w:val="auto"/>
                      <w:lang w:val="en-US" w:eastAsia="zh-CN"/>
                    </w:rPr>
                  </w:pPr>
                  <w:r>
                    <w:rPr>
                      <w:b/>
                      <w:bCs/>
                      <w:color w:val="auto"/>
                    </w:rPr>
                    <w:t>备注</w:t>
                  </w:r>
                </w:p>
              </w:tc>
            </w:tr>
            <w:tr w14:paraId="488157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745F45EA">
                  <w:pPr>
                    <w:pStyle w:val="50"/>
                    <w:jc w:val="center"/>
                    <w:rPr>
                      <w:rFonts w:hint="default"/>
                      <w:color w:val="auto"/>
                      <w:lang w:val="en-US" w:eastAsia="zh-CN"/>
                    </w:rPr>
                  </w:pPr>
                  <w:r>
                    <w:rPr>
                      <w:rFonts w:hint="eastAsia"/>
                      <w:color w:val="auto"/>
                      <w:lang w:val="en-US" w:eastAsia="zh-CN"/>
                    </w:rPr>
                    <w:t>检查井</w:t>
                  </w:r>
                </w:p>
              </w:tc>
              <w:tc>
                <w:tcPr>
                  <w:tcW w:w="2403" w:type="dxa"/>
                  <w:vAlign w:val="center"/>
                </w:tcPr>
                <w:p w14:paraId="77CD8EF3">
                  <w:pPr>
                    <w:pStyle w:val="50"/>
                    <w:jc w:val="center"/>
                    <w:rPr>
                      <w:rFonts w:hint="default" w:cs="Times New Roman"/>
                      <w:color w:val="auto"/>
                      <w:highlight w:val="none"/>
                      <w:lang w:val="en-US" w:eastAsia="zh-CN"/>
                    </w:rPr>
                  </w:pPr>
                  <w:r>
                    <w:rPr>
                      <w:rFonts w:hint="eastAsia" w:cs="Times New Roman"/>
                      <w:color w:val="auto"/>
                      <w:highlight w:val="none"/>
                      <w:lang w:val="en-US" w:eastAsia="zh-CN"/>
                    </w:rPr>
                    <w:t>直径1m至2m</w:t>
                  </w:r>
                </w:p>
              </w:tc>
              <w:tc>
                <w:tcPr>
                  <w:tcW w:w="1776" w:type="dxa"/>
                  <w:vAlign w:val="center"/>
                </w:tcPr>
                <w:p w14:paraId="69750C8E">
                  <w:pPr>
                    <w:pStyle w:val="50"/>
                    <w:jc w:val="center"/>
                    <w:rPr>
                      <w:rFonts w:hint="default"/>
                      <w:color w:val="auto"/>
                      <w:lang w:val="en-US" w:eastAsia="zh-CN"/>
                    </w:rPr>
                  </w:pPr>
                  <w:r>
                    <w:rPr>
                      <w:rFonts w:hint="eastAsia"/>
                      <w:color w:val="auto"/>
                      <w:lang w:val="en-US" w:eastAsia="zh-CN"/>
                    </w:rPr>
                    <w:t>300套</w:t>
                  </w:r>
                </w:p>
              </w:tc>
              <w:tc>
                <w:tcPr>
                  <w:tcW w:w="1776" w:type="dxa"/>
                  <w:shd w:val="clear" w:color="auto" w:fill="auto"/>
                  <w:vAlign w:val="center"/>
                </w:tcPr>
                <w:p w14:paraId="457BCB79">
                  <w:pPr>
                    <w:pStyle w:val="50"/>
                    <w:ind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全部外售</w:t>
                  </w:r>
                </w:p>
              </w:tc>
            </w:tr>
            <w:tr w14:paraId="1FB983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4837C97">
                  <w:pPr>
                    <w:pStyle w:val="50"/>
                    <w:jc w:val="center"/>
                    <w:rPr>
                      <w:rFonts w:hint="default"/>
                      <w:color w:val="auto"/>
                      <w:lang w:val="en-US" w:eastAsia="zh-CN"/>
                    </w:rPr>
                  </w:pPr>
                  <w:r>
                    <w:rPr>
                      <w:rFonts w:hint="eastAsia"/>
                      <w:color w:val="auto"/>
                      <w:lang w:val="en-US" w:eastAsia="zh-CN"/>
                    </w:rPr>
                    <w:t>井房</w:t>
                  </w:r>
                </w:p>
              </w:tc>
              <w:tc>
                <w:tcPr>
                  <w:tcW w:w="2403" w:type="dxa"/>
                  <w:vAlign w:val="center"/>
                </w:tcPr>
                <w:p w14:paraId="20092240">
                  <w:pPr>
                    <w:pStyle w:val="50"/>
                    <w:jc w:val="center"/>
                    <w:rPr>
                      <w:rFonts w:hint="default" w:cs="Times New Roman"/>
                      <w:color w:val="auto"/>
                      <w:highlight w:val="none"/>
                      <w:lang w:val="en-US" w:eastAsia="zh-CN"/>
                    </w:rPr>
                  </w:pPr>
                  <w:r>
                    <w:rPr>
                      <w:rFonts w:hint="eastAsia" w:cs="Times New Roman"/>
                      <w:color w:val="auto"/>
                      <w:highlight w:val="none"/>
                      <w:lang w:val="en-US" w:eastAsia="zh-CN"/>
                    </w:rPr>
                    <w:t>3×4.3</w:t>
                  </w:r>
                </w:p>
              </w:tc>
              <w:tc>
                <w:tcPr>
                  <w:tcW w:w="1776" w:type="dxa"/>
                  <w:vAlign w:val="center"/>
                </w:tcPr>
                <w:p w14:paraId="21ED594C">
                  <w:pPr>
                    <w:pStyle w:val="50"/>
                    <w:jc w:val="center"/>
                    <w:rPr>
                      <w:rFonts w:hint="default"/>
                      <w:color w:val="auto"/>
                      <w:lang w:val="en-US" w:eastAsia="zh-CN"/>
                    </w:rPr>
                  </w:pPr>
                  <w:r>
                    <w:rPr>
                      <w:rFonts w:hint="eastAsia"/>
                      <w:color w:val="auto"/>
                      <w:lang w:val="en-US" w:eastAsia="zh-CN"/>
                    </w:rPr>
                    <w:t>20套</w:t>
                  </w:r>
                </w:p>
              </w:tc>
              <w:tc>
                <w:tcPr>
                  <w:tcW w:w="1776" w:type="dxa"/>
                  <w:shd w:val="clear" w:color="auto" w:fill="auto"/>
                  <w:vAlign w:val="center"/>
                </w:tcPr>
                <w:p w14:paraId="2BEB37AF">
                  <w:pPr>
                    <w:pStyle w:val="50"/>
                    <w:ind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全部外售</w:t>
                  </w:r>
                </w:p>
              </w:tc>
            </w:tr>
            <w:tr w14:paraId="5808B6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7BA02434">
                  <w:pPr>
                    <w:pStyle w:val="50"/>
                    <w:jc w:val="center"/>
                    <w:rPr>
                      <w:rFonts w:hint="default"/>
                      <w:color w:val="auto"/>
                      <w:lang w:val="en-US" w:eastAsia="zh-CN"/>
                    </w:rPr>
                  </w:pPr>
                  <w:r>
                    <w:rPr>
                      <w:rFonts w:hint="eastAsia"/>
                      <w:color w:val="auto"/>
                      <w:lang w:val="en-US" w:eastAsia="zh-CN"/>
                    </w:rPr>
                    <w:t>围墙</w:t>
                  </w:r>
                </w:p>
              </w:tc>
              <w:tc>
                <w:tcPr>
                  <w:tcW w:w="2403" w:type="dxa"/>
                  <w:vAlign w:val="center"/>
                </w:tcPr>
                <w:p w14:paraId="6C4FCFA2">
                  <w:pPr>
                    <w:pStyle w:val="50"/>
                    <w:jc w:val="center"/>
                    <w:rPr>
                      <w:rFonts w:hint="eastAsia" w:cs="Times New Roman"/>
                      <w:color w:val="auto"/>
                      <w:highlight w:val="none"/>
                      <w:lang w:val="en-US" w:eastAsia="zh-CN"/>
                    </w:rPr>
                  </w:pPr>
                </w:p>
              </w:tc>
              <w:tc>
                <w:tcPr>
                  <w:tcW w:w="1776" w:type="dxa"/>
                  <w:vAlign w:val="center"/>
                </w:tcPr>
                <w:p w14:paraId="314C97B3">
                  <w:pPr>
                    <w:pStyle w:val="50"/>
                    <w:jc w:val="center"/>
                    <w:rPr>
                      <w:rFonts w:hint="default"/>
                      <w:color w:val="auto"/>
                      <w:lang w:val="en-US" w:eastAsia="zh-CN"/>
                    </w:rPr>
                  </w:pPr>
                  <w:r>
                    <w:rPr>
                      <w:rFonts w:hint="eastAsia"/>
                      <w:color w:val="auto"/>
                      <w:lang w:val="en-US" w:eastAsia="zh-CN"/>
                    </w:rPr>
                    <w:t>2000套</w:t>
                  </w:r>
                </w:p>
              </w:tc>
              <w:tc>
                <w:tcPr>
                  <w:tcW w:w="1776" w:type="dxa"/>
                  <w:shd w:val="clear" w:color="auto" w:fill="auto"/>
                  <w:vAlign w:val="center"/>
                </w:tcPr>
                <w:p w14:paraId="04016B40">
                  <w:pPr>
                    <w:pStyle w:val="50"/>
                    <w:ind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全部外售</w:t>
                  </w:r>
                </w:p>
              </w:tc>
            </w:tr>
            <w:tr w14:paraId="7845B5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62F6AC84">
                  <w:pPr>
                    <w:pStyle w:val="50"/>
                    <w:jc w:val="center"/>
                    <w:rPr>
                      <w:rFonts w:hint="default"/>
                      <w:color w:val="auto"/>
                      <w:lang w:val="en-US" w:eastAsia="zh-CN"/>
                    </w:rPr>
                  </w:pPr>
                  <w:r>
                    <w:rPr>
                      <w:rFonts w:hint="eastAsia"/>
                      <w:color w:val="auto"/>
                      <w:lang w:val="en-US" w:eastAsia="zh-CN"/>
                    </w:rPr>
                    <w:t>蒙古包</w:t>
                  </w:r>
                </w:p>
              </w:tc>
              <w:tc>
                <w:tcPr>
                  <w:tcW w:w="2403" w:type="dxa"/>
                  <w:vAlign w:val="center"/>
                </w:tcPr>
                <w:p w14:paraId="5F03E9AA">
                  <w:pPr>
                    <w:pStyle w:val="50"/>
                    <w:jc w:val="center"/>
                    <w:rPr>
                      <w:rFonts w:hint="default" w:cs="Times New Roman"/>
                      <w:color w:val="auto"/>
                      <w:highlight w:val="none"/>
                      <w:lang w:val="en-US" w:eastAsia="zh-CN"/>
                    </w:rPr>
                  </w:pPr>
                  <w:r>
                    <w:rPr>
                      <w:rFonts w:hint="eastAsia" w:cs="Times New Roman"/>
                      <w:color w:val="auto"/>
                      <w:highlight w:val="none"/>
                      <w:lang w:val="en-US" w:eastAsia="zh-CN"/>
                    </w:rPr>
                    <w:t>3.6×2.8</w:t>
                  </w:r>
                </w:p>
              </w:tc>
              <w:tc>
                <w:tcPr>
                  <w:tcW w:w="1776" w:type="dxa"/>
                  <w:vAlign w:val="center"/>
                </w:tcPr>
                <w:p w14:paraId="64943489">
                  <w:pPr>
                    <w:pStyle w:val="50"/>
                    <w:jc w:val="center"/>
                    <w:rPr>
                      <w:rFonts w:hint="default"/>
                      <w:color w:val="auto"/>
                      <w:lang w:val="en-US" w:eastAsia="zh-CN"/>
                    </w:rPr>
                  </w:pPr>
                  <w:r>
                    <w:rPr>
                      <w:rFonts w:hint="eastAsia"/>
                      <w:color w:val="auto"/>
                      <w:lang w:val="en-US" w:eastAsia="zh-CN"/>
                    </w:rPr>
                    <w:t>20套</w:t>
                  </w:r>
                </w:p>
              </w:tc>
              <w:tc>
                <w:tcPr>
                  <w:tcW w:w="1776" w:type="dxa"/>
                  <w:shd w:val="clear" w:color="auto" w:fill="auto"/>
                  <w:vAlign w:val="center"/>
                </w:tcPr>
                <w:p w14:paraId="22208036">
                  <w:pPr>
                    <w:pStyle w:val="50"/>
                    <w:ind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全部外售</w:t>
                  </w:r>
                </w:p>
              </w:tc>
            </w:tr>
            <w:tr w14:paraId="376D3D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570370D2">
                  <w:pPr>
                    <w:pStyle w:val="50"/>
                    <w:jc w:val="center"/>
                    <w:rPr>
                      <w:rFonts w:hint="default"/>
                      <w:color w:val="auto"/>
                      <w:lang w:val="en-US" w:eastAsia="zh-CN"/>
                    </w:rPr>
                  </w:pPr>
                  <w:r>
                    <w:rPr>
                      <w:rFonts w:hint="eastAsia"/>
                      <w:color w:val="auto"/>
                      <w:lang w:val="en-US" w:eastAsia="zh-CN"/>
                    </w:rPr>
                    <w:t>折叠房</w:t>
                  </w:r>
                </w:p>
              </w:tc>
              <w:tc>
                <w:tcPr>
                  <w:tcW w:w="2403" w:type="dxa"/>
                  <w:vAlign w:val="center"/>
                </w:tcPr>
                <w:p w14:paraId="7C224A80">
                  <w:pPr>
                    <w:pStyle w:val="50"/>
                    <w:jc w:val="center"/>
                    <w:rPr>
                      <w:rFonts w:hint="eastAsia" w:cs="Times New Roman"/>
                      <w:color w:val="auto"/>
                      <w:highlight w:val="none"/>
                      <w:lang w:val="en-US" w:eastAsia="zh-CN"/>
                    </w:rPr>
                  </w:pPr>
                  <w:r>
                    <w:rPr>
                      <w:rFonts w:hint="eastAsia" w:cs="Times New Roman"/>
                      <w:color w:val="auto"/>
                      <w:highlight w:val="none"/>
                      <w:lang w:val="en-US" w:eastAsia="zh-CN"/>
                    </w:rPr>
                    <w:t>3×6</w:t>
                  </w:r>
                </w:p>
              </w:tc>
              <w:tc>
                <w:tcPr>
                  <w:tcW w:w="1776" w:type="dxa"/>
                  <w:vAlign w:val="center"/>
                </w:tcPr>
                <w:p w14:paraId="6F7B1216">
                  <w:pPr>
                    <w:pStyle w:val="50"/>
                    <w:jc w:val="center"/>
                    <w:rPr>
                      <w:rFonts w:hint="default"/>
                      <w:color w:val="auto"/>
                      <w:lang w:val="en-US" w:eastAsia="zh-CN"/>
                    </w:rPr>
                  </w:pPr>
                  <w:r>
                    <w:rPr>
                      <w:rFonts w:hint="eastAsia"/>
                      <w:color w:val="auto"/>
                      <w:lang w:val="en-US" w:eastAsia="zh-CN"/>
                    </w:rPr>
                    <w:t>100套</w:t>
                  </w:r>
                </w:p>
              </w:tc>
              <w:tc>
                <w:tcPr>
                  <w:tcW w:w="1776" w:type="dxa"/>
                  <w:shd w:val="clear" w:color="auto" w:fill="auto"/>
                  <w:vAlign w:val="center"/>
                </w:tcPr>
                <w:p w14:paraId="1ECB17C5">
                  <w:pPr>
                    <w:pStyle w:val="50"/>
                    <w:ind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全部外售</w:t>
                  </w:r>
                </w:p>
              </w:tc>
            </w:tr>
            <w:tr w14:paraId="6C2C24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6F041DA0">
                  <w:pPr>
                    <w:pStyle w:val="50"/>
                    <w:jc w:val="center"/>
                    <w:rPr>
                      <w:rFonts w:hint="default"/>
                      <w:color w:val="auto"/>
                      <w:lang w:val="en-US" w:eastAsia="zh-CN"/>
                    </w:rPr>
                  </w:pPr>
                  <w:r>
                    <w:rPr>
                      <w:rFonts w:hint="eastAsia"/>
                      <w:color w:val="auto"/>
                      <w:lang w:val="en-US" w:eastAsia="zh-CN"/>
                    </w:rPr>
                    <w:t>打包箱房</w:t>
                  </w:r>
                </w:p>
              </w:tc>
              <w:tc>
                <w:tcPr>
                  <w:tcW w:w="2403" w:type="dxa"/>
                  <w:vAlign w:val="center"/>
                </w:tcPr>
                <w:p w14:paraId="7798D5E2">
                  <w:pPr>
                    <w:pStyle w:val="50"/>
                    <w:jc w:val="center"/>
                    <w:rPr>
                      <w:rFonts w:hint="eastAsia" w:cs="Times New Roman"/>
                      <w:color w:val="auto"/>
                      <w:highlight w:val="none"/>
                      <w:lang w:val="en-US" w:eastAsia="zh-CN"/>
                    </w:rPr>
                  </w:pPr>
                  <w:r>
                    <w:rPr>
                      <w:rFonts w:hint="eastAsia" w:cs="Times New Roman"/>
                      <w:color w:val="auto"/>
                      <w:highlight w:val="none"/>
                      <w:lang w:val="en-US" w:eastAsia="zh-CN"/>
                    </w:rPr>
                    <w:t>3×6</w:t>
                  </w:r>
                </w:p>
              </w:tc>
              <w:tc>
                <w:tcPr>
                  <w:tcW w:w="1776" w:type="dxa"/>
                  <w:vAlign w:val="center"/>
                </w:tcPr>
                <w:p w14:paraId="2AF8AE69">
                  <w:pPr>
                    <w:pStyle w:val="50"/>
                    <w:jc w:val="center"/>
                    <w:rPr>
                      <w:rFonts w:hint="default"/>
                      <w:color w:val="auto"/>
                      <w:lang w:val="en-US" w:eastAsia="zh-CN"/>
                    </w:rPr>
                  </w:pPr>
                  <w:r>
                    <w:rPr>
                      <w:rFonts w:hint="eastAsia"/>
                      <w:color w:val="auto"/>
                      <w:lang w:val="en-US" w:eastAsia="zh-CN"/>
                    </w:rPr>
                    <w:t>50套</w:t>
                  </w:r>
                </w:p>
              </w:tc>
              <w:tc>
                <w:tcPr>
                  <w:tcW w:w="1776" w:type="dxa"/>
                  <w:vAlign w:val="center"/>
                </w:tcPr>
                <w:p w14:paraId="492911E8">
                  <w:pPr>
                    <w:pStyle w:val="50"/>
                    <w:jc w:val="center"/>
                    <w:rPr>
                      <w:rFonts w:hint="eastAsia"/>
                      <w:color w:val="auto"/>
                      <w:lang w:val="en-US" w:eastAsia="zh-CN"/>
                    </w:rPr>
                  </w:pPr>
                  <w:r>
                    <w:rPr>
                      <w:rFonts w:hint="eastAsia"/>
                      <w:color w:val="auto"/>
                      <w:lang w:val="en-US" w:eastAsia="zh-CN"/>
                    </w:rPr>
                    <w:t>全部外售</w:t>
                  </w:r>
                </w:p>
              </w:tc>
            </w:tr>
            <w:tr w14:paraId="6D5CB3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3A5612D7">
                  <w:pPr>
                    <w:pStyle w:val="50"/>
                    <w:jc w:val="center"/>
                    <w:rPr>
                      <w:rFonts w:hint="default"/>
                      <w:color w:val="auto"/>
                      <w:lang w:val="en-US" w:eastAsia="zh-CN"/>
                    </w:rPr>
                  </w:pPr>
                  <w:r>
                    <w:rPr>
                      <w:rFonts w:hint="eastAsia"/>
                      <w:color w:val="auto"/>
                      <w:lang w:val="en-US" w:eastAsia="zh-CN"/>
                    </w:rPr>
                    <w:t>彩钢房</w:t>
                  </w:r>
                </w:p>
              </w:tc>
              <w:tc>
                <w:tcPr>
                  <w:tcW w:w="2403" w:type="dxa"/>
                  <w:vAlign w:val="center"/>
                </w:tcPr>
                <w:p w14:paraId="04E09D6C">
                  <w:pPr>
                    <w:pStyle w:val="50"/>
                    <w:jc w:val="center"/>
                    <w:rPr>
                      <w:rFonts w:hint="default" w:cs="Times New Roman"/>
                      <w:color w:val="auto"/>
                      <w:highlight w:val="none"/>
                      <w:lang w:val="en-US" w:eastAsia="zh-CN"/>
                    </w:rPr>
                  </w:pPr>
                  <w:r>
                    <w:rPr>
                      <w:rFonts w:hint="eastAsia" w:cs="Times New Roman"/>
                      <w:color w:val="auto"/>
                      <w:highlight w:val="none"/>
                      <w:lang w:val="en-US" w:eastAsia="zh-CN"/>
                    </w:rPr>
                    <w:t>3×6</w:t>
                  </w:r>
                </w:p>
              </w:tc>
              <w:tc>
                <w:tcPr>
                  <w:tcW w:w="1776" w:type="dxa"/>
                  <w:vAlign w:val="center"/>
                </w:tcPr>
                <w:p w14:paraId="72FD0A19">
                  <w:pPr>
                    <w:pStyle w:val="50"/>
                    <w:jc w:val="center"/>
                    <w:rPr>
                      <w:rFonts w:hint="default"/>
                      <w:color w:val="auto"/>
                      <w:lang w:val="en-US" w:eastAsia="zh-CN"/>
                    </w:rPr>
                  </w:pPr>
                  <w:r>
                    <w:rPr>
                      <w:rFonts w:hint="eastAsia"/>
                      <w:color w:val="auto"/>
                      <w:lang w:val="en-US" w:eastAsia="zh-CN"/>
                    </w:rPr>
                    <w:t>30套</w:t>
                  </w:r>
                </w:p>
              </w:tc>
              <w:tc>
                <w:tcPr>
                  <w:tcW w:w="1776" w:type="dxa"/>
                  <w:vAlign w:val="center"/>
                </w:tcPr>
                <w:p w14:paraId="1635C26E">
                  <w:pPr>
                    <w:pStyle w:val="50"/>
                    <w:jc w:val="center"/>
                    <w:rPr>
                      <w:rFonts w:hint="eastAsia"/>
                      <w:color w:val="auto"/>
                      <w:lang w:val="en-US" w:eastAsia="zh-CN"/>
                    </w:rPr>
                  </w:pPr>
                  <w:r>
                    <w:rPr>
                      <w:rFonts w:hint="eastAsia"/>
                      <w:color w:val="auto"/>
                      <w:lang w:val="en-US" w:eastAsia="zh-CN"/>
                    </w:rPr>
                    <w:t>全部外售</w:t>
                  </w:r>
                </w:p>
              </w:tc>
            </w:tr>
          </w:tbl>
          <w:p w14:paraId="48A80D93">
            <w:pPr>
              <w:ind w:left="0" w:leftChars="0" w:firstLine="0" w:firstLineChars="0"/>
              <w:rPr>
                <w:rFonts w:cs="Times New Roman"/>
                <w:b/>
                <w:bCs/>
                <w:color w:val="auto"/>
              </w:rPr>
            </w:pPr>
            <w:r>
              <w:rPr>
                <w:rFonts w:cs="Times New Roman"/>
                <w:b/>
                <w:bCs/>
                <w:color w:val="auto"/>
              </w:rPr>
              <w:t>1.3项目建设内容</w:t>
            </w:r>
          </w:p>
          <w:p w14:paraId="22805100">
            <w:pPr>
              <w:ind w:firstLine="480"/>
              <w:rPr>
                <w:rFonts w:cs="Times New Roman"/>
                <w:color w:val="auto"/>
              </w:rPr>
            </w:pPr>
            <w:r>
              <w:rPr>
                <w:rFonts w:cs="Times New Roman"/>
                <w:color w:val="auto"/>
              </w:rPr>
              <w:t>本项目占地面积约</w:t>
            </w:r>
            <w:r>
              <w:rPr>
                <w:rFonts w:hint="eastAsia" w:cs="Times New Roman"/>
                <w:color w:val="auto"/>
                <w:lang w:val="en-US" w:eastAsia="zh-CN"/>
              </w:rPr>
              <w:t>36701.27</w:t>
            </w:r>
            <w:r>
              <w:rPr>
                <w:rFonts w:cs="Times New Roman"/>
                <w:color w:val="auto"/>
              </w:rPr>
              <w:t>m</w:t>
            </w:r>
            <w:r>
              <w:rPr>
                <w:rFonts w:cs="Times New Roman"/>
                <w:color w:val="auto"/>
                <w:vertAlign w:val="superscript"/>
              </w:rPr>
              <w:t>2</w:t>
            </w:r>
            <w:r>
              <w:rPr>
                <w:rFonts w:cs="Times New Roman"/>
                <w:color w:val="auto"/>
              </w:rPr>
              <w:t>，</w:t>
            </w:r>
            <w:r>
              <w:rPr>
                <w:rFonts w:hint="eastAsia" w:cs="Times New Roman"/>
                <w:color w:val="auto"/>
              </w:rPr>
              <w:t>生产区域面积30000</w:t>
            </w:r>
            <w:r>
              <w:rPr>
                <w:rFonts w:cs="Times New Roman"/>
                <w:color w:val="auto"/>
              </w:rPr>
              <w:t>m</w:t>
            </w:r>
            <w:r>
              <w:rPr>
                <w:rFonts w:cs="Times New Roman"/>
                <w:color w:val="auto"/>
                <w:vertAlign w:val="superscript"/>
              </w:rPr>
              <w:t>2</w:t>
            </w:r>
            <w:r>
              <w:rPr>
                <w:rFonts w:hint="eastAsia" w:cs="Times New Roman"/>
                <w:color w:val="auto"/>
              </w:rPr>
              <w:t>，办公楼500</w:t>
            </w:r>
            <w:r>
              <w:rPr>
                <w:rFonts w:cs="Times New Roman"/>
                <w:color w:val="auto"/>
              </w:rPr>
              <w:t>m</w:t>
            </w:r>
            <w:r>
              <w:rPr>
                <w:rFonts w:cs="Times New Roman"/>
                <w:color w:val="auto"/>
                <w:vertAlign w:val="superscript"/>
              </w:rPr>
              <w:t>2</w:t>
            </w:r>
            <w:r>
              <w:rPr>
                <w:rFonts w:hint="eastAsia" w:cs="Times New Roman"/>
                <w:color w:val="auto"/>
              </w:rPr>
              <w:t>，产品堆场5000</w:t>
            </w:r>
            <w:r>
              <w:rPr>
                <w:rFonts w:cs="Times New Roman"/>
                <w:color w:val="auto"/>
              </w:rPr>
              <w:t>m</w:t>
            </w:r>
            <w:r>
              <w:rPr>
                <w:rFonts w:cs="Times New Roman"/>
                <w:color w:val="auto"/>
                <w:vertAlign w:val="superscript"/>
              </w:rPr>
              <w:t>2</w:t>
            </w:r>
            <w:r>
              <w:rPr>
                <w:rFonts w:cs="Times New Roman"/>
                <w:color w:val="auto"/>
              </w:rPr>
              <w:t>，厂区内主要建筑物包括主生产车间、</w:t>
            </w:r>
            <w:r>
              <w:rPr>
                <w:rFonts w:hint="eastAsia" w:cs="Times New Roman"/>
                <w:color w:val="auto"/>
              </w:rPr>
              <w:t>原料库、沙</w:t>
            </w:r>
            <w:r>
              <w:rPr>
                <w:rFonts w:cs="Times New Roman"/>
                <w:color w:val="auto"/>
              </w:rPr>
              <w:t>石料堆场。项目建设</w:t>
            </w:r>
            <w:r>
              <w:rPr>
                <w:rFonts w:hint="eastAsia" w:cs="Times New Roman"/>
                <w:color w:val="auto"/>
                <w:lang w:val="en-US" w:eastAsia="zh-CN"/>
              </w:rPr>
              <w:t>1</w:t>
            </w:r>
            <w:r>
              <w:rPr>
                <w:rFonts w:cs="Times New Roman"/>
                <w:color w:val="auto"/>
              </w:rPr>
              <w:t>条</w:t>
            </w:r>
            <w:r>
              <w:rPr>
                <w:rFonts w:hint="eastAsia" w:cs="Times New Roman"/>
                <w:color w:val="auto"/>
                <w:lang w:val="en-US" w:eastAsia="zh-CN"/>
              </w:rPr>
              <w:t>预制混凝土构件</w:t>
            </w:r>
            <w:r>
              <w:rPr>
                <w:rFonts w:cs="Times New Roman"/>
                <w:color w:val="auto"/>
              </w:rPr>
              <w:t>生产线</w:t>
            </w:r>
            <w:r>
              <w:rPr>
                <w:rFonts w:hint="eastAsia" w:cs="Times New Roman"/>
                <w:color w:val="auto"/>
                <w:lang w:eastAsia="zh-CN"/>
              </w:rPr>
              <w:t>、</w:t>
            </w:r>
            <w:r>
              <w:rPr>
                <w:rFonts w:hint="eastAsia" w:cs="Times New Roman"/>
                <w:color w:val="auto"/>
                <w:lang w:val="en-US" w:eastAsia="zh-CN"/>
              </w:rPr>
              <w:t>混凝土搅拌站及</w:t>
            </w:r>
            <w:r>
              <w:rPr>
                <w:rFonts w:hint="eastAsia" w:cs="Times New Roman"/>
                <w:color w:val="auto"/>
              </w:rPr>
              <w:t>其附属设施</w:t>
            </w:r>
            <w:r>
              <w:rPr>
                <w:rFonts w:cs="Times New Roman"/>
                <w:color w:val="auto"/>
              </w:rPr>
              <w:t>，建成后</w:t>
            </w:r>
            <w:r>
              <w:rPr>
                <w:rFonts w:hint="eastAsia" w:cs="Times New Roman"/>
                <w:color w:val="auto"/>
                <w:highlight w:val="none"/>
              </w:rPr>
              <w:t>年产能1.2万</w:t>
            </w:r>
            <w:r>
              <w:rPr>
                <w:rFonts w:hint="eastAsia" w:cs="Times New Roman"/>
                <w:color w:val="auto"/>
                <w:highlight w:val="none"/>
                <w:lang w:eastAsia="zh-CN"/>
              </w:rPr>
              <w:t>平方米</w:t>
            </w:r>
            <w:r>
              <w:rPr>
                <w:rFonts w:hint="eastAsia" w:cs="Times New Roman"/>
                <w:color w:val="auto"/>
                <w:highlight w:val="none"/>
              </w:rPr>
              <w:t>各类水泥房等建筑</w:t>
            </w:r>
            <w:r>
              <w:rPr>
                <w:rFonts w:cs="Times New Roman"/>
                <w:color w:val="auto"/>
              </w:rPr>
              <w:t>。</w:t>
            </w:r>
          </w:p>
          <w:p w14:paraId="19477F06">
            <w:pPr>
              <w:ind w:firstLine="480"/>
              <w:rPr>
                <w:rFonts w:cs="Times New Roman"/>
                <w:color w:val="auto"/>
              </w:rPr>
            </w:pPr>
            <w:r>
              <w:rPr>
                <w:rFonts w:cs="Times New Roman"/>
                <w:color w:val="auto"/>
              </w:rPr>
              <w:t>项目组成见下表2-3。</w:t>
            </w:r>
          </w:p>
          <w:p w14:paraId="2E4C8AD7">
            <w:pPr>
              <w:pStyle w:val="36"/>
              <w:rPr>
                <w:rFonts w:cs="Times New Roman"/>
                <w:color w:val="auto"/>
              </w:rPr>
            </w:pPr>
            <w:r>
              <w:rPr>
                <w:rFonts w:cs="Times New Roman"/>
                <w:color w:val="auto"/>
              </w:rPr>
              <w:t>表2-3  项目组成一览表</w:t>
            </w:r>
          </w:p>
          <w:tbl>
            <w:tblPr>
              <w:tblStyle w:val="27"/>
              <w:tblW w:w="497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19"/>
              <w:gridCol w:w="817"/>
              <w:gridCol w:w="4559"/>
              <w:gridCol w:w="692"/>
            </w:tblGrid>
            <w:tr w14:paraId="057B1C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438" w:type="pct"/>
                  <w:vAlign w:val="center"/>
                </w:tcPr>
                <w:p w14:paraId="5F9A3E08">
                  <w:pPr>
                    <w:pStyle w:val="50"/>
                    <w:jc w:val="center"/>
                    <w:rPr>
                      <w:b/>
                      <w:bCs/>
                      <w:color w:val="auto"/>
                    </w:rPr>
                  </w:pPr>
                  <w:bookmarkStart w:id="2" w:name="_Hlk161504630"/>
                  <w:r>
                    <w:rPr>
                      <w:b/>
                      <w:bCs/>
                      <w:color w:val="auto"/>
                    </w:rPr>
                    <w:t>工程</w:t>
                  </w:r>
                </w:p>
                <w:p w14:paraId="151125F7">
                  <w:pPr>
                    <w:pStyle w:val="50"/>
                    <w:jc w:val="center"/>
                    <w:rPr>
                      <w:b/>
                      <w:bCs/>
                      <w:color w:val="auto"/>
                    </w:rPr>
                  </w:pPr>
                  <w:r>
                    <w:rPr>
                      <w:b/>
                      <w:bCs/>
                      <w:color w:val="auto"/>
                    </w:rPr>
                    <w:t>名称</w:t>
                  </w:r>
                </w:p>
              </w:tc>
              <w:tc>
                <w:tcPr>
                  <w:tcW w:w="1032" w:type="pct"/>
                  <w:gridSpan w:val="2"/>
                  <w:vAlign w:val="center"/>
                </w:tcPr>
                <w:p w14:paraId="694359A9">
                  <w:pPr>
                    <w:pStyle w:val="50"/>
                    <w:jc w:val="center"/>
                    <w:rPr>
                      <w:b/>
                      <w:bCs/>
                      <w:color w:val="auto"/>
                    </w:rPr>
                  </w:pPr>
                  <w:r>
                    <w:rPr>
                      <w:b/>
                      <w:bCs/>
                      <w:color w:val="auto"/>
                    </w:rPr>
                    <w:t>项目组</w:t>
                  </w:r>
                </w:p>
              </w:tc>
              <w:tc>
                <w:tcPr>
                  <w:tcW w:w="3063" w:type="pct"/>
                  <w:vAlign w:val="center"/>
                </w:tcPr>
                <w:p w14:paraId="2660FB01">
                  <w:pPr>
                    <w:pStyle w:val="50"/>
                    <w:jc w:val="center"/>
                    <w:rPr>
                      <w:b/>
                      <w:bCs/>
                      <w:color w:val="auto"/>
                    </w:rPr>
                  </w:pPr>
                  <w:r>
                    <w:rPr>
                      <w:b/>
                      <w:bCs/>
                      <w:color w:val="auto"/>
                    </w:rPr>
                    <w:t>建设内容</w:t>
                  </w:r>
                </w:p>
              </w:tc>
              <w:tc>
                <w:tcPr>
                  <w:tcW w:w="465" w:type="pct"/>
                  <w:vAlign w:val="center"/>
                </w:tcPr>
                <w:p w14:paraId="5D4DAFB5">
                  <w:pPr>
                    <w:pStyle w:val="50"/>
                    <w:jc w:val="center"/>
                    <w:rPr>
                      <w:b/>
                      <w:bCs/>
                      <w:color w:val="auto"/>
                    </w:rPr>
                  </w:pPr>
                  <w:r>
                    <w:rPr>
                      <w:b/>
                      <w:bCs/>
                      <w:color w:val="auto"/>
                    </w:rPr>
                    <w:t>备注</w:t>
                  </w:r>
                </w:p>
              </w:tc>
            </w:tr>
            <w:tr w14:paraId="6BABFE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38" w:type="pct"/>
                  <w:vAlign w:val="center"/>
                </w:tcPr>
                <w:p w14:paraId="3C51F187">
                  <w:pPr>
                    <w:pStyle w:val="50"/>
                    <w:jc w:val="center"/>
                    <w:rPr>
                      <w:color w:val="auto"/>
                    </w:rPr>
                  </w:pPr>
                  <w:r>
                    <w:rPr>
                      <w:color w:val="auto"/>
                    </w:rPr>
                    <w:t>主体</w:t>
                  </w:r>
                </w:p>
                <w:p w14:paraId="61048DD4">
                  <w:pPr>
                    <w:pStyle w:val="50"/>
                    <w:jc w:val="center"/>
                    <w:rPr>
                      <w:color w:val="auto"/>
                    </w:rPr>
                  </w:pPr>
                  <w:r>
                    <w:rPr>
                      <w:color w:val="auto"/>
                    </w:rPr>
                    <w:t>工程</w:t>
                  </w:r>
                </w:p>
              </w:tc>
              <w:tc>
                <w:tcPr>
                  <w:tcW w:w="1032" w:type="pct"/>
                  <w:gridSpan w:val="2"/>
                  <w:vAlign w:val="center"/>
                </w:tcPr>
                <w:p w14:paraId="79443EAE">
                  <w:pPr>
                    <w:pStyle w:val="50"/>
                    <w:jc w:val="center"/>
                    <w:rPr>
                      <w:rFonts w:hint="eastAsia" w:eastAsia="宋体"/>
                      <w:color w:val="auto"/>
                      <w:lang w:eastAsia="zh-CN"/>
                    </w:rPr>
                  </w:pPr>
                  <w:r>
                    <w:rPr>
                      <w:color w:val="auto"/>
                    </w:rPr>
                    <w:t>生产</w:t>
                  </w:r>
                  <w:r>
                    <w:rPr>
                      <w:rFonts w:hint="eastAsia"/>
                      <w:color w:val="auto"/>
                      <w:lang w:val="en-US" w:eastAsia="zh-CN"/>
                    </w:rPr>
                    <w:t>区域</w:t>
                  </w:r>
                </w:p>
              </w:tc>
              <w:tc>
                <w:tcPr>
                  <w:tcW w:w="3063" w:type="pct"/>
                  <w:vAlign w:val="center"/>
                </w:tcPr>
                <w:p w14:paraId="0F71CCEB">
                  <w:pPr>
                    <w:pStyle w:val="50"/>
                    <w:jc w:val="center"/>
                    <w:rPr>
                      <w:color w:val="auto"/>
                    </w:rPr>
                  </w:pPr>
                  <w:r>
                    <w:rPr>
                      <w:rFonts w:hint="eastAsia"/>
                      <w:color w:val="auto"/>
                      <w:lang w:val="en-US" w:eastAsia="zh-CN"/>
                    </w:rPr>
                    <w:t>露天混凝土搅拌站、预制混凝土构件生产线</w:t>
                  </w:r>
                  <w:r>
                    <w:rPr>
                      <w:color w:val="auto"/>
                    </w:rPr>
                    <w:t>，</w:t>
                  </w:r>
                  <w:r>
                    <w:rPr>
                      <w:rFonts w:hint="eastAsia"/>
                      <w:color w:val="auto"/>
                      <w:lang w:val="en-US" w:eastAsia="zh-CN"/>
                    </w:rPr>
                    <w:t>生产区域占地</w:t>
                  </w:r>
                  <w:r>
                    <w:rPr>
                      <w:color w:val="auto"/>
                    </w:rPr>
                    <w:t>面积</w:t>
                  </w:r>
                  <w:r>
                    <w:rPr>
                      <w:rFonts w:hint="eastAsia"/>
                      <w:color w:val="auto"/>
                      <w:lang w:val="en-US" w:eastAsia="zh-CN"/>
                    </w:rPr>
                    <w:t>30000</w:t>
                  </w:r>
                  <w:r>
                    <w:rPr>
                      <w:rFonts w:hint="eastAsia"/>
                      <w:color w:val="auto"/>
                    </w:rPr>
                    <w:t>m</w:t>
                  </w:r>
                  <w:r>
                    <w:rPr>
                      <w:rFonts w:hint="eastAsia"/>
                      <w:color w:val="auto"/>
                      <w:vertAlign w:val="superscript"/>
                    </w:rPr>
                    <w:t>2</w:t>
                  </w:r>
                  <w:r>
                    <w:rPr>
                      <w:color w:val="auto"/>
                    </w:rPr>
                    <w:t>，地面采用混凝土硬化，设计年</w:t>
                  </w:r>
                  <w:r>
                    <w:rPr>
                      <w:rFonts w:hint="eastAsia" w:cs="Times New Roman"/>
                      <w:color w:val="auto"/>
                      <w:highlight w:val="none"/>
                    </w:rPr>
                    <w:t>产能1.2万</w:t>
                  </w:r>
                  <w:r>
                    <w:rPr>
                      <w:rFonts w:hint="eastAsia" w:cs="Times New Roman"/>
                      <w:color w:val="auto"/>
                      <w:highlight w:val="none"/>
                      <w:lang w:eastAsia="zh-CN"/>
                    </w:rPr>
                    <w:t>平方米</w:t>
                  </w:r>
                  <w:r>
                    <w:rPr>
                      <w:rFonts w:hint="eastAsia" w:cs="Times New Roman"/>
                      <w:color w:val="auto"/>
                      <w:highlight w:val="none"/>
                    </w:rPr>
                    <w:t>各类水泥房等建筑</w:t>
                  </w:r>
                  <w:r>
                    <w:rPr>
                      <w:color w:val="auto"/>
                    </w:rPr>
                    <w:t>。</w:t>
                  </w:r>
                </w:p>
              </w:tc>
              <w:tc>
                <w:tcPr>
                  <w:tcW w:w="465" w:type="pct"/>
                  <w:vAlign w:val="center"/>
                </w:tcPr>
                <w:p w14:paraId="311B42AA">
                  <w:pPr>
                    <w:pStyle w:val="50"/>
                    <w:jc w:val="center"/>
                    <w:rPr>
                      <w:rFonts w:hint="default" w:eastAsia="宋体"/>
                      <w:color w:val="auto"/>
                      <w:lang w:val="en-US" w:eastAsia="zh-CN"/>
                    </w:rPr>
                  </w:pPr>
                  <w:r>
                    <w:rPr>
                      <w:rFonts w:hint="eastAsia"/>
                      <w:color w:val="auto"/>
                      <w:lang w:val="en-US" w:eastAsia="zh-CN"/>
                    </w:rPr>
                    <w:t>已建成</w:t>
                  </w:r>
                </w:p>
              </w:tc>
            </w:tr>
            <w:tr w14:paraId="0B1D78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38" w:type="pct"/>
                  <w:vMerge w:val="restart"/>
                  <w:vAlign w:val="center"/>
                </w:tcPr>
                <w:p w14:paraId="4013B254">
                  <w:pPr>
                    <w:pStyle w:val="50"/>
                    <w:jc w:val="center"/>
                    <w:rPr>
                      <w:color w:val="auto"/>
                    </w:rPr>
                  </w:pPr>
                  <w:r>
                    <w:rPr>
                      <w:color w:val="auto"/>
                    </w:rPr>
                    <w:t>储运工程</w:t>
                  </w:r>
                </w:p>
              </w:tc>
              <w:tc>
                <w:tcPr>
                  <w:tcW w:w="1032" w:type="pct"/>
                  <w:gridSpan w:val="2"/>
                  <w:vAlign w:val="center"/>
                </w:tcPr>
                <w:p w14:paraId="592AB0D3">
                  <w:pPr>
                    <w:pStyle w:val="50"/>
                    <w:jc w:val="center"/>
                    <w:rPr>
                      <w:color w:val="auto"/>
                    </w:rPr>
                  </w:pPr>
                  <w:r>
                    <w:rPr>
                      <w:color w:val="auto"/>
                    </w:rPr>
                    <w:t>原材料堆放场地</w:t>
                  </w:r>
                </w:p>
              </w:tc>
              <w:tc>
                <w:tcPr>
                  <w:tcW w:w="3063" w:type="pct"/>
                  <w:vAlign w:val="center"/>
                </w:tcPr>
                <w:p w14:paraId="7BCF153C">
                  <w:pPr>
                    <w:pStyle w:val="50"/>
                    <w:jc w:val="center"/>
                    <w:rPr>
                      <w:color w:val="auto"/>
                    </w:rPr>
                  </w:pPr>
                  <w:r>
                    <w:rPr>
                      <w:color w:val="auto"/>
                    </w:rPr>
                    <w:t>新建</w:t>
                  </w:r>
                  <w:r>
                    <w:rPr>
                      <w:rFonts w:hint="eastAsia"/>
                      <w:color w:val="auto"/>
                      <w:lang w:val="en-US" w:eastAsia="zh-CN"/>
                    </w:rPr>
                    <w:t>全</w:t>
                  </w:r>
                  <w:r>
                    <w:rPr>
                      <w:color w:val="auto"/>
                    </w:rPr>
                    <w:t>封闭</w:t>
                  </w:r>
                  <w:r>
                    <w:rPr>
                      <w:rFonts w:hint="eastAsia"/>
                      <w:color w:val="auto"/>
                    </w:rPr>
                    <w:t>钢结构</w:t>
                  </w:r>
                  <w:r>
                    <w:rPr>
                      <w:rFonts w:hint="eastAsia"/>
                      <w:color w:val="auto"/>
                      <w:lang w:val="en-US" w:eastAsia="zh-CN"/>
                    </w:rPr>
                    <w:t>库房</w:t>
                  </w:r>
                  <w:r>
                    <w:rPr>
                      <w:color w:val="auto"/>
                    </w:rPr>
                    <w:t>，位于生产</w:t>
                  </w:r>
                  <w:r>
                    <w:rPr>
                      <w:rFonts w:hint="eastAsia"/>
                      <w:color w:val="auto"/>
                      <w:lang w:val="en-US" w:eastAsia="zh-CN"/>
                    </w:rPr>
                    <w:t>区域西北侧</w:t>
                  </w:r>
                  <w:r>
                    <w:rPr>
                      <w:color w:val="auto"/>
                    </w:rPr>
                    <w:t>，占地面积730m</w:t>
                  </w:r>
                  <w:r>
                    <w:rPr>
                      <w:color w:val="auto"/>
                      <w:vertAlign w:val="superscript"/>
                    </w:rPr>
                    <w:t>2</w:t>
                  </w:r>
                  <w:r>
                    <w:rPr>
                      <w:color w:val="auto"/>
                    </w:rPr>
                    <w:t>，其中碎石堆场42</w:t>
                  </w:r>
                  <w:r>
                    <w:rPr>
                      <w:rFonts w:hint="eastAsia"/>
                      <w:color w:val="auto"/>
                      <w:lang w:val="en-US" w:eastAsia="zh-CN"/>
                    </w:rPr>
                    <w:t>0</w:t>
                  </w:r>
                  <w:r>
                    <w:rPr>
                      <w:color w:val="auto"/>
                    </w:rPr>
                    <w:t>m</w:t>
                  </w:r>
                  <w:r>
                    <w:rPr>
                      <w:color w:val="auto"/>
                      <w:vertAlign w:val="superscript"/>
                    </w:rPr>
                    <w:t>2</w:t>
                  </w:r>
                  <w:r>
                    <w:rPr>
                      <w:color w:val="auto"/>
                    </w:rPr>
                    <w:t>，中砂堆场3</w:t>
                  </w:r>
                  <w:r>
                    <w:rPr>
                      <w:rFonts w:hint="eastAsia"/>
                      <w:color w:val="auto"/>
                      <w:lang w:val="en-US" w:eastAsia="zh-CN"/>
                    </w:rPr>
                    <w:t>10</w:t>
                  </w:r>
                  <w:r>
                    <w:rPr>
                      <w:color w:val="auto"/>
                    </w:rPr>
                    <w:t>m</w:t>
                  </w:r>
                  <w:r>
                    <w:rPr>
                      <w:color w:val="auto"/>
                      <w:vertAlign w:val="superscript"/>
                    </w:rPr>
                    <w:t>2</w:t>
                  </w:r>
                  <w:r>
                    <w:rPr>
                      <w:color w:val="auto"/>
                    </w:rPr>
                    <w:t>，堆场入口位于东</w:t>
                  </w:r>
                  <w:r>
                    <w:rPr>
                      <w:rFonts w:hint="eastAsia"/>
                      <w:color w:val="auto"/>
                      <w:lang w:val="en-US" w:eastAsia="zh-CN"/>
                    </w:rPr>
                    <w:t>南侧</w:t>
                  </w:r>
                  <w:r>
                    <w:rPr>
                      <w:color w:val="auto"/>
                    </w:rPr>
                    <w:t>，地面采用混凝土硬化。</w:t>
                  </w:r>
                </w:p>
              </w:tc>
              <w:tc>
                <w:tcPr>
                  <w:tcW w:w="465" w:type="pct"/>
                  <w:vAlign w:val="center"/>
                </w:tcPr>
                <w:p w14:paraId="68F604BC">
                  <w:pPr>
                    <w:pStyle w:val="50"/>
                    <w:jc w:val="center"/>
                    <w:rPr>
                      <w:color w:val="auto"/>
                    </w:rPr>
                  </w:pPr>
                  <w:r>
                    <w:rPr>
                      <w:color w:val="auto"/>
                    </w:rPr>
                    <w:t>新建</w:t>
                  </w:r>
                </w:p>
              </w:tc>
            </w:tr>
            <w:tr w14:paraId="6E594A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38" w:type="pct"/>
                  <w:vMerge w:val="continue"/>
                  <w:vAlign w:val="center"/>
                </w:tcPr>
                <w:p w14:paraId="0CC88055">
                  <w:pPr>
                    <w:pStyle w:val="50"/>
                    <w:jc w:val="center"/>
                    <w:rPr>
                      <w:color w:val="auto"/>
                    </w:rPr>
                  </w:pPr>
                </w:p>
              </w:tc>
              <w:tc>
                <w:tcPr>
                  <w:tcW w:w="1032" w:type="pct"/>
                  <w:gridSpan w:val="2"/>
                  <w:vAlign w:val="center"/>
                </w:tcPr>
                <w:p w14:paraId="6081251A">
                  <w:pPr>
                    <w:pStyle w:val="50"/>
                    <w:jc w:val="center"/>
                    <w:rPr>
                      <w:color w:val="auto"/>
                    </w:rPr>
                  </w:pPr>
                  <w:r>
                    <w:rPr>
                      <w:color w:val="auto"/>
                    </w:rPr>
                    <w:t>成品</w:t>
                  </w:r>
                  <w:r>
                    <w:rPr>
                      <w:rFonts w:hint="eastAsia"/>
                      <w:color w:val="auto"/>
                    </w:rPr>
                    <w:t>平台</w:t>
                  </w:r>
                </w:p>
              </w:tc>
              <w:tc>
                <w:tcPr>
                  <w:tcW w:w="3063" w:type="pct"/>
                  <w:vAlign w:val="center"/>
                </w:tcPr>
                <w:p w14:paraId="3252D179">
                  <w:pPr>
                    <w:pStyle w:val="50"/>
                    <w:jc w:val="center"/>
                    <w:rPr>
                      <w:color w:val="auto"/>
                    </w:rPr>
                  </w:pPr>
                  <w:r>
                    <w:rPr>
                      <w:color w:val="auto"/>
                    </w:rPr>
                    <w:t>成品</w:t>
                  </w:r>
                  <w:r>
                    <w:rPr>
                      <w:rFonts w:hint="eastAsia"/>
                      <w:color w:val="auto"/>
                      <w:lang w:val="en-US" w:eastAsia="zh-CN"/>
                    </w:rPr>
                    <w:t>平台两</w:t>
                  </w:r>
                  <w:r>
                    <w:rPr>
                      <w:color w:val="auto"/>
                    </w:rPr>
                    <w:t>处，</w:t>
                  </w:r>
                  <w:r>
                    <w:rPr>
                      <w:rFonts w:hint="eastAsia"/>
                      <w:color w:val="auto"/>
                      <w:lang w:val="en-US" w:eastAsia="zh-CN"/>
                    </w:rPr>
                    <w:t>位于生产区域东北侧与西南侧</w:t>
                  </w:r>
                  <w:r>
                    <w:rPr>
                      <w:color w:val="auto"/>
                    </w:rPr>
                    <w:t>，占地面积</w:t>
                  </w:r>
                  <w:r>
                    <w:rPr>
                      <w:rFonts w:hint="eastAsia"/>
                      <w:color w:val="auto"/>
                      <w:lang w:val="en-US" w:eastAsia="zh-CN"/>
                    </w:rPr>
                    <w:t>5000</w:t>
                  </w:r>
                  <w:r>
                    <w:rPr>
                      <w:color w:val="auto"/>
                    </w:rPr>
                    <w:t>m</w:t>
                  </w:r>
                  <w:r>
                    <w:rPr>
                      <w:color w:val="auto"/>
                      <w:vertAlign w:val="superscript"/>
                    </w:rPr>
                    <w:t>2</w:t>
                  </w:r>
                  <w:r>
                    <w:rPr>
                      <w:color w:val="auto"/>
                    </w:rPr>
                    <w:t>，地面采用混凝土硬化，用于堆放成品。</w:t>
                  </w:r>
                </w:p>
              </w:tc>
              <w:tc>
                <w:tcPr>
                  <w:tcW w:w="465" w:type="pct"/>
                  <w:vAlign w:val="center"/>
                </w:tcPr>
                <w:p w14:paraId="0C1CBB52">
                  <w:pPr>
                    <w:pStyle w:val="50"/>
                    <w:jc w:val="center"/>
                    <w:rPr>
                      <w:rFonts w:hint="eastAsia" w:eastAsia="宋体"/>
                      <w:color w:val="auto"/>
                      <w:lang w:eastAsia="zh-CN"/>
                    </w:rPr>
                  </w:pPr>
                  <w:r>
                    <w:rPr>
                      <w:rFonts w:hint="eastAsia"/>
                      <w:color w:val="auto"/>
                      <w:lang w:val="en-US" w:eastAsia="zh-CN"/>
                    </w:rPr>
                    <w:t>已建成</w:t>
                  </w:r>
                </w:p>
              </w:tc>
            </w:tr>
            <w:tr w14:paraId="6DDC90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38" w:type="pct"/>
                  <w:vMerge w:val="continue"/>
                  <w:vAlign w:val="center"/>
                </w:tcPr>
                <w:p w14:paraId="568D6151">
                  <w:pPr>
                    <w:pStyle w:val="50"/>
                    <w:jc w:val="center"/>
                    <w:rPr>
                      <w:color w:val="auto"/>
                    </w:rPr>
                  </w:pPr>
                </w:p>
              </w:tc>
              <w:tc>
                <w:tcPr>
                  <w:tcW w:w="1032" w:type="pct"/>
                  <w:gridSpan w:val="2"/>
                  <w:vAlign w:val="center"/>
                </w:tcPr>
                <w:p w14:paraId="6A2D1104">
                  <w:pPr>
                    <w:pStyle w:val="50"/>
                    <w:jc w:val="center"/>
                    <w:rPr>
                      <w:rFonts w:hint="default" w:eastAsia="宋体"/>
                      <w:color w:val="auto"/>
                      <w:lang w:val="en-US" w:eastAsia="zh-CN"/>
                    </w:rPr>
                  </w:pPr>
                  <w:r>
                    <w:rPr>
                      <w:rFonts w:hint="eastAsia"/>
                      <w:color w:val="auto"/>
                      <w:lang w:val="en-US" w:eastAsia="zh-CN"/>
                    </w:rPr>
                    <w:t>粉料仓</w:t>
                  </w:r>
                </w:p>
              </w:tc>
              <w:tc>
                <w:tcPr>
                  <w:tcW w:w="3063" w:type="pct"/>
                  <w:vAlign w:val="center"/>
                </w:tcPr>
                <w:p w14:paraId="3DFF84AF">
                  <w:pPr>
                    <w:pStyle w:val="50"/>
                    <w:jc w:val="center"/>
                    <w:rPr>
                      <w:color w:val="auto"/>
                    </w:rPr>
                  </w:pPr>
                  <w:r>
                    <w:rPr>
                      <w:color w:val="auto"/>
                    </w:rPr>
                    <w:t>搅拌站水泥粉料仓1个，</w:t>
                  </w:r>
                  <w:r>
                    <w:rPr>
                      <w:rFonts w:hint="eastAsia"/>
                      <w:color w:val="auto"/>
                      <w:lang w:val="en-US" w:eastAsia="zh-CN"/>
                    </w:rPr>
                    <w:t>粉煤灰粉料仓1个，</w:t>
                  </w:r>
                  <w:r>
                    <w:rPr>
                      <w:color w:val="auto"/>
                    </w:rPr>
                    <w:t>高22m</w:t>
                  </w:r>
                  <w:r>
                    <w:rPr>
                      <w:rFonts w:hint="eastAsia"/>
                      <w:color w:val="auto"/>
                    </w:rPr>
                    <w:t>，</w:t>
                  </w:r>
                  <w:r>
                    <w:rPr>
                      <w:color w:val="auto"/>
                    </w:rPr>
                    <w:t>最大储存量为200t。粉料仓为钢结构，进料口及出料口均位于底部，顶部配套有高压脉冲袋式除尘器。</w:t>
                  </w:r>
                </w:p>
              </w:tc>
              <w:tc>
                <w:tcPr>
                  <w:tcW w:w="465" w:type="pct"/>
                  <w:vAlign w:val="center"/>
                </w:tcPr>
                <w:p w14:paraId="080F093F">
                  <w:pPr>
                    <w:pStyle w:val="50"/>
                    <w:jc w:val="center"/>
                    <w:rPr>
                      <w:rFonts w:hint="eastAsia" w:eastAsia="宋体"/>
                      <w:color w:val="auto"/>
                      <w:lang w:eastAsia="zh-CN"/>
                    </w:rPr>
                  </w:pPr>
                  <w:r>
                    <w:rPr>
                      <w:rFonts w:hint="eastAsia"/>
                      <w:color w:val="auto"/>
                      <w:lang w:val="en-US" w:eastAsia="zh-CN"/>
                    </w:rPr>
                    <w:t>已建成</w:t>
                  </w:r>
                </w:p>
              </w:tc>
            </w:tr>
            <w:tr w14:paraId="6B46AF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restart"/>
                  <w:vAlign w:val="center"/>
                </w:tcPr>
                <w:p w14:paraId="7BAF4584">
                  <w:pPr>
                    <w:pStyle w:val="50"/>
                    <w:jc w:val="center"/>
                    <w:rPr>
                      <w:color w:val="auto"/>
                    </w:rPr>
                  </w:pPr>
                  <w:r>
                    <w:rPr>
                      <w:color w:val="auto"/>
                    </w:rPr>
                    <w:t>辅助</w:t>
                  </w:r>
                </w:p>
                <w:p w14:paraId="10D169CE">
                  <w:pPr>
                    <w:pStyle w:val="50"/>
                    <w:jc w:val="center"/>
                    <w:rPr>
                      <w:color w:val="auto"/>
                    </w:rPr>
                  </w:pPr>
                  <w:r>
                    <w:rPr>
                      <w:color w:val="auto"/>
                    </w:rPr>
                    <w:t>工程</w:t>
                  </w:r>
                </w:p>
              </w:tc>
              <w:tc>
                <w:tcPr>
                  <w:tcW w:w="1032" w:type="pct"/>
                  <w:gridSpan w:val="2"/>
                  <w:shd w:val="clear" w:color="auto" w:fill="auto"/>
                  <w:vAlign w:val="center"/>
                </w:tcPr>
                <w:p w14:paraId="099E7FD0">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color w:val="auto"/>
                    </w:rPr>
                    <w:t>办公</w:t>
                  </w:r>
                  <w:r>
                    <w:rPr>
                      <w:rFonts w:hint="eastAsia"/>
                      <w:color w:val="auto"/>
                      <w:lang w:val="en-US" w:eastAsia="zh-CN"/>
                    </w:rPr>
                    <w:t>及生活用房</w:t>
                  </w:r>
                </w:p>
              </w:tc>
              <w:tc>
                <w:tcPr>
                  <w:tcW w:w="3063" w:type="pct"/>
                  <w:shd w:val="clear" w:color="auto" w:fill="auto"/>
                  <w:vAlign w:val="center"/>
                </w:tcPr>
                <w:p w14:paraId="27D156EF">
                  <w:pPr>
                    <w:pStyle w:val="50"/>
                    <w:ind w:firstLine="0" w:firstLineChars="0"/>
                    <w:jc w:val="center"/>
                    <w:rPr>
                      <w:rFonts w:ascii="Times New Roman" w:hAnsi="Times New Roman" w:eastAsia="宋体" w:cs="Times New Roman"/>
                      <w:color w:val="auto"/>
                      <w:kern w:val="2"/>
                      <w:sz w:val="21"/>
                      <w:szCs w:val="24"/>
                      <w:lang w:val="en-US" w:eastAsia="zh-CN" w:bidi="ar-SA"/>
                    </w:rPr>
                  </w:pPr>
                  <w:r>
                    <w:rPr>
                      <w:color w:val="auto"/>
                    </w:rPr>
                    <w:t>位于厂区东部，占地面积</w:t>
                  </w:r>
                  <w:r>
                    <w:rPr>
                      <w:rFonts w:hint="eastAsia"/>
                      <w:color w:val="auto"/>
                      <w:lang w:val="en-US" w:eastAsia="zh-CN"/>
                    </w:rPr>
                    <w:t>500</w:t>
                  </w:r>
                  <w:r>
                    <w:rPr>
                      <w:color w:val="auto"/>
                    </w:rPr>
                    <w:t>m</w:t>
                  </w:r>
                  <w:r>
                    <w:rPr>
                      <w:color w:val="auto"/>
                      <w:vertAlign w:val="superscript"/>
                    </w:rPr>
                    <w:t>2</w:t>
                  </w:r>
                  <w:r>
                    <w:rPr>
                      <w:color w:val="auto"/>
                    </w:rPr>
                    <w:t>，</w:t>
                  </w:r>
                  <w:r>
                    <w:rPr>
                      <w:rFonts w:hint="eastAsia"/>
                      <w:color w:val="auto"/>
                      <w:lang w:val="en-US" w:eastAsia="zh-CN"/>
                    </w:rPr>
                    <w:t>两</w:t>
                  </w:r>
                  <w:r>
                    <w:rPr>
                      <w:color w:val="auto"/>
                    </w:rPr>
                    <w:t>层，</w:t>
                  </w:r>
                  <w:r>
                    <w:rPr>
                      <w:rFonts w:hint="eastAsia"/>
                      <w:color w:val="auto"/>
                      <w:lang w:val="en-US" w:eastAsia="zh-CN"/>
                    </w:rPr>
                    <w:t>混凝土</w:t>
                  </w:r>
                  <w:r>
                    <w:rPr>
                      <w:color w:val="auto"/>
                    </w:rPr>
                    <w:t>结构。</w:t>
                  </w:r>
                </w:p>
              </w:tc>
              <w:tc>
                <w:tcPr>
                  <w:tcW w:w="465" w:type="pct"/>
                  <w:shd w:val="clear" w:color="auto" w:fill="auto"/>
                  <w:vAlign w:val="center"/>
                </w:tcPr>
                <w:p w14:paraId="7F0C64F7">
                  <w:pPr>
                    <w:pStyle w:val="50"/>
                    <w:ind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已建成</w:t>
                  </w:r>
                </w:p>
              </w:tc>
            </w:tr>
            <w:tr w14:paraId="5F7B36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38" w:type="pct"/>
                  <w:vMerge w:val="continue"/>
                  <w:vAlign w:val="center"/>
                </w:tcPr>
                <w:p w14:paraId="6E2682DD">
                  <w:pPr>
                    <w:pStyle w:val="50"/>
                    <w:jc w:val="center"/>
                    <w:rPr>
                      <w:color w:val="auto"/>
                    </w:rPr>
                  </w:pPr>
                </w:p>
              </w:tc>
              <w:tc>
                <w:tcPr>
                  <w:tcW w:w="1032" w:type="pct"/>
                  <w:gridSpan w:val="2"/>
                  <w:vAlign w:val="center"/>
                </w:tcPr>
                <w:p w14:paraId="6C643676">
                  <w:pPr>
                    <w:pStyle w:val="50"/>
                    <w:jc w:val="center"/>
                    <w:rPr>
                      <w:color w:val="auto"/>
                    </w:rPr>
                  </w:pPr>
                  <w:r>
                    <w:rPr>
                      <w:color w:val="auto"/>
                    </w:rPr>
                    <w:t>一般固废暂存间</w:t>
                  </w:r>
                </w:p>
              </w:tc>
              <w:tc>
                <w:tcPr>
                  <w:tcW w:w="3063" w:type="pct"/>
                  <w:vAlign w:val="center"/>
                </w:tcPr>
                <w:p w14:paraId="52393BDA">
                  <w:pPr>
                    <w:pStyle w:val="50"/>
                    <w:jc w:val="center"/>
                    <w:rPr>
                      <w:color w:val="auto"/>
                    </w:rPr>
                  </w:pPr>
                  <w:r>
                    <w:rPr>
                      <w:color w:val="auto"/>
                    </w:rPr>
                    <w:t>生产</w:t>
                  </w:r>
                  <w:r>
                    <w:rPr>
                      <w:rFonts w:hint="eastAsia"/>
                      <w:color w:val="auto"/>
                      <w:lang w:val="en-US" w:eastAsia="zh-CN"/>
                    </w:rPr>
                    <w:t>区域</w:t>
                  </w:r>
                  <w:r>
                    <w:rPr>
                      <w:color w:val="auto"/>
                    </w:rPr>
                    <w:t>外西</w:t>
                  </w:r>
                  <w:r>
                    <w:rPr>
                      <w:rFonts w:hint="eastAsia"/>
                      <w:color w:val="auto"/>
                      <w:lang w:val="en-US" w:eastAsia="zh-CN"/>
                    </w:rPr>
                    <w:t>南</w:t>
                  </w:r>
                  <w:r>
                    <w:rPr>
                      <w:color w:val="auto"/>
                    </w:rPr>
                    <w:t>侧新建1座30m</w:t>
                  </w:r>
                  <w:r>
                    <w:rPr>
                      <w:color w:val="auto"/>
                      <w:vertAlign w:val="superscript"/>
                    </w:rPr>
                    <w:t>2</w:t>
                  </w:r>
                  <w:r>
                    <w:rPr>
                      <w:color w:val="auto"/>
                    </w:rPr>
                    <w:t>一般固废暂存间，全封闭彩钢结构，地面采用混凝土硬化，防渗系数K≤1×10</w:t>
                  </w:r>
                  <w:r>
                    <w:rPr>
                      <w:color w:val="auto"/>
                      <w:vertAlign w:val="superscript"/>
                    </w:rPr>
                    <w:t>-7</w:t>
                  </w:r>
                  <w:r>
                    <w:rPr>
                      <w:color w:val="auto"/>
                    </w:rPr>
                    <w:t>cm/s</w:t>
                  </w:r>
                </w:p>
              </w:tc>
              <w:tc>
                <w:tcPr>
                  <w:tcW w:w="465" w:type="pct"/>
                  <w:vAlign w:val="center"/>
                </w:tcPr>
                <w:p w14:paraId="1895BA23">
                  <w:pPr>
                    <w:pStyle w:val="50"/>
                    <w:jc w:val="center"/>
                    <w:rPr>
                      <w:color w:val="auto"/>
                    </w:rPr>
                  </w:pPr>
                  <w:r>
                    <w:rPr>
                      <w:color w:val="auto"/>
                    </w:rPr>
                    <w:t>新建</w:t>
                  </w:r>
                </w:p>
              </w:tc>
            </w:tr>
            <w:tr w14:paraId="1420E2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38" w:type="pct"/>
                  <w:vMerge w:val="continue"/>
                  <w:vAlign w:val="center"/>
                </w:tcPr>
                <w:p w14:paraId="6954437E">
                  <w:pPr>
                    <w:pStyle w:val="50"/>
                    <w:jc w:val="center"/>
                    <w:rPr>
                      <w:color w:val="auto"/>
                    </w:rPr>
                  </w:pPr>
                </w:p>
              </w:tc>
              <w:tc>
                <w:tcPr>
                  <w:tcW w:w="1032" w:type="pct"/>
                  <w:gridSpan w:val="2"/>
                  <w:vAlign w:val="center"/>
                </w:tcPr>
                <w:p w14:paraId="24E86ED8">
                  <w:pPr>
                    <w:pStyle w:val="50"/>
                    <w:jc w:val="center"/>
                    <w:rPr>
                      <w:color w:val="auto"/>
                    </w:rPr>
                  </w:pPr>
                  <w:r>
                    <w:rPr>
                      <w:color w:val="auto"/>
                    </w:rPr>
                    <w:t>危废暂存间</w:t>
                  </w:r>
                </w:p>
              </w:tc>
              <w:tc>
                <w:tcPr>
                  <w:tcW w:w="3063" w:type="pct"/>
                  <w:vAlign w:val="center"/>
                </w:tcPr>
                <w:p w14:paraId="1E5E52C3">
                  <w:pPr>
                    <w:pStyle w:val="50"/>
                    <w:jc w:val="center"/>
                    <w:rPr>
                      <w:color w:val="auto"/>
                    </w:rPr>
                  </w:pPr>
                  <w:r>
                    <w:rPr>
                      <w:color w:val="auto"/>
                    </w:rPr>
                    <w:t>一般固废暂存间</w:t>
                  </w:r>
                  <w:r>
                    <w:rPr>
                      <w:rFonts w:hint="eastAsia"/>
                      <w:color w:val="auto"/>
                      <w:lang w:val="en-US" w:eastAsia="zh-CN"/>
                    </w:rPr>
                    <w:t>南</w:t>
                  </w:r>
                  <w:r>
                    <w:rPr>
                      <w:color w:val="auto"/>
                    </w:rPr>
                    <w:t>侧新建1座危废暂存间，占地面积为10m</w:t>
                  </w:r>
                  <w:r>
                    <w:rPr>
                      <w:color w:val="auto"/>
                      <w:vertAlign w:val="superscript"/>
                    </w:rPr>
                    <w:t>2</w:t>
                  </w:r>
                  <w:r>
                    <w:rPr>
                      <w:color w:val="auto"/>
                    </w:rPr>
                    <w:t>，全封闭设置，用于存放废机油，危废间裙脚高度为150mm，内设置导流槽、集液池、围堰，导流槽与集液池相连，废机油泄漏后通过导流槽流入集液池，导流槽、集液池和围堰均按《危险废物贮存污染控制标准》（GB18597-2023）的要求做防渗，渗透系数K≤10</w:t>
                  </w:r>
                  <w:r>
                    <w:rPr>
                      <w:color w:val="auto"/>
                      <w:vertAlign w:val="superscript"/>
                    </w:rPr>
                    <w:t>-10</w:t>
                  </w:r>
                  <w:r>
                    <w:rPr>
                      <w:color w:val="auto"/>
                    </w:rPr>
                    <w:t>cm/s。</w:t>
                  </w:r>
                </w:p>
              </w:tc>
              <w:tc>
                <w:tcPr>
                  <w:tcW w:w="465" w:type="pct"/>
                  <w:vAlign w:val="center"/>
                </w:tcPr>
                <w:p w14:paraId="1AF0BA0C">
                  <w:pPr>
                    <w:pStyle w:val="50"/>
                    <w:jc w:val="center"/>
                    <w:rPr>
                      <w:color w:val="auto"/>
                    </w:rPr>
                  </w:pPr>
                  <w:r>
                    <w:rPr>
                      <w:color w:val="auto"/>
                    </w:rPr>
                    <w:t>新建</w:t>
                  </w:r>
                </w:p>
              </w:tc>
            </w:tr>
            <w:tr w14:paraId="4D12E3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38" w:type="pct"/>
                  <w:vMerge w:val="restart"/>
                  <w:vAlign w:val="center"/>
                </w:tcPr>
                <w:p w14:paraId="11387495">
                  <w:pPr>
                    <w:pStyle w:val="50"/>
                    <w:jc w:val="center"/>
                    <w:rPr>
                      <w:color w:val="auto"/>
                    </w:rPr>
                  </w:pPr>
                  <w:r>
                    <w:rPr>
                      <w:color w:val="auto"/>
                    </w:rPr>
                    <w:t>公用</w:t>
                  </w:r>
                </w:p>
                <w:p w14:paraId="63B6AA4E">
                  <w:pPr>
                    <w:pStyle w:val="50"/>
                    <w:jc w:val="center"/>
                    <w:rPr>
                      <w:color w:val="auto"/>
                    </w:rPr>
                  </w:pPr>
                  <w:r>
                    <w:rPr>
                      <w:color w:val="auto"/>
                    </w:rPr>
                    <w:t>工程</w:t>
                  </w:r>
                </w:p>
              </w:tc>
              <w:tc>
                <w:tcPr>
                  <w:tcW w:w="1032" w:type="pct"/>
                  <w:gridSpan w:val="2"/>
                  <w:vAlign w:val="center"/>
                </w:tcPr>
                <w:p w14:paraId="14DD4048">
                  <w:pPr>
                    <w:pStyle w:val="50"/>
                    <w:jc w:val="center"/>
                    <w:rPr>
                      <w:color w:val="auto"/>
                    </w:rPr>
                  </w:pPr>
                  <w:r>
                    <w:rPr>
                      <w:color w:val="auto"/>
                    </w:rPr>
                    <w:t>供水</w:t>
                  </w:r>
                </w:p>
              </w:tc>
              <w:tc>
                <w:tcPr>
                  <w:tcW w:w="3063" w:type="pct"/>
                  <w:vAlign w:val="center"/>
                </w:tcPr>
                <w:p w14:paraId="6B436305">
                  <w:pPr>
                    <w:pStyle w:val="50"/>
                    <w:jc w:val="center"/>
                    <w:rPr>
                      <w:color w:val="auto"/>
                    </w:rPr>
                  </w:pPr>
                  <w:r>
                    <w:rPr>
                      <w:color w:val="auto"/>
                    </w:rPr>
                    <w:t>厂区抑尘用水</w:t>
                  </w:r>
                  <w:r>
                    <w:rPr>
                      <w:rFonts w:hint="eastAsia"/>
                      <w:color w:val="auto"/>
                      <w:lang w:eastAsia="zh-CN"/>
                    </w:rPr>
                    <w:t>、</w:t>
                  </w:r>
                  <w:r>
                    <w:rPr>
                      <w:rFonts w:hint="eastAsia"/>
                      <w:color w:val="auto"/>
                      <w:lang w:val="en-US" w:eastAsia="zh-CN"/>
                    </w:rPr>
                    <w:t>混凝土搅拌用水</w:t>
                  </w:r>
                  <w:r>
                    <w:rPr>
                      <w:color w:val="auto"/>
                    </w:rPr>
                    <w:t>由现有供水管网供给</w:t>
                  </w:r>
                  <w:r>
                    <w:rPr>
                      <w:rFonts w:hint="eastAsia"/>
                      <w:color w:val="auto"/>
                      <w:lang w:eastAsia="zh-CN"/>
                    </w:rPr>
                    <w:t>，</w:t>
                  </w:r>
                  <w:r>
                    <w:rPr>
                      <w:color w:val="auto"/>
                    </w:rPr>
                    <w:t>生活用水</w:t>
                  </w:r>
                  <w:r>
                    <w:rPr>
                      <w:rFonts w:hint="eastAsia"/>
                      <w:color w:val="auto"/>
                      <w:lang w:val="en-US" w:eastAsia="zh-CN"/>
                    </w:rPr>
                    <w:t>外购桶装水</w:t>
                  </w:r>
                  <w:r>
                    <w:rPr>
                      <w:color w:val="auto"/>
                    </w:rPr>
                    <w:t>。</w:t>
                  </w:r>
                </w:p>
              </w:tc>
              <w:tc>
                <w:tcPr>
                  <w:tcW w:w="465" w:type="pct"/>
                  <w:vAlign w:val="center"/>
                </w:tcPr>
                <w:p w14:paraId="2AD0929E">
                  <w:pPr>
                    <w:pStyle w:val="50"/>
                    <w:jc w:val="center"/>
                    <w:rPr>
                      <w:color w:val="auto"/>
                    </w:rPr>
                  </w:pPr>
                  <w:r>
                    <w:rPr>
                      <w:rFonts w:hint="eastAsia"/>
                      <w:color w:val="auto"/>
                      <w:lang w:val="en-US" w:eastAsia="zh-CN"/>
                    </w:rPr>
                    <w:t>已建成</w:t>
                  </w:r>
                </w:p>
              </w:tc>
            </w:tr>
            <w:tr w14:paraId="0BE441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38" w:type="pct"/>
                  <w:vMerge w:val="continue"/>
                  <w:vAlign w:val="center"/>
                </w:tcPr>
                <w:p w14:paraId="1BBC0105">
                  <w:pPr>
                    <w:pStyle w:val="50"/>
                    <w:jc w:val="center"/>
                    <w:rPr>
                      <w:color w:val="auto"/>
                    </w:rPr>
                  </w:pPr>
                </w:p>
              </w:tc>
              <w:tc>
                <w:tcPr>
                  <w:tcW w:w="1032" w:type="pct"/>
                  <w:gridSpan w:val="2"/>
                  <w:vAlign w:val="center"/>
                </w:tcPr>
                <w:p w14:paraId="76268478">
                  <w:pPr>
                    <w:pStyle w:val="50"/>
                    <w:jc w:val="center"/>
                    <w:rPr>
                      <w:color w:val="auto"/>
                    </w:rPr>
                  </w:pPr>
                  <w:r>
                    <w:rPr>
                      <w:color w:val="auto"/>
                    </w:rPr>
                    <w:t>排水</w:t>
                  </w:r>
                </w:p>
              </w:tc>
              <w:tc>
                <w:tcPr>
                  <w:tcW w:w="3063" w:type="pct"/>
                  <w:vAlign w:val="center"/>
                </w:tcPr>
                <w:p w14:paraId="6659427E">
                  <w:pPr>
                    <w:pStyle w:val="50"/>
                    <w:jc w:val="center"/>
                    <w:rPr>
                      <w:rFonts w:hint="default" w:eastAsia="宋体"/>
                      <w:color w:val="auto"/>
                      <w:lang w:val="en-US" w:eastAsia="zh-CN"/>
                    </w:rPr>
                  </w:pPr>
                  <w:r>
                    <w:rPr>
                      <w:rFonts w:hint="eastAsia"/>
                      <w:color w:val="auto"/>
                      <w:lang w:val="en-US" w:eastAsia="zh-CN"/>
                    </w:rPr>
                    <w:t>生活污水由厂区新建化粪池收集后，委托环卫部门进行清运</w:t>
                  </w:r>
                  <w:r>
                    <w:rPr>
                      <w:rFonts w:hint="eastAsia"/>
                      <w:color w:val="auto"/>
                    </w:rPr>
                    <w:t>。</w:t>
                  </w:r>
                  <w:r>
                    <w:rPr>
                      <w:rFonts w:hint="eastAsia"/>
                      <w:color w:val="auto"/>
                      <w:lang w:val="en-US" w:eastAsia="zh-CN"/>
                    </w:rPr>
                    <w:t>无生产废水产生。</w:t>
                  </w:r>
                </w:p>
              </w:tc>
              <w:tc>
                <w:tcPr>
                  <w:tcW w:w="465" w:type="pct"/>
                  <w:vAlign w:val="center"/>
                </w:tcPr>
                <w:p w14:paraId="538E8250">
                  <w:pPr>
                    <w:pStyle w:val="50"/>
                    <w:jc w:val="center"/>
                    <w:rPr>
                      <w:color w:val="auto"/>
                    </w:rPr>
                  </w:pPr>
                  <w:r>
                    <w:rPr>
                      <w:rFonts w:hint="eastAsia"/>
                      <w:color w:val="auto"/>
                      <w:lang w:val="en-US" w:eastAsia="zh-CN"/>
                    </w:rPr>
                    <w:t>已建成</w:t>
                  </w:r>
                </w:p>
              </w:tc>
            </w:tr>
            <w:tr w14:paraId="083973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438" w:type="pct"/>
                  <w:vMerge w:val="continue"/>
                  <w:vAlign w:val="center"/>
                </w:tcPr>
                <w:p w14:paraId="729BFBA0">
                  <w:pPr>
                    <w:pStyle w:val="50"/>
                    <w:jc w:val="center"/>
                    <w:rPr>
                      <w:color w:val="auto"/>
                    </w:rPr>
                  </w:pPr>
                </w:p>
              </w:tc>
              <w:tc>
                <w:tcPr>
                  <w:tcW w:w="1032" w:type="pct"/>
                  <w:gridSpan w:val="2"/>
                  <w:vAlign w:val="center"/>
                </w:tcPr>
                <w:p w14:paraId="5BE79923">
                  <w:pPr>
                    <w:pStyle w:val="50"/>
                    <w:jc w:val="center"/>
                    <w:rPr>
                      <w:color w:val="auto"/>
                    </w:rPr>
                  </w:pPr>
                  <w:r>
                    <w:rPr>
                      <w:color w:val="auto"/>
                    </w:rPr>
                    <w:t>供电</w:t>
                  </w:r>
                </w:p>
              </w:tc>
              <w:tc>
                <w:tcPr>
                  <w:tcW w:w="3063" w:type="pct"/>
                  <w:vAlign w:val="center"/>
                </w:tcPr>
                <w:p w14:paraId="49B2C1B9">
                  <w:pPr>
                    <w:pStyle w:val="50"/>
                    <w:jc w:val="center"/>
                    <w:rPr>
                      <w:color w:val="auto"/>
                    </w:rPr>
                  </w:pPr>
                  <w:r>
                    <w:rPr>
                      <w:color w:val="auto"/>
                    </w:rPr>
                    <w:t>本项目用电引自</w:t>
                  </w:r>
                  <w:r>
                    <w:rPr>
                      <w:rFonts w:hint="eastAsia"/>
                      <w:color w:val="auto"/>
                      <w:lang w:val="en-US" w:eastAsia="zh-CN"/>
                    </w:rPr>
                    <w:t>周边线路</w:t>
                  </w:r>
                  <w:r>
                    <w:rPr>
                      <w:color w:val="auto"/>
                    </w:rPr>
                    <w:t>。</w:t>
                  </w:r>
                </w:p>
              </w:tc>
              <w:tc>
                <w:tcPr>
                  <w:tcW w:w="465" w:type="pct"/>
                  <w:vAlign w:val="center"/>
                </w:tcPr>
                <w:p w14:paraId="535B2844">
                  <w:pPr>
                    <w:pStyle w:val="50"/>
                    <w:jc w:val="center"/>
                    <w:rPr>
                      <w:color w:val="auto"/>
                    </w:rPr>
                  </w:pPr>
                  <w:r>
                    <w:rPr>
                      <w:rFonts w:hint="eastAsia"/>
                      <w:color w:val="auto"/>
                      <w:lang w:val="en-US" w:eastAsia="zh-CN"/>
                    </w:rPr>
                    <w:t>已建成</w:t>
                  </w:r>
                </w:p>
              </w:tc>
            </w:tr>
            <w:tr w14:paraId="492761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438" w:type="pct"/>
                  <w:vMerge w:val="continue"/>
                  <w:vAlign w:val="center"/>
                </w:tcPr>
                <w:p w14:paraId="025DA95E">
                  <w:pPr>
                    <w:pStyle w:val="50"/>
                    <w:jc w:val="center"/>
                    <w:rPr>
                      <w:color w:val="auto"/>
                    </w:rPr>
                  </w:pPr>
                </w:p>
              </w:tc>
              <w:tc>
                <w:tcPr>
                  <w:tcW w:w="1032" w:type="pct"/>
                  <w:gridSpan w:val="2"/>
                  <w:vAlign w:val="center"/>
                </w:tcPr>
                <w:p w14:paraId="239FC26A">
                  <w:pPr>
                    <w:pStyle w:val="50"/>
                    <w:jc w:val="center"/>
                    <w:rPr>
                      <w:color w:val="auto"/>
                    </w:rPr>
                  </w:pPr>
                  <w:r>
                    <w:rPr>
                      <w:color w:val="auto"/>
                    </w:rPr>
                    <w:t>供暖</w:t>
                  </w:r>
                </w:p>
              </w:tc>
              <w:tc>
                <w:tcPr>
                  <w:tcW w:w="3063" w:type="pct"/>
                  <w:vAlign w:val="center"/>
                </w:tcPr>
                <w:p w14:paraId="3DD3C422">
                  <w:pPr>
                    <w:pStyle w:val="50"/>
                    <w:jc w:val="center"/>
                    <w:rPr>
                      <w:color w:val="auto"/>
                    </w:rPr>
                  </w:pPr>
                  <w:r>
                    <w:rPr>
                      <w:color w:val="auto"/>
                    </w:rPr>
                    <w:t>本项目冬季采暖方式为电采暖。</w:t>
                  </w:r>
                </w:p>
              </w:tc>
              <w:tc>
                <w:tcPr>
                  <w:tcW w:w="465" w:type="pct"/>
                  <w:vAlign w:val="center"/>
                </w:tcPr>
                <w:p w14:paraId="10D5BD97">
                  <w:pPr>
                    <w:pStyle w:val="50"/>
                    <w:jc w:val="center"/>
                    <w:rPr>
                      <w:color w:val="auto"/>
                    </w:rPr>
                  </w:pPr>
                  <w:r>
                    <w:rPr>
                      <w:rFonts w:hint="eastAsia"/>
                      <w:color w:val="auto"/>
                      <w:lang w:val="en-US" w:eastAsia="zh-CN"/>
                    </w:rPr>
                    <w:t>已建成</w:t>
                  </w:r>
                </w:p>
              </w:tc>
            </w:tr>
            <w:tr w14:paraId="3E3518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38" w:type="pct"/>
                  <w:vMerge w:val="restart"/>
                  <w:vAlign w:val="center"/>
                </w:tcPr>
                <w:p w14:paraId="13B5E1D1">
                  <w:pPr>
                    <w:pStyle w:val="50"/>
                    <w:jc w:val="center"/>
                    <w:rPr>
                      <w:color w:val="auto"/>
                    </w:rPr>
                  </w:pPr>
                  <w:r>
                    <w:rPr>
                      <w:color w:val="auto"/>
                    </w:rPr>
                    <w:t>环保</w:t>
                  </w:r>
                </w:p>
                <w:p w14:paraId="64E414AD">
                  <w:pPr>
                    <w:pStyle w:val="50"/>
                    <w:jc w:val="center"/>
                    <w:rPr>
                      <w:color w:val="auto"/>
                    </w:rPr>
                  </w:pPr>
                  <w:r>
                    <w:rPr>
                      <w:color w:val="auto"/>
                    </w:rPr>
                    <w:t>工程</w:t>
                  </w:r>
                </w:p>
                <w:p w14:paraId="1199A023">
                  <w:pPr>
                    <w:pStyle w:val="50"/>
                    <w:jc w:val="center"/>
                    <w:rPr>
                      <w:color w:val="auto"/>
                    </w:rPr>
                  </w:pPr>
                  <w:r>
                    <w:rPr>
                      <w:color w:val="auto"/>
                    </w:rPr>
                    <w:t>生活垃圾</w:t>
                  </w:r>
                </w:p>
              </w:tc>
              <w:tc>
                <w:tcPr>
                  <w:tcW w:w="483" w:type="pct"/>
                  <w:vMerge w:val="restart"/>
                  <w:vAlign w:val="center"/>
                </w:tcPr>
                <w:p w14:paraId="4532AE7D">
                  <w:pPr>
                    <w:pStyle w:val="50"/>
                    <w:jc w:val="center"/>
                    <w:rPr>
                      <w:color w:val="auto"/>
                    </w:rPr>
                  </w:pPr>
                  <w:r>
                    <w:rPr>
                      <w:color w:val="auto"/>
                    </w:rPr>
                    <w:t>废气</w:t>
                  </w:r>
                </w:p>
              </w:tc>
              <w:tc>
                <w:tcPr>
                  <w:tcW w:w="549" w:type="pct"/>
                  <w:vAlign w:val="center"/>
                </w:tcPr>
                <w:p w14:paraId="5F16E1ED">
                  <w:pPr>
                    <w:pStyle w:val="50"/>
                    <w:jc w:val="center"/>
                    <w:rPr>
                      <w:color w:val="auto"/>
                    </w:rPr>
                  </w:pPr>
                  <w:r>
                    <w:rPr>
                      <w:color w:val="auto"/>
                    </w:rPr>
                    <w:t>粉料仓</w:t>
                  </w:r>
                </w:p>
              </w:tc>
              <w:tc>
                <w:tcPr>
                  <w:tcW w:w="3063" w:type="pct"/>
                  <w:vAlign w:val="center"/>
                </w:tcPr>
                <w:p w14:paraId="00074FFC">
                  <w:pPr>
                    <w:pStyle w:val="50"/>
                    <w:jc w:val="center"/>
                    <w:rPr>
                      <w:color w:val="auto"/>
                    </w:rPr>
                  </w:pPr>
                  <w:r>
                    <w:rPr>
                      <w:color w:val="auto"/>
                    </w:rPr>
                    <w:t>水泥粉料仓仓顶</w:t>
                  </w:r>
                  <w:r>
                    <w:rPr>
                      <w:rFonts w:hint="eastAsia"/>
                      <w:color w:val="auto"/>
                      <w:lang w:eastAsia="zh-CN"/>
                    </w:rPr>
                    <w:t>、</w:t>
                  </w:r>
                  <w:r>
                    <w:rPr>
                      <w:rFonts w:hint="eastAsia"/>
                      <w:color w:val="auto"/>
                      <w:lang w:val="en-US" w:eastAsia="zh-CN"/>
                    </w:rPr>
                    <w:t>粉煤灰料仓仓顶各</w:t>
                  </w:r>
                  <w:r>
                    <w:rPr>
                      <w:color w:val="auto"/>
                    </w:rPr>
                    <w:t>配置1台脉冲袋式除尘器（除尘效率99.7%）排放。</w:t>
                  </w:r>
                </w:p>
              </w:tc>
              <w:tc>
                <w:tcPr>
                  <w:tcW w:w="465" w:type="pct"/>
                  <w:vAlign w:val="center"/>
                </w:tcPr>
                <w:p w14:paraId="0109764C">
                  <w:pPr>
                    <w:pStyle w:val="50"/>
                    <w:jc w:val="center"/>
                    <w:rPr>
                      <w:color w:val="auto"/>
                    </w:rPr>
                  </w:pPr>
                  <w:r>
                    <w:rPr>
                      <w:rFonts w:hint="eastAsia"/>
                      <w:color w:val="auto"/>
                      <w:lang w:val="en-US" w:eastAsia="zh-CN"/>
                    </w:rPr>
                    <w:t>已建成</w:t>
                  </w:r>
                </w:p>
              </w:tc>
            </w:tr>
            <w:tr w14:paraId="4C55AD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38" w:type="pct"/>
                  <w:vMerge w:val="continue"/>
                  <w:vAlign w:val="center"/>
                </w:tcPr>
                <w:p w14:paraId="46541370">
                  <w:pPr>
                    <w:pStyle w:val="50"/>
                    <w:jc w:val="center"/>
                    <w:rPr>
                      <w:color w:val="auto"/>
                    </w:rPr>
                  </w:pPr>
                </w:p>
              </w:tc>
              <w:tc>
                <w:tcPr>
                  <w:tcW w:w="483" w:type="pct"/>
                  <w:vMerge w:val="continue"/>
                  <w:vAlign w:val="center"/>
                </w:tcPr>
                <w:p w14:paraId="0D21A701">
                  <w:pPr>
                    <w:pStyle w:val="50"/>
                    <w:jc w:val="center"/>
                    <w:rPr>
                      <w:color w:val="auto"/>
                    </w:rPr>
                  </w:pPr>
                </w:p>
              </w:tc>
              <w:tc>
                <w:tcPr>
                  <w:tcW w:w="549" w:type="pct"/>
                  <w:vAlign w:val="center"/>
                </w:tcPr>
                <w:p w14:paraId="49A9BCC2">
                  <w:pPr>
                    <w:pStyle w:val="50"/>
                    <w:jc w:val="center"/>
                    <w:rPr>
                      <w:color w:val="auto"/>
                    </w:rPr>
                  </w:pPr>
                  <w:r>
                    <w:rPr>
                      <w:color w:val="auto"/>
                    </w:rPr>
                    <w:t>搅拌机</w:t>
                  </w:r>
                </w:p>
              </w:tc>
              <w:tc>
                <w:tcPr>
                  <w:tcW w:w="3063" w:type="pct"/>
                  <w:vAlign w:val="center"/>
                </w:tcPr>
                <w:p w14:paraId="577310E8">
                  <w:pPr>
                    <w:pStyle w:val="50"/>
                    <w:jc w:val="center"/>
                    <w:rPr>
                      <w:color w:val="auto"/>
                    </w:rPr>
                  </w:pPr>
                  <w:r>
                    <w:rPr>
                      <w:color w:val="auto"/>
                    </w:rPr>
                    <w:t>1台搅拌机，全封闭结构，配置1台脉冲袋式除尘器（除尘效率99.7%）</w:t>
                  </w:r>
                  <w:r>
                    <w:rPr>
                      <w:rFonts w:hint="eastAsia"/>
                      <w:color w:val="auto"/>
                      <w:lang w:val="en-US" w:eastAsia="zh-CN"/>
                    </w:rPr>
                    <w:t>处理后</w:t>
                  </w:r>
                  <w:r>
                    <w:rPr>
                      <w:color w:val="auto"/>
                    </w:rPr>
                    <w:t>排放。</w:t>
                  </w:r>
                </w:p>
              </w:tc>
              <w:tc>
                <w:tcPr>
                  <w:tcW w:w="465" w:type="pct"/>
                  <w:vAlign w:val="center"/>
                </w:tcPr>
                <w:p w14:paraId="48925EF2">
                  <w:pPr>
                    <w:pStyle w:val="50"/>
                    <w:jc w:val="center"/>
                    <w:rPr>
                      <w:color w:val="auto"/>
                    </w:rPr>
                  </w:pPr>
                  <w:r>
                    <w:rPr>
                      <w:rFonts w:hint="eastAsia"/>
                      <w:color w:val="auto"/>
                      <w:lang w:val="en-US" w:eastAsia="zh-CN"/>
                    </w:rPr>
                    <w:t>已建成</w:t>
                  </w:r>
                </w:p>
              </w:tc>
            </w:tr>
            <w:tr w14:paraId="136B56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38" w:type="pct"/>
                  <w:vMerge w:val="continue"/>
                  <w:vAlign w:val="center"/>
                </w:tcPr>
                <w:p w14:paraId="16B7BE1A">
                  <w:pPr>
                    <w:pStyle w:val="50"/>
                    <w:jc w:val="center"/>
                    <w:rPr>
                      <w:color w:val="auto"/>
                    </w:rPr>
                  </w:pPr>
                </w:p>
              </w:tc>
              <w:tc>
                <w:tcPr>
                  <w:tcW w:w="483" w:type="pct"/>
                  <w:vMerge w:val="continue"/>
                  <w:vAlign w:val="center"/>
                </w:tcPr>
                <w:p w14:paraId="76AE0642">
                  <w:pPr>
                    <w:pStyle w:val="50"/>
                    <w:jc w:val="center"/>
                    <w:rPr>
                      <w:color w:val="auto"/>
                    </w:rPr>
                  </w:pPr>
                </w:p>
              </w:tc>
              <w:tc>
                <w:tcPr>
                  <w:tcW w:w="549" w:type="pct"/>
                  <w:vAlign w:val="center"/>
                </w:tcPr>
                <w:p w14:paraId="232FE53B">
                  <w:pPr>
                    <w:pStyle w:val="50"/>
                    <w:jc w:val="center"/>
                    <w:rPr>
                      <w:color w:val="auto"/>
                    </w:rPr>
                  </w:pPr>
                  <w:r>
                    <w:rPr>
                      <w:color w:val="auto"/>
                    </w:rPr>
                    <w:t>砂石料进料</w:t>
                  </w:r>
                </w:p>
              </w:tc>
              <w:tc>
                <w:tcPr>
                  <w:tcW w:w="3063" w:type="pct"/>
                  <w:vAlign w:val="center"/>
                </w:tcPr>
                <w:p w14:paraId="03C13EDA">
                  <w:pPr>
                    <w:pStyle w:val="50"/>
                    <w:jc w:val="center"/>
                    <w:rPr>
                      <w:color w:val="auto"/>
                    </w:rPr>
                  </w:pPr>
                  <w:r>
                    <w:rPr>
                      <w:color w:val="auto"/>
                    </w:rPr>
                    <w:t>砂石材料配料斗、投料斗均为全封闭，进料粉尘通过雾炮洒水抑尘。</w:t>
                  </w:r>
                </w:p>
              </w:tc>
              <w:tc>
                <w:tcPr>
                  <w:tcW w:w="465" w:type="pct"/>
                  <w:vAlign w:val="center"/>
                </w:tcPr>
                <w:p w14:paraId="79D3CF3C">
                  <w:pPr>
                    <w:pStyle w:val="50"/>
                    <w:jc w:val="center"/>
                    <w:rPr>
                      <w:color w:val="auto"/>
                    </w:rPr>
                  </w:pPr>
                  <w:r>
                    <w:rPr>
                      <w:rFonts w:hint="eastAsia"/>
                      <w:color w:val="auto"/>
                      <w:lang w:val="en-US" w:eastAsia="zh-CN"/>
                    </w:rPr>
                    <w:t>已建成</w:t>
                  </w:r>
                </w:p>
              </w:tc>
            </w:tr>
            <w:tr w14:paraId="066D7C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38" w:type="pct"/>
                  <w:vMerge w:val="continue"/>
                  <w:vAlign w:val="center"/>
                </w:tcPr>
                <w:p w14:paraId="1B1F16E4">
                  <w:pPr>
                    <w:pStyle w:val="50"/>
                    <w:jc w:val="center"/>
                    <w:rPr>
                      <w:color w:val="auto"/>
                    </w:rPr>
                  </w:pPr>
                </w:p>
              </w:tc>
              <w:tc>
                <w:tcPr>
                  <w:tcW w:w="483" w:type="pct"/>
                  <w:vMerge w:val="continue"/>
                  <w:vAlign w:val="center"/>
                </w:tcPr>
                <w:p w14:paraId="1D694A0E">
                  <w:pPr>
                    <w:pStyle w:val="50"/>
                    <w:jc w:val="center"/>
                    <w:rPr>
                      <w:color w:val="auto"/>
                    </w:rPr>
                  </w:pPr>
                </w:p>
              </w:tc>
              <w:tc>
                <w:tcPr>
                  <w:tcW w:w="549" w:type="pct"/>
                  <w:vAlign w:val="center"/>
                </w:tcPr>
                <w:p w14:paraId="3AF8A6E9">
                  <w:pPr>
                    <w:pStyle w:val="50"/>
                    <w:jc w:val="center"/>
                    <w:rPr>
                      <w:color w:val="auto"/>
                    </w:rPr>
                  </w:pPr>
                  <w:r>
                    <w:rPr>
                      <w:color w:val="auto"/>
                    </w:rPr>
                    <w:t>砂石料装卸</w:t>
                  </w:r>
                </w:p>
              </w:tc>
              <w:tc>
                <w:tcPr>
                  <w:tcW w:w="3063" w:type="pct"/>
                  <w:vAlign w:val="center"/>
                </w:tcPr>
                <w:p w14:paraId="6A4A82E3">
                  <w:pPr>
                    <w:pStyle w:val="50"/>
                    <w:jc w:val="center"/>
                    <w:rPr>
                      <w:color w:val="auto"/>
                    </w:rPr>
                  </w:pPr>
                  <w:r>
                    <w:rPr>
                      <w:color w:val="auto"/>
                    </w:rPr>
                    <w:t>采取全封闭堆场、地面硬化+定期洒水，以减少装卸堆存粉尘。</w:t>
                  </w:r>
                </w:p>
              </w:tc>
              <w:tc>
                <w:tcPr>
                  <w:tcW w:w="465" w:type="pct"/>
                  <w:vAlign w:val="center"/>
                </w:tcPr>
                <w:p w14:paraId="2DBB91FA">
                  <w:pPr>
                    <w:pStyle w:val="50"/>
                    <w:jc w:val="center"/>
                    <w:rPr>
                      <w:color w:val="auto"/>
                    </w:rPr>
                  </w:pPr>
                  <w:r>
                    <w:rPr>
                      <w:color w:val="auto"/>
                    </w:rPr>
                    <w:t>新建</w:t>
                  </w:r>
                </w:p>
              </w:tc>
            </w:tr>
            <w:tr w14:paraId="18E12A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38" w:type="pct"/>
                  <w:vMerge w:val="continue"/>
                  <w:vAlign w:val="center"/>
                </w:tcPr>
                <w:p w14:paraId="5A63CFDA">
                  <w:pPr>
                    <w:pStyle w:val="50"/>
                    <w:jc w:val="center"/>
                    <w:rPr>
                      <w:color w:val="auto"/>
                    </w:rPr>
                  </w:pPr>
                </w:p>
              </w:tc>
              <w:tc>
                <w:tcPr>
                  <w:tcW w:w="483" w:type="pct"/>
                  <w:vMerge w:val="continue"/>
                  <w:vAlign w:val="center"/>
                </w:tcPr>
                <w:p w14:paraId="0A4A8176">
                  <w:pPr>
                    <w:pStyle w:val="50"/>
                    <w:jc w:val="center"/>
                    <w:rPr>
                      <w:color w:val="auto"/>
                    </w:rPr>
                  </w:pPr>
                </w:p>
              </w:tc>
              <w:tc>
                <w:tcPr>
                  <w:tcW w:w="549" w:type="pct"/>
                  <w:vAlign w:val="center"/>
                </w:tcPr>
                <w:p w14:paraId="0509DF37">
                  <w:pPr>
                    <w:pStyle w:val="50"/>
                    <w:jc w:val="center"/>
                    <w:rPr>
                      <w:color w:val="auto"/>
                    </w:rPr>
                  </w:pPr>
                  <w:r>
                    <w:rPr>
                      <w:color w:val="auto"/>
                    </w:rPr>
                    <w:t>焊接工序</w:t>
                  </w:r>
                </w:p>
              </w:tc>
              <w:tc>
                <w:tcPr>
                  <w:tcW w:w="3063" w:type="pct"/>
                  <w:vAlign w:val="center"/>
                </w:tcPr>
                <w:p w14:paraId="72D7A873">
                  <w:pPr>
                    <w:pStyle w:val="50"/>
                    <w:jc w:val="center"/>
                    <w:rPr>
                      <w:color w:val="auto"/>
                    </w:rPr>
                  </w:pPr>
                  <w:r>
                    <w:rPr>
                      <w:color w:val="auto"/>
                    </w:rPr>
                    <w:t>采用电阻焊，电阻焊无需焊材、焊剂，本项目所焊接材料为</w:t>
                  </w:r>
                  <w:r>
                    <w:rPr>
                      <w:rFonts w:hint="eastAsia"/>
                      <w:color w:val="auto"/>
                      <w:lang w:val="en-US" w:eastAsia="zh-CN"/>
                    </w:rPr>
                    <w:t>钢筋</w:t>
                  </w:r>
                  <w:r>
                    <w:rPr>
                      <w:color w:val="auto"/>
                    </w:rPr>
                    <w:t>，金属表面洁净，无表面镀层，且在</w:t>
                  </w:r>
                  <w:r>
                    <w:rPr>
                      <w:rFonts w:hint="eastAsia"/>
                      <w:color w:val="auto"/>
                      <w:lang w:val="en-US" w:eastAsia="zh-CN"/>
                    </w:rPr>
                    <w:t>焊接处</w:t>
                  </w:r>
                  <w:r>
                    <w:rPr>
                      <w:color w:val="auto"/>
                    </w:rPr>
                    <w:t>设置一套排气罩+焊接烟尘净化器</w:t>
                  </w:r>
                </w:p>
              </w:tc>
              <w:tc>
                <w:tcPr>
                  <w:tcW w:w="465" w:type="pct"/>
                  <w:vAlign w:val="center"/>
                </w:tcPr>
                <w:p w14:paraId="0CEC9A2F">
                  <w:pPr>
                    <w:pStyle w:val="50"/>
                    <w:jc w:val="center"/>
                    <w:rPr>
                      <w:color w:val="auto"/>
                    </w:rPr>
                  </w:pPr>
                  <w:r>
                    <w:rPr>
                      <w:color w:val="auto"/>
                    </w:rPr>
                    <w:t>新建</w:t>
                  </w:r>
                </w:p>
              </w:tc>
            </w:tr>
            <w:tr w14:paraId="57EC2C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8" w:type="pct"/>
                  <w:vMerge w:val="continue"/>
                  <w:vAlign w:val="center"/>
                </w:tcPr>
                <w:p w14:paraId="2217AD92">
                  <w:pPr>
                    <w:pStyle w:val="50"/>
                    <w:jc w:val="center"/>
                    <w:rPr>
                      <w:color w:val="auto"/>
                    </w:rPr>
                  </w:pPr>
                </w:p>
              </w:tc>
              <w:tc>
                <w:tcPr>
                  <w:tcW w:w="483" w:type="pct"/>
                  <w:vAlign w:val="center"/>
                </w:tcPr>
                <w:p w14:paraId="5723DEF5">
                  <w:pPr>
                    <w:pStyle w:val="50"/>
                    <w:jc w:val="center"/>
                    <w:rPr>
                      <w:color w:val="auto"/>
                    </w:rPr>
                  </w:pPr>
                  <w:r>
                    <w:rPr>
                      <w:color w:val="auto"/>
                    </w:rPr>
                    <w:t>废水</w:t>
                  </w:r>
                </w:p>
              </w:tc>
              <w:tc>
                <w:tcPr>
                  <w:tcW w:w="549" w:type="pct"/>
                  <w:shd w:val="clear" w:color="auto" w:fill="auto"/>
                  <w:vAlign w:val="center"/>
                </w:tcPr>
                <w:p w14:paraId="3642F0B2">
                  <w:pPr>
                    <w:pStyle w:val="50"/>
                    <w:ind w:firstLine="0" w:firstLineChars="0"/>
                    <w:jc w:val="center"/>
                    <w:rPr>
                      <w:rFonts w:ascii="Times New Roman" w:hAnsi="Times New Roman" w:eastAsia="宋体" w:cs="Times New Roman"/>
                      <w:color w:val="auto"/>
                      <w:kern w:val="2"/>
                      <w:sz w:val="21"/>
                      <w:szCs w:val="24"/>
                      <w:lang w:val="en-US" w:eastAsia="zh-CN" w:bidi="ar-SA"/>
                    </w:rPr>
                  </w:pPr>
                  <w:r>
                    <w:rPr>
                      <w:color w:val="auto"/>
                    </w:rPr>
                    <w:t>生活污水</w:t>
                  </w:r>
                </w:p>
              </w:tc>
              <w:tc>
                <w:tcPr>
                  <w:tcW w:w="3063" w:type="pct"/>
                  <w:shd w:val="clear" w:color="auto" w:fill="auto"/>
                  <w:vAlign w:val="center"/>
                </w:tcPr>
                <w:p w14:paraId="68AAFAFC">
                  <w:pPr>
                    <w:pStyle w:val="50"/>
                    <w:ind w:firstLine="0" w:firstLineChars="0"/>
                    <w:jc w:val="center"/>
                    <w:rPr>
                      <w:rFonts w:ascii="Times New Roman" w:hAnsi="Times New Roman" w:eastAsia="宋体" w:cs="Times New Roman"/>
                      <w:color w:val="auto"/>
                      <w:kern w:val="2"/>
                      <w:sz w:val="21"/>
                      <w:szCs w:val="24"/>
                      <w:lang w:val="en-US" w:eastAsia="zh-CN" w:bidi="ar-SA"/>
                    </w:rPr>
                  </w:pPr>
                  <w:r>
                    <w:rPr>
                      <w:rFonts w:hint="eastAsia"/>
                      <w:color w:val="auto"/>
                      <w:lang w:val="en-US" w:eastAsia="zh-CN"/>
                    </w:rPr>
                    <w:t>利用</w:t>
                  </w:r>
                  <w:r>
                    <w:rPr>
                      <w:rFonts w:hint="eastAsia"/>
                      <w:color w:val="auto"/>
                      <w:lang w:eastAsia="zh-CN"/>
                    </w:rPr>
                    <w:t>化粪池</w:t>
                  </w:r>
                  <w:r>
                    <w:rPr>
                      <w:rFonts w:hint="eastAsia"/>
                      <w:color w:val="auto"/>
                    </w:rPr>
                    <w:t>进行收集，收集后委托环卫部门进行转运处理</w:t>
                  </w:r>
                  <w:r>
                    <w:rPr>
                      <w:color w:val="auto"/>
                    </w:rPr>
                    <w:t>。</w:t>
                  </w:r>
                </w:p>
              </w:tc>
              <w:tc>
                <w:tcPr>
                  <w:tcW w:w="465" w:type="pct"/>
                  <w:shd w:val="clear" w:color="auto" w:fill="auto"/>
                  <w:vAlign w:val="center"/>
                </w:tcPr>
                <w:p w14:paraId="13BDE8F6">
                  <w:pPr>
                    <w:pStyle w:val="50"/>
                    <w:ind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已建成</w:t>
                  </w:r>
                </w:p>
              </w:tc>
            </w:tr>
            <w:tr w14:paraId="6E54F9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38" w:type="pct"/>
                  <w:vMerge w:val="continue"/>
                  <w:vAlign w:val="center"/>
                </w:tcPr>
                <w:p w14:paraId="746507EC">
                  <w:pPr>
                    <w:pStyle w:val="50"/>
                    <w:jc w:val="center"/>
                    <w:rPr>
                      <w:color w:val="auto"/>
                    </w:rPr>
                  </w:pPr>
                </w:p>
              </w:tc>
              <w:tc>
                <w:tcPr>
                  <w:tcW w:w="1032" w:type="pct"/>
                  <w:gridSpan w:val="2"/>
                  <w:vAlign w:val="center"/>
                </w:tcPr>
                <w:p w14:paraId="70AEFEEB">
                  <w:pPr>
                    <w:pStyle w:val="50"/>
                    <w:jc w:val="center"/>
                    <w:rPr>
                      <w:color w:val="auto"/>
                    </w:rPr>
                  </w:pPr>
                  <w:r>
                    <w:rPr>
                      <w:color w:val="auto"/>
                    </w:rPr>
                    <w:t>噪声</w:t>
                  </w:r>
                </w:p>
              </w:tc>
              <w:tc>
                <w:tcPr>
                  <w:tcW w:w="3063" w:type="pct"/>
                  <w:vAlign w:val="center"/>
                </w:tcPr>
                <w:p w14:paraId="12E7FFEF">
                  <w:pPr>
                    <w:pStyle w:val="50"/>
                    <w:jc w:val="center"/>
                    <w:rPr>
                      <w:color w:val="auto"/>
                    </w:rPr>
                  </w:pPr>
                  <w:r>
                    <w:rPr>
                      <w:color w:val="auto"/>
                    </w:rPr>
                    <w:t>选购低噪声设备，设备置于封闭厂房内，高噪声设备采取基础减振措施，定期维修养护。</w:t>
                  </w:r>
                </w:p>
              </w:tc>
              <w:tc>
                <w:tcPr>
                  <w:tcW w:w="465" w:type="pct"/>
                  <w:vAlign w:val="center"/>
                </w:tcPr>
                <w:p w14:paraId="381D6661">
                  <w:pPr>
                    <w:pStyle w:val="50"/>
                    <w:jc w:val="center"/>
                    <w:rPr>
                      <w:color w:val="auto"/>
                    </w:rPr>
                  </w:pPr>
                  <w:r>
                    <w:rPr>
                      <w:color w:val="auto"/>
                    </w:rPr>
                    <w:t>新建</w:t>
                  </w:r>
                </w:p>
              </w:tc>
            </w:tr>
            <w:tr w14:paraId="6AEA63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38" w:type="pct"/>
                  <w:vMerge w:val="continue"/>
                  <w:vAlign w:val="center"/>
                </w:tcPr>
                <w:p w14:paraId="1ADFEA8D">
                  <w:pPr>
                    <w:pStyle w:val="50"/>
                    <w:jc w:val="center"/>
                    <w:rPr>
                      <w:color w:val="auto"/>
                    </w:rPr>
                  </w:pPr>
                </w:p>
              </w:tc>
              <w:tc>
                <w:tcPr>
                  <w:tcW w:w="483" w:type="pct"/>
                  <w:vMerge w:val="restart"/>
                  <w:vAlign w:val="center"/>
                </w:tcPr>
                <w:p w14:paraId="2F11EBDF">
                  <w:pPr>
                    <w:pStyle w:val="50"/>
                    <w:jc w:val="center"/>
                    <w:rPr>
                      <w:color w:val="auto"/>
                    </w:rPr>
                  </w:pPr>
                  <w:r>
                    <w:rPr>
                      <w:color w:val="auto"/>
                    </w:rPr>
                    <w:t>固废</w:t>
                  </w:r>
                </w:p>
              </w:tc>
              <w:tc>
                <w:tcPr>
                  <w:tcW w:w="549" w:type="pct"/>
                  <w:vAlign w:val="center"/>
                </w:tcPr>
                <w:p w14:paraId="35C55C8A">
                  <w:pPr>
                    <w:pStyle w:val="50"/>
                    <w:jc w:val="center"/>
                    <w:rPr>
                      <w:color w:val="auto"/>
                    </w:rPr>
                  </w:pPr>
                  <w:r>
                    <w:rPr>
                      <w:color w:val="auto"/>
                    </w:rPr>
                    <w:t>成品残次品</w:t>
                  </w:r>
                </w:p>
              </w:tc>
              <w:tc>
                <w:tcPr>
                  <w:tcW w:w="3063" w:type="pct"/>
                  <w:vAlign w:val="center"/>
                </w:tcPr>
                <w:p w14:paraId="64835FBA">
                  <w:pPr>
                    <w:pStyle w:val="50"/>
                    <w:jc w:val="center"/>
                    <w:rPr>
                      <w:color w:val="auto"/>
                    </w:rPr>
                  </w:pPr>
                  <w:r>
                    <w:rPr>
                      <w:color w:val="auto"/>
                    </w:rPr>
                    <w:t>收集后暂存于成品</w:t>
                  </w:r>
                  <w:r>
                    <w:rPr>
                      <w:rFonts w:hint="eastAsia"/>
                      <w:color w:val="auto"/>
                      <w:lang w:val="en-US" w:eastAsia="zh-CN"/>
                    </w:rPr>
                    <w:t>平台</w:t>
                  </w:r>
                  <w:r>
                    <w:rPr>
                      <w:color w:val="auto"/>
                    </w:rPr>
                    <w:t>一侧，外售附近砖厂。</w:t>
                  </w:r>
                </w:p>
              </w:tc>
              <w:tc>
                <w:tcPr>
                  <w:tcW w:w="465" w:type="pct"/>
                  <w:vAlign w:val="center"/>
                </w:tcPr>
                <w:p w14:paraId="22C211C5">
                  <w:pPr>
                    <w:pStyle w:val="50"/>
                    <w:jc w:val="center"/>
                    <w:rPr>
                      <w:color w:val="auto"/>
                    </w:rPr>
                  </w:pPr>
                  <w:r>
                    <w:rPr>
                      <w:rFonts w:hint="eastAsia"/>
                      <w:color w:val="auto"/>
                      <w:lang w:val="en-US" w:eastAsia="zh-CN"/>
                    </w:rPr>
                    <w:t>已建成</w:t>
                  </w:r>
                </w:p>
              </w:tc>
            </w:tr>
            <w:tr w14:paraId="1C483E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38" w:type="pct"/>
                  <w:vMerge w:val="continue"/>
                  <w:vAlign w:val="center"/>
                </w:tcPr>
                <w:p w14:paraId="71C8AC48">
                  <w:pPr>
                    <w:pStyle w:val="50"/>
                    <w:jc w:val="center"/>
                    <w:rPr>
                      <w:color w:val="auto"/>
                    </w:rPr>
                  </w:pPr>
                </w:p>
              </w:tc>
              <w:tc>
                <w:tcPr>
                  <w:tcW w:w="483" w:type="pct"/>
                  <w:vMerge w:val="continue"/>
                  <w:vAlign w:val="center"/>
                </w:tcPr>
                <w:p w14:paraId="2968372C">
                  <w:pPr>
                    <w:pStyle w:val="50"/>
                    <w:jc w:val="center"/>
                    <w:rPr>
                      <w:color w:val="auto"/>
                    </w:rPr>
                  </w:pPr>
                </w:p>
              </w:tc>
              <w:tc>
                <w:tcPr>
                  <w:tcW w:w="549" w:type="pct"/>
                  <w:vAlign w:val="center"/>
                </w:tcPr>
                <w:p w14:paraId="019A47BB">
                  <w:pPr>
                    <w:pStyle w:val="50"/>
                    <w:jc w:val="center"/>
                    <w:rPr>
                      <w:color w:val="auto"/>
                    </w:rPr>
                  </w:pPr>
                  <w:r>
                    <w:rPr>
                      <w:color w:val="auto"/>
                    </w:rPr>
                    <w:t>金属边角料</w:t>
                  </w:r>
                </w:p>
              </w:tc>
              <w:tc>
                <w:tcPr>
                  <w:tcW w:w="3063" w:type="pct"/>
                  <w:vAlign w:val="center"/>
                </w:tcPr>
                <w:p w14:paraId="2833F8EE">
                  <w:pPr>
                    <w:pStyle w:val="50"/>
                    <w:jc w:val="center"/>
                    <w:rPr>
                      <w:color w:val="auto"/>
                    </w:rPr>
                  </w:pPr>
                  <w:r>
                    <w:rPr>
                      <w:color w:val="auto"/>
                    </w:rPr>
                    <w:t>收集后暂存于一般固废暂存间，定期外售。</w:t>
                  </w:r>
                </w:p>
              </w:tc>
              <w:tc>
                <w:tcPr>
                  <w:tcW w:w="465" w:type="pct"/>
                  <w:vAlign w:val="center"/>
                </w:tcPr>
                <w:p w14:paraId="4F68BEB4">
                  <w:pPr>
                    <w:pStyle w:val="50"/>
                    <w:jc w:val="center"/>
                    <w:rPr>
                      <w:color w:val="auto"/>
                    </w:rPr>
                  </w:pPr>
                  <w:r>
                    <w:rPr>
                      <w:rFonts w:hint="eastAsia"/>
                      <w:color w:val="auto"/>
                      <w:lang w:val="en-US" w:eastAsia="zh-CN"/>
                    </w:rPr>
                    <w:t>已建成</w:t>
                  </w:r>
                </w:p>
              </w:tc>
            </w:tr>
            <w:tr w14:paraId="75A642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38" w:type="pct"/>
                  <w:vMerge w:val="continue"/>
                  <w:vAlign w:val="center"/>
                </w:tcPr>
                <w:p w14:paraId="1C6318D5">
                  <w:pPr>
                    <w:pStyle w:val="50"/>
                    <w:jc w:val="center"/>
                    <w:rPr>
                      <w:color w:val="auto"/>
                    </w:rPr>
                  </w:pPr>
                </w:p>
              </w:tc>
              <w:tc>
                <w:tcPr>
                  <w:tcW w:w="483" w:type="pct"/>
                  <w:vMerge w:val="continue"/>
                  <w:vAlign w:val="center"/>
                </w:tcPr>
                <w:p w14:paraId="24A134E9">
                  <w:pPr>
                    <w:pStyle w:val="50"/>
                    <w:jc w:val="center"/>
                    <w:rPr>
                      <w:color w:val="auto"/>
                    </w:rPr>
                  </w:pPr>
                </w:p>
              </w:tc>
              <w:tc>
                <w:tcPr>
                  <w:tcW w:w="549" w:type="pct"/>
                  <w:vAlign w:val="center"/>
                </w:tcPr>
                <w:p w14:paraId="336C87CF">
                  <w:pPr>
                    <w:pStyle w:val="50"/>
                    <w:jc w:val="center"/>
                    <w:rPr>
                      <w:color w:val="auto"/>
                    </w:rPr>
                  </w:pPr>
                  <w:r>
                    <w:rPr>
                      <w:color w:val="auto"/>
                    </w:rPr>
                    <w:t>水泥浆</w:t>
                  </w:r>
                </w:p>
              </w:tc>
              <w:tc>
                <w:tcPr>
                  <w:tcW w:w="3063" w:type="pct"/>
                  <w:vAlign w:val="center"/>
                </w:tcPr>
                <w:p w14:paraId="27B0FF19">
                  <w:pPr>
                    <w:pStyle w:val="50"/>
                    <w:jc w:val="center"/>
                    <w:rPr>
                      <w:color w:val="auto"/>
                    </w:rPr>
                  </w:pPr>
                  <w:r>
                    <w:rPr>
                      <w:color w:val="auto"/>
                    </w:rPr>
                    <w:t>收集后暂存于一般固废暂存间，外售附近砖厂。</w:t>
                  </w:r>
                </w:p>
              </w:tc>
              <w:tc>
                <w:tcPr>
                  <w:tcW w:w="465" w:type="pct"/>
                  <w:vAlign w:val="center"/>
                </w:tcPr>
                <w:p w14:paraId="73A2CA93">
                  <w:pPr>
                    <w:pStyle w:val="50"/>
                    <w:jc w:val="center"/>
                    <w:rPr>
                      <w:color w:val="auto"/>
                    </w:rPr>
                  </w:pPr>
                  <w:r>
                    <w:rPr>
                      <w:rFonts w:hint="eastAsia"/>
                      <w:color w:val="auto"/>
                      <w:lang w:val="en-US" w:eastAsia="zh-CN"/>
                    </w:rPr>
                    <w:t>已建成</w:t>
                  </w:r>
                </w:p>
              </w:tc>
            </w:tr>
            <w:tr w14:paraId="504649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38" w:type="pct"/>
                  <w:vMerge w:val="continue"/>
                  <w:vAlign w:val="center"/>
                </w:tcPr>
                <w:p w14:paraId="7B919FB3">
                  <w:pPr>
                    <w:pStyle w:val="50"/>
                    <w:jc w:val="center"/>
                    <w:rPr>
                      <w:color w:val="auto"/>
                    </w:rPr>
                  </w:pPr>
                </w:p>
              </w:tc>
              <w:tc>
                <w:tcPr>
                  <w:tcW w:w="483" w:type="pct"/>
                  <w:vMerge w:val="continue"/>
                  <w:vAlign w:val="center"/>
                </w:tcPr>
                <w:p w14:paraId="58FF087A">
                  <w:pPr>
                    <w:pStyle w:val="50"/>
                    <w:jc w:val="center"/>
                    <w:rPr>
                      <w:color w:val="auto"/>
                    </w:rPr>
                  </w:pPr>
                </w:p>
              </w:tc>
              <w:tc>
                <w:tcPr>
                  <w:tcW w:w="549" w:type="pct"/>
                  <w:vAlign w:val="center"/>
                </w:tcPr>
                <w:p w14:paraId="718B5702">
                  <w:pPr>
                    <w:pStyle w:val="50"/>
                    <w:jc w:val="center"/>
                    <w:rPr>
                      <w:color w:val="auto"/>
                    </w:rPr>
                  </w:pPr>
                  <w:r>
                    <w:rPr>
                      <w:color w:val="auto"/>
                    </w:rPr>
                    <w:t>除尘灰</w:t>
                  </w:r>
                </w:p>
              </w:tc>
              <w:tc>
                <w:tcPr>
                  <w:tcW w:w="3063" w:type="pct"/>
                  <w:vAlign w:val="center"/>
                </w:tcPr>
                <w:p w14:paraId="2D994DA3">
                  <w:pPr>
                    <w:pStyle w:val="50"/>
                    <w:jc w:val="center"/>
                    <w:rPr>
                      <w:color w:val="auto"/>
                    </w:rPr>
                  </w:pPr>
                  <w:r>
                    <w:rPr>
                      <w:color w:val="auto"/>
                    </w:rPr>
                    <w:t>经收集后回用于生产，不外排。</w:t>
                  </w:r>
                </w:p>
              </w:tc>
              <w:tc>
                <w:tcPr>
                  <w:tcW w:w="465" w:type="pct"/>
                  <w:vAlign w:val="center"/>
                </w:tcPr>
                <w:p w14:paraId="10110D8B">
                  <w:pPr>
                    <w:pStyle w:val="50"/>
                    <w:jc w:val="center"/>
                    <w:rPr>
                      <w:color w:val="auto"/>
                    </w:rPr>
                  </w:pPr>
                  <w:r>
                    <w:rPr>
                      <w:rFonts w:hint="eastAsia"/>
                      <w:color w:val="auto"/>
                      <w:lang w:val="en-US" w:eastAsia="zh-CN"/>
                    </w:rPr>
                    <w:t>已建成</w:t>
                  </w:r>
                </w:p>
              </w:tc>
            </w:tr>
            <w:tr w14:paraId="7E7A58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38" w:type="pct"/>
                  <w:vMerge w:val="continue"/>
                  <w:vAlign w:val="center"/>
                </w:tcPr>
                <w:p w14:paraId="430C8B5B">
                  <w:pPr>
                    <w:pStyle w:val="50"/>
                    <w:jc w:val="center"/>
                    <w:rPr>
                      <w:color w:val="auto"/>
                    </w:rPr>
                  </w:pPr>
                </w:p>
              </w:tc>
              <w:tc>
                <w:tcPr>
                  <w:tcW w:w="483" w:type="pct"/>
                  <w:vMerge w:val="continue"/>
                  <w:vAlign w:val="center"/>
                </w:tcPr>
                <w:p w14:paraId="054EBDD4">
                  <w:pPr>
                    <w:pStyle w:val="50"/>
                    <w:jc w:val="center"/>
                    <w:rPr>
                      <w:color w:val="auto"/>
                    </w:rPr>
                  </w:pPr>
                </w:p>
              </w:tc>
              <w:tc>
                <w:tcPr>
                  <w:tcW w:w="549" w:type="pct"/>
                  <w:vAlign w:val="center"/>
                </w:tcPr>
                <w:p w14:paraId="7239086E">
                  <w:pPr>
                    <w:pStyle w:val="50"/>
                    <w:jc w:val="center"/>
                    <w:rPr>
                      <w:color w:val="auto"/>
                    </w:rPr>
                  </w:pPr>
                  <w:r>
                    <w:rPr>
                      <w:color w:val="auto"/>
                    </w:rPr>
                    <w:t>废包装袋</w:t>
                  </w:r>
                </w:p>
              </w:tc>
              <w:tc>
                <w:tcPr>
                  <w:tcW w:w="3063" w:type="pct"/>
                  <w:vAlign w:val="center"/>
                </w:tcPr>
                <w:p w14:paraId="1094A674">
                  <w:pPr>
                    <w:pStyle w:val="50"/>
                    <w:jc w:val="center"/>
                    <w:rPr>
                      <w:color w:val="auto"/>
                    </w:rPr>
                  </w:pPr>
                  <w:r>
                    <w:rPr>
                      <w:color w:val="auto"/>
                    </w:rPr>
                    <w:t>收集后暂存于一般固废暂存间，定期外售。</w:t>
                  </w:r>
                </w:p>
              </w:tc>
              <w:tc>
                <w:tcPr>
                  <w:tcW w:w="465" w:type="pct"/>
                  <w:vAlign w:val="center"/>
                </w:tcPr>
                <w:p w14:paraId="3FA7DC34">
                  <w:pPr>
                    <w:pStyle w:val="50"/>
                    <w:jc w:val="center"/>
                    <w:rPr>
                      <w:color w:val="auto"/>
                    </w:rPr>
                  </w:pPr>
                  <w:r>
                    <w:rPr>
                      <w:rFonts w:hint="eastAsia"/>
                      <w:color w:val="auto"/>
                      <w:lang w:val="en-US" w:eastAsia="zh-CN"/>
                    </w:rPr>
                    <w:t>已建成</w:t>
                  </w:r>
                </w:p>
              </w:tc>
            </w:tr>
            <w:tr w14:paraId="0561CF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38" w:type="pct"/>
                  <w:vMerge w:val="continue"/>
                  <w:vAlign w:val="center"/>
                </w:tcPr>
                <w:p w14:paraId="6AE023D5">
                  <w:pPr>
                    <w:pStyle w:val="50"/>
                    <w:jc w:val="center"/>
                    <w:rPr>
                      <w:color w:val="auto"/>
                    </w:rPr>
                  </w:pPr>
                </w:p>
              </w:tc>
              <w:tc>
                <w:tcPr>
                  <w:tcW w:w="483" w:type="pct"/>
                  <w:vMerge w:val="continue"/>
                  <w:vAlign w:val="center"/>
                </w:tcPr>
                <w:p w14:paraId="14CFD070">
                  <w:pPr>
                    <w:pStyle w:val="50"/>
                    <w:jc w:val="center"/>
                    <w:rPr>
                      <w:color w:val="auto"/>
                    </w:rPr>
                  </w:pPr>
                </w:p>
              </w:tc>
              <w:tc>
                <w:tcPr>
                  <w:tcW w:w="549" w:type="pct"/>
                  <w:vAlign w:val="center"/>
                </w:tcPr>
                <w:p w14:paraId="41B01364">
                  <w:pPr>
                    <w:pStyle w:val="50"/>
                    <w:jc w:val="center"/>
                    <w:rPr>
                      <w:color w:val="auto"/>
                    </w:rPr>
                  </w:pPr>
                  <w:r>
                    <w:rPr>
                      <w:color w:val="auto"/>
                    </w:rPr>
                    <w:t>废包装桶</w:t>
                  </w:r>
                </w:p>
              </w:tc>
              <w:tc>
                <w:tcPr>
                  <w:tcW w:w="3063" w:type="pct"/>
                  <w:vAlign w:val="center"/>
                </w:tcPr>
                <w:p w14:paraId="15134CD5">
                  <w:pPr>
                    <w:pStyle w:val="50"/>
                    <w:jc w:val="center"/>
                    <w:rPr>
                      <w:color w:val="auto"/>
                    </w:rPr>
                  </w:pPr>
                  <w:r>
                    <w:rPr>
                      <w:color w:val="auto"/>
                    </w:rPr>
                    <w:t>收集后暂存于一般固废暂存间，交由厂家回收利用。</w:t>
                  </w:r>
                </w:p>
              </w:tc>
              <w:tc>
                <w:tcPr>
                  <w:tcW w:w="465" w:type="pct"/>
                  <w:vAlign w:val="center"/>
                </w:tcPr>
                <w:p w14:paraId="4B7A8460">
                  <w:pPr>
                    <w:pStyle w:val="50"/>
                    <w:jc w:val="center"/>
                    <w:rPr>
                      <w:color w:val="auto"/>
                    </w:rPr>
                  </w:pPr>
                  <w:r>
                    <w:rPr>
                      <w:rFonts w:hint="eastAsia"/>
                      <w:color w:val="auto"/>
                      <w:lang w:val="en-US" w:eastAsia="zh-CN"/>
                    </w:rPr>
                    <w:t>已建成</w:t>
                  </w:r>
                </w:p>
              </w:tc>
            </w:tr>
            <w:tr w14:paraId="5790AB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38" w:type="pct"/>
                  <w:vMerge w:val="continue"/>
                  <w:vAlign w:val="center"/>
                </w:tcPr>
                <w:p w14:paraId="6F9CDE52">
                  <w:pPr>
                    <w:pStyle w:val="50"/>
                    <w:jc w:val="center"/>
                    <w:rPr>
                      <w:color w:val="auto"/>
                    </w:rPr>
                  </w:pPr>
                </w:p>
              </w:tc>
              <w:tc>
                <w:tcPr>
                  <w:tcW w:w="483" w:type="pct"/>
                  <w:vMerge w:val="continue"/>
                  <w:vAlign w:val="center"/>
                </w:tcPr>
                <w:p w14:paraId="6BA2E4ED">
                  <w:pPr>
                    <w:pStyle w:val="50"/>
                    <w:jc w:val="center"/>
                    <w:rPr>
                      <w:color w:val="auto"/>
                    </w:rPr>
                  </w:pPr>
                </w:p>
              </w:tc>
              <w:tc>
                <w:tcPr>
                  <w:tcW w:w="549" w:type="pct"/>
                  <w:vAlign w:val="center"/>
                </w:tcPr>
                <w:p w14:paraId="37771073">
                  <w:pPr>
                    <w:pStyle w:val="50"/>
                    <w:jc w:val="center"/>
                    <w:rPr>
                      <w:color w:val="auto"/>
                    </w:rPr>
                  </w:pPr>
                  <w:r>
                    <w:rPr>
                      <w:color w:val="auto"/>
                    </w:rPr>
                    <w:t>生活垃圾</w:t>
                  </w:r>
                </w:p>
              </w:tc>
              <w:tc>
                <w:tcPr>
                  <w:tcW w:w="3063" w:type="pct"/>
                  <w:vAlign w:val="center"/>
                </w:tcPr>
                <w:p w14:paraId="7D34F061">
                  <w:pPr>
                    <w:pStyle w:val="50"/>
                    <w:jc w:val="center"/>
                    <w:rPr>
                      <w:color w:val="auto"/>
                    </w:rPr>
                  </w:pPr>
                  <w:r>
                    <w:rPr>
                      <w:color w:val="auto"/>
                    </w:rPr>
                    <w:t>设垃圾桶收集，委托环卫部门定期清运，不外排。</w:t>
                  </w:r>
                </w:p>
              </w:tc>
              <w:tc>
                <w:tcPr>
                  <w:tcW w:w="465" w:type="pct"/>
                  <w:vAlign w:val="center"/>
                </w:tcPr>
                <w:p w14:paraId="15F93B0E">
                  <w:pPr>
                    <w:pStyle w:val="50"/>
                    <w:jc w:val="center"/>
                    <w:rPr>
                      <w:color w:val="auto"/>
                    </w:rPr>
                  </w:pPr>
                  <w:r>
                    <w:rPr>
                      <w:rFonts w:hint="eastAsia"/>
                      <w:color w:val="auto"/>
                      <w:lang w:val="en-US" w:eastAsia="zh-CN"/>
                    </w:rPr>
                    <w:t>已建成</w:t>
                  </w:r>
                </w:p>
              </w:tc>
            </w:tr>
            <w:tr w14:paraId="53E0B2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38" w:type="pct"/>
                  <w:vMerge w:val="continue"/>
                  <w:vAlign w:val="center"/>
                </w:tcPr>
                <w:p w14:paraId="40AB8D72">
                  <w:pPr>
                    <w:pStyle w:val="50"/>
                    <w:jc w:val="center"/>
                    <w:rPr>
                      <w:color w:val="auto"/>
                    </w:rPr>
                  </w:pPr>
                </w:p>
              </w:tc>
              <w:tc>
                <w:tcPr>
                  <w:tcW w:w="483" w:type="pct"/>
                  <w:vMerge w:val="continue"/>
                  <w:vAlign w:val="center"/>
                </w:tcPr>
                <w:p w14:paraId="5798ED7E">
                  <w:pPr>
                    <w:pStyle w:val="50"/>
                    <w:jc w:val="center"/>
                    <w:rPr>
                      <w:color w:val="auto"/>
                    </w:rPr>
                  </w:pPr>
                </w:p>
              </w:tc>
              <w:tc>
                <w:tcPr>
                  <w:tcW w:w="549" w:type="pct"/>
                  <w:vAlign w:val="center"/>
                </w:tcPr>
                <w:p w14:paraId="1D8851D7">
                  <w:pPr>
                    <w:pStyle w:val="50"/>
                    <w:jc w:val="center"/>
                    <w:rPr>
                      <w:color w:val="auto"/>
                    </w:rPr>
                  </w:pPr>
                  <w:r>
                    <w:rPr>
                      <w:color w:val="auto"/>
                    </w:rPr>
                    <w:t>废焊接烟尘净化器滤芯</w:t>
                  </w:r>
                </w:p>
              </w:tc>
              <w:tc>
                <w:tcPr>
                  <w:tcW w:w="3063" w:type="pct"/>
                  <w:vAlign w:val="center"/>
                </w:tcPr>
                <w:p w14:paraId="5749A3C7">
                  <w:pPr>
                    <w:pStyle w:val="50"/>
                    <w:jc w:val="center"/>
                    <w:rPr>
                      <w:color w:val="auto"/>
                    </w:rPr>
                  </w:pPr>
                  <w:r>
                    <w:rPr>
                      <w:color w:val="auto"/>
                    </w:rPr>
                    <w:t>属于一般工业固体废物，定期更换后暂存于一般固废暂存间，由厂家回收综合利用。</w:t>
                  </w:r>
                </w:p>
              </w:tc>
              <w:tc>
                <w:tcPr>
                  <w:tcW w:w="465" w:type="pct"/>
                  <w:vAlign w:val="center"/>
                </w:tcPr>
                <w:p w14:paraId="37C0488A">
                  <w:pPr>
                    <w:pStyle w:val="50"/>
                    <w:jc w:val="center"/>
                    <w:rPr>
                      <w:color w:val="auto"/>
                    </w:rPr>
                  </w:pPr>
                  <w:r>
                    <w:rPr>
                      <w:rFonts w:hint="eastAsia"/>
                      <w:color w:val="auto"/>
                      <w:lang w:val="en-US" w:eastAsia="zh-CN"/>
                    </w:rPr>
                    <w:t>已建成</w:t>
                  </w:r>
                </w:p>
              </w:tc>
            </w:tr>
            <w:tr w14:paraId="65B114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38" w:type="pct"/>
                  <w:vMerge w:val="continue"/>
                  <w:vAlign w:val="center"/>
                </w:tcPr>
                <w:p w14:paraId="7A696FB8">
                  <w:pPr>
                    <w:pStyle w:val="50"/>
                    <w:jc w:val="center"/>
                    <w:rPr>
                      <w:color w:val="auto"/>
                    </w:rPr>
                  </w:pPr>
                </w:p>
              </w:tc>
              <w:tc>
                <w:tcPr>
                  <w:tcW w:w="483" w:type="pct"/>
                  <w:vMerge w:val="continue"/>
                  <w:vAlign w:val="center"/>
                </w:tcPr>
                <w:p w14:paraId="719EAFCF">
                  <w:pPr>
                    <w:pStyle w:val="50"/>
                    <w:jc w:val="center"/>
                    <w:rPr>
                      <w:color w:val="auto"/>
                    </w:rPr>
                  </w:pPr>
                </w:p>
              </w:tc>
              <w:tc>
                <w:tcPr>
                  <w:tcW w:w="549" w:type="pct"/>
                  <w:vAlign w:val="center"/>
                </w:tcPr>
                <w:p w14:paraId="0568C4EF">
                  <w:pPr>
                    <w:pStyle w:val="50"/>
                    <w:jc w:val="center"/>
                    <w:rPr>
                      <w:color w:val="auto"/>
                    </w:rPr>
                  </w:pPr>
                  <w:r>
                    <w:rPr>
                      <w:color w:val="auto"/>
                    </w:rPr>
                    <w:t>废机油</w:t>
                  </w:r>
                </w:p>
              </w:tc>
              <w:tc>
                <w:tcPr>
                  <w:tcW w:w="3063" w:type="pct"/>
                  <w:vAlign w:val="center"/>
                </w:tcPr>
                <w:p w14:paraId="12D8FFF2">
                  <w:pPr>
                    <w:pStyle w:val="50"/>
                    <w:jc w:val="center"/>
                    <w:rPr>
                      <w:color w:val="auto"/>
                    </w:rPr>
                  </w:pPr>
                  <w:r>
                    <w:rPr>
                      <w:color w:val="auto"/>
                    </w:rPr>
                    <w:t>密闭油桶收集后暂存于危废暂存间，定期委托有资质单位处理处置。</w:t>
                  </w:r>
                </w:p>
              </w:tc>
              <w:tc>
                <w:tcPr>
                  <w:tcW w:w="465" w:type="pct"/>
                  <w:vAlign w:val="center"/>
                </w:tcPr>
                <w:p w14:paraId="711ECB04">
                  <w:pPr>
                    <w:pStyle w:val="50"/>
                    <w:jc w:val="center"/>
                    <w:rPr>
                      <w:color w:val="auto"/>
                    </w:rPr>
                  </w:pPr>
                  <w:r>
                    <w:rPr>
                      <w:rFonts w:hint="eastAsia"/>
                      <w:color w:val="auto"/>
                      <w:lang w:val="en-US" w:eastAsia="zh-CN"/>
                    </w:rPr>
                    <w:t>已建成</w:t>
                  </w:r>
                </w:p>
              </w:tc>
            </w:tr>
            <w:tr w14:paraId="22C75D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38" w:type="pct"/>
                  <w:vMerge w:val="continue"/>
                  <w:vAlign w:val="center"/>
                </w:tcPr>
                <w:p w14:paraId="1023C291">
                  <w:pPr>
                    <w:pStyle w:val="50"/>
                    <w:jc w:val="center"/>
                    <w:rPr>
                      <w:color w:val="auto"/>
                    </w:rPr>
                  </w:pPr>
                </w:p>
              </w:tc>
              <w:tc>
                <w:tcPr>
                  <w:tcW w:w="483" w:type="pct"/>
                  <w:vMerge w:val="continue"/>
                  <w:vAlign w:val="center"/>
                </w:tcPr>
                <w:p w14:paraId="6489CE4D">
                  <w:pPr>
                    <w:pStyle w:val="50"/>
                    <w:jc w:val="center"/>
                    <w:rPr>
                      <w:color w:val="auto"/>
                    </w:rPr>
                  </w:pPr>
                </w:p>
              </w:tc>
              <w:tc>
                <w:tcPr>
                  <w:tcW w:w="549" w:type="pct"/>
                  <w:vAlign w:val="center"/>
                </w:tcPr>
                <w:p w14:paraId="7BD9AB7E">
                  <w:pPr>
                    <w:pStyle w:val="50"/>
                    <w:jc w:val="center"/>
                    <w:rPr>
                      <w:rFonts w:hint="default" w:eastAsia="宋体"/>
                      <w:color w:val="auto"/>
                      <w:lang w:val="en-US" w:eastAsia="zh-CN"/>
                    </w:rPr>
                  </w:pPr>
                  <w:r>
                    <w:rPr>
                      <w:rFonts w:hint="eastAsia"/>
                      <w:color w:val="auto"/>
                      <w:lang w:val="en-US" w:eastAsia="zh-CN"/>
                    </w:rPr>
                    <w:t>废含油抹布</w:t>
                  </w:r>
                </w:p>
              </w:tc>
              <w:tc>
                <w:tcPr>
                  <w:tcW w:w="3063" w:type="pct"/>
                  <w:vAlign w:val="center"/>
                </w:tcPr>
                <w:p w14:paraId="52D4E057">
                  <w:pPr>
                    <w:pStyle w:val="50"/>
                    <w:jc w:val="center"/>
                    <w:rPr>
                      <w:color w:val="auto"/>
                    </w:rPr>
                  </w:pPr>
                  <w:r>
                    <w:rPr>
                      <w:rFonts w:hint="eastAsia"/>
                      <w:color w:val="auto"/>
                      <w:lang w:val="en-US" w:eastAsia="zh-CN"/>
                    </w:rPr>
                    <w:t>容器</w:t>
                  </w:r>
                  <w:r>
                    <w:rPr>
                      <w:color w:val="auto"/>
                    </w:rPr>
                    <w:t>收集后暂存于危废暂存间，定期委托有资质单位处理处置。</w:t>
                  </w:r>
                </w:p>
              </w:tc>
              <w:tc>
                <w:tcPr>
                  <w:tcW w:w="465" w:type="pct"/>
                  <w:vAlign w:val="center"/>
                </w:tcPr>
                <w:p w14:paraId="04E2E602">
                  <w:pPr>
                    <w:pStyle w:val="50"/>
                    <w:jc w:val="center"/>
                    <w:rPr>
                      <w:rFonts w:hint="eastAsia" w:eastAsia="宋体"/>
                      <w:color w:val="auto"/>
                      <w:lang w:val="en-US" w:eastAsia="zh-CN"/>
                    </w:rPr>
                  </w:pPr>
                  <w:r>
                    <w:rPr>
                      <w:rFonts w:hint="eastAsia"/>
                      <w:color w:val="auto"/>
                      <w:lang w:val="en-US" w:eastAsia="zh-CN"/>
                    </w:rPr>
                    <w:t>已建成</w:t>
                  </w:r>
                </w:p>
              </w:tc>
            </w:tr>
            <w:bookmarkEnd w:id="2"/>
          </w:tbl>
          <w:p w14:paraId="3DC506A8">
            <w:pPr>
              <w:ind w:left="0" w:leftChars="0" w:firstLine="0" w:firstLineChars="0"/>
              <w:rPr>
                <w:rFonts w:cs="Times New Roman"/>
                <w:b/>
                <w:bCs/>
                <w:color w:val="auto"/>
                <w:highlight w:val="none"/>
              </w:rPr>
            </w:pPr>
            <w:r>
              <w:rPr>
                <w:rFonts w:cs="Times New Roman"/>
                <w:b/>
                <w:bCs/>
                <w:color w:val="auto"/>
                <w:highlight w:val="none"/>
              </w:rPr>
              <w:t>2、主要生产设备</w:t>
            </w:r>
          </w:p>
          <w:p w14:paraId="02A2C0C5">
            <w:pPr>
              <w:spacing w:line="360" w:lineRule="auto"/>
              <w:ind w:firstLine="480"/>
              <w:rPr>
                <w:rFonts w:cs="Times New Roman"/>
                <w:color w:val="auto"/>
                <w:highlight w:val="none"/>
              </w:rPr>
            </w:pPr>
            <w:r>
              <w:rPr>
                <w:rFonts w:cs="Times New Roman"/>
                <w:color w:val="auto"/>
                <w:highlight w:val="none"/>
              </w:rPr>
              <w:t>本项目主要生产设备见表2-4。</w:t>
            </w:r>
          </w:p>
          <w:p w14:paraId="56CFBAFD">
            <w:pPr>
              <w:pStyle w:val="36"/>
              <w:spacing w:line="360" w:lineRule="auto"/>
              <w:rPr>
                <w:rFonts w:cs="Times New Roman"/>
                <w:color w:val="auto"/>
                <w:sz w:val="24"/>
                <w:szCs w:val="28"/>
                <w:highlight w:val="none"/>
              </w:rPr>
            </w:pPr>
            <w:r>
              <w:rPr>
                <w:rFonts w:cs="Times New Roman"/>
                <w:color w:val="auto"/>
                <w:sz w:val="24"/>
                <w:szCs w:val="28"/>
                <w:highlight w:val="none"/>
              </w:rPr>
              <w:t>表2-4  主要设备一览表</w:t>
            </w:r>
          </w:p>
          <w:tbl>
            <w:tblPr>
              <w:tblStyle w:val="28"/>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773"/>
              <w:gridCol w:w="1773"/>
              <w:gridCol w:w="1775"/>
            </w:tblGrid>
            <w:tr w14:paraId="572D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vAlign w:val="center"/>
                </w:tcPr>
                <w:p w14:paraId="5531BB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color w:val="auto"/>
                      <w:sz w:val="21"/>
                      <w:szCs w:val="21"/>
                      <w:vertAlign w:val="baseline"/>
                      <w:lang w:val="en-US" w:eastAsia="zh-CN"/>
                    </w:rPr>
                  </w:pPr>
                  <w:r>
                    <w:rPr>
                      <w:rFonts w:hint="eastAsia" w:cs="Times New Roman"/>
                      <w:b/>
                      <w:color w:val="auto"/>
                      <w:sz w:val="21"/>
                      <w:szCs w:val="21"/>
                      <w:vertAlign w:val="baseline"/>
                      <w:lang w:val="en-US" w:eastAsia="zh-CN"/>
                    </w:rPr>
                    <w:t>序号</w:t>
                  </w:r>
                </w:p>
              </w:tc>
              <w:tc>
                <w:tcPr>
                  <w:tcW w:w="1773" w:type="dxa"/>
                  <w:vAlign w:val="center"/>
                </w:tcPr>
                <w:p w14:paraId="6D19F1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color w:val="auto"/>
                      <w:sz w:val="21"/>
                      <w:szCs w:val="21"/>
                      <w:vertAlign w:val="baseline"/>
                      <w:lang w:val="en-US" w:eastAsia="zh-CN"/>
                    </w:rPr>
                  </w:pPr>
                  <w:r>
                    <w:rPr>
                      <w:rFonts w:hint="eastAsia" w:cs="Times New Roman"/>
                      <w:b/>
                      <w:color w:val="auto"/>
                      <w:sz w:val="21"/>
                      <w:szCs w:val="21"/>
                      <w:vertAlign w:val="baseline"/>
                      <w:lang w:val="en-US" w:eastAsia="zh-CN"/>
                    </w:rPr>
                    <w:t>名称</w:t>
                  </w:r>
                </w:p>
              </w:tc>
              <w:tc>
                <w:tcPr>
                  <w:tcW w:w="1773" w:type="dxa"/>
                  <w:vAlign w:val="center"/>
                </w:tcPr>
                <w:p w14:paraId="22397B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color w:val="auto"/>
                      <w:sz w:val="21"/>
                      <w:szCs w:val="21"/>
                      <w:vertAlign w:val="baseline"/>
                      <w:lang w:val="en-US" w:eastAsia="zh-CN"/>
                    </w:rPr>
                  </w:pPr>
                  <w:r>
                    <w:rPr>
                      <w:rFonts w:hint="eastAsia" w:cs="Times New Roman"/>
                      <w:b/>
                      <w:color w:val="auto"/>
                      <w:sz w:val="21"/>
                      <w:szCs w:val="21"/>
                      <w:vertAlign w:val="baseline"/>
                      <w:lang w:val="en-US" w:eastAsia="zh-CN"/>
                    </w:rPr>
                    <w:t>单位</w:t>
                  </w:r>
                </w:p>
              </w:tc>
              <w:tc>
                <w:tcPr>
                  <w:tcW w:w="1775" w:type="dxa"/>
                  <w:vAlign w:val="center"/>
                </w:tcPr>
                <w:p w14:paraId="4F6584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color w:val="auto"/>
                      <w:sz w:val="21"/>
                      <w:szCs w:val="21"/>
                      <w:vertAlign w:val="baseline"/>
                      <w:lang w:val="en-US" w:eastAsia="zh-CN"/>
                    </w:rPr>
                  </w:pPr>
                  <w:r>
                    <w:rPr>
                      <w:rFonts w:hint="eastAsia" w:cs="Times New Roman"/>
                      <w:b/>
                      <w:color w:val="auto"/>
                      <w:sz w:val="21"/>
                      <w:szCs w:val="21"/>
                      <w:vertAlign w:val="baseline"/>
                      <w:lang w:val="en-US" w:eastAsia="zh-CN"/>
                    </w:rPr>
                    <w:t>数量</w:t>
                  </w:r>
                </w:p>
              </w:tc>
            </w:tr>
            <w:tr w14:paraId="4523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vAlign w:val="center"/>
                </w:tcPr>
                <w:p w14:paraId="09E44A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w:t>
                  </w:r>
                </w:p>
              </w:tc>
              <w:tc>
                <w:tcPr>
                  <w:tcW w:w="1773" w:type="dxa"/>
                  <w:vAlign w:val="center"/>
                </w:tcPr>
                <w:p w14:paraId="0FD25A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750搅拌机</w:t>
                  </w:r>
                </w:p>
              </w:tc>
              <w:tc>
                <w:tcPr>
                  <w:tcW w:w="1773" w:type="dxa"/>
                  <w:vAlign w:val="center"/>
                </w:tcPr>
                <w:p w14:paraId="71B371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套</w:t>
                  </w:r>
                </w:p>
              </w:tc>
              <w:tc>
                <w:tcPr>
                  <w:tcW w:w="1775" w:type="dxa"/>
                  <w:vAlign w:val="center"/>
                </w:tcPr>
                <w:p w14:paraId="0C87A9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w:t>
                  </w:r>
                </w:p>
              </w:tc>
            </w:tr>
            <w:tr w14:paraId="79D4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vAlign w:val="center"/>
                </w:tcPr>
                <w:p w14:paraId="0CD202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w:t>
                  </w:r>
                </w:p>
              </w:tc>
              <w:tc>
                <w:tcPr>
                  <w:tcW w:w="1773" w:type="dxa"/>
                  <w:vAlign w:val="center"/>
                </w:tcPr>
                <w:p w14:paraId="390ED2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龙门吊</w:t>
                  </w:r>
                </w:p>
              </w:tc>
              <w:tc>
                <w:tcPr>
                  <w:tcW w:w="1773" w:type="dxa"/>
                  <w:vAlign w:val="center"/>
                </w:tcPr>
                <w:p w14:paraId="750AB1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套</w:t>
                  </w:r>
                </w:p>
              </w:tc>
              <w:tc>
                <w:tcPr>
                  <w:tcW w:w="1775" w:type="dxa"/>
                  <w:vAlign w:val="center"/>
                </w:tcPr>
                <w:p w14:paraId="1952FB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3</w:t>
                  </w:r>
                </w:p>
              </w:tc>
            </w:tr>
            <w:tr w14:paraId="6370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vAlign w:val="center"/>
                </w:tcPr>
                <w:p w14:paraId="527394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3</w:t>
                  </w:r>
                </w:p>
              </w:tc>
              <w:tc>
                <w:tcPr>
                  <w:tcW w:w="1773" w:type="dxa"/>
                  <w:vAlign w:val="center"/>
                </w:tcPr>
                <w:p w14:paraId="7F3EB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混凝土搅拌站</w:t>
                  </w:r>
                </w:p>
              </w:tc>
              <w:tc>
                <w:tcPr>
                  <w:tcW w:w="1773" w:type="dxa"/>
                  <w:vAlign w:val="center"/>
                </w:tcPr>
                <w:p w14:paraId="0BCDCF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套</w:t>
                  </w:r>
                </w:p>
              </w:tc>
              <w:tc>
                <w:tcPr>
                  <w:tcW w:w="1775" w:type="dxa"/>
                  <w:vAlign w:val="center"/>
                </w:tcPr>
                <w:p w14:paraId="202452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w:t>
                  </w:r>
                </w:p>
              </w:tc>
            </w:tr>
            <w:tr w14:paraId="2794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vAlign w:val="center"/>
                </w:tcPr>
                <w:p w14:paraId="19651B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4</w:t>
                  </w:r>
                </w:p>
              </w:tc>
              <w:tc>
                <w:tcPr>
                  <w:tcW w:w="1773" w:type="dxa"/>
                  <w:vAlign w:val="center"/>
                </w:tcPr>
                <w:p w14:paraId="0CBB7B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铲车</w:t>
                  </w:r>
                </w:p>
              </w:tc>
              <w:tc>
                <w:tcPr>
                  <w:tcW w:w="1773" w:type="dxa"/>
                  <w:vAlign w:val="center"/>
                </w:tcPr>
                <w:p w14:paraId="1AA3F3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辆</w:t>
                  </w:r>
                </w:p>
              </w:tc>
              <w:tc>
                <w:tcPr>
                  <w:tcW w:w="1775" w:type="dxa"/>
                  <w:vAlign w:val="center"/>
                </w:tcPr>
                <w:p w14:paraId="207A8C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w:t>
                  </w:r>
                </w:p>
              </w:tc>
            </w:tr>
            <w:tr w14:paraId="4BFF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vAlign w:val="center"/>
                </w:tcPr>
                <w:p w14:paraId="3A0F23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5</w:t>
                  </w:r>
                </w:p>
              </w:tc>
              <w:tc>
                <w:tcPr>
                  <w:tcW w:w="1773" w:type="dxa"/>
                  <w:vAlign w:val="center"/>
                </w:tcPr>
                <w:p w14:paraId="2D7341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地磅</w:t>
                  </w:r>
                </w:p>
              </w:tc>
              <w:tc>
                <w:tcPr>
                  <w:tcW w:w="1773" w:type="dxa"/>
                  <w:vAlign w:val="center"/>
                </w:tcPr>
                <w:p w14:paraId="4C0482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套</w:t>
                  </w:r>
                </w:p>
              </w:tc>
              <w:tc>
                <w:tcPr>
                  <w:tcW w:w="1775" w:type="dxa"/>
                  <w:vAlign w:val="center"/>
                </w:tcPr>
                <w:p w14:paraId="09E299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w:t>
                  </w:r>
                </w:p>
              </w:tc>
            </w:tr>
            <w:tr w14:paraId="04CD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vAlign w:val="center"/>
                </w:tcPr>
                <w:p w14:paraId="5E7008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6</w:t>
                  </w:r>
                </w:p>
              </w:tc>
              <w:tc>
                <w:tcPr>
                  <w:tcW w:w="1773" w:type="dxa"/>
                  <w:vAlign w:val="center"/>
                </w:tcPr>
                <w:p w14:paraId="70F1DD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钢筋切割设备</w:t>
                  </w:r>
                </w:p>
              </w:tc>
              <w:tc>
                <w:tcPr>
                  <w:tcW w:w="1773" w:type="dxa"/>
                  <w:vAlign w:val="center"/>
                </w:tcPr>
                <w:p w14:paraId="378D9C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套</w:t>
                  </w:r>
                </w:p>
              </w:tc>
              <w:tc>
                <w:tcPr>
                  <w:tcW w:w="1775" w:type="dxa"/>
                  <w:vAlign w:val="center"/>
                </w:tcPr>
                <w:p w14:paraId="4EE6CF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6</w:t>
                  </w:r>
                </w:p>
              </w:tc>
            </w:tr>
            <w:tr w14:paraId="1B54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vAlign w:val="center"/>
                </w:tcPr>
                <w:p w14:paraId="2C7014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7</w:t>
                  </w:r>
                </w:p>
              </w:tc>
              <w:tc>
                <w:tcPr>
                  <w:tcW w:w="1773" w:type="dxa"/>
                  <w:vAlign w:val="center"/>
                </w:tcPr>
                <w:p w14:paraId="5881EA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焊接设备</w:t>
                  </w:r>
                </w:p>
              </w:tc>
              <w:tc>
                <w:tcPr>
                  <w:tcW w:w="1773" w:type="dxa"/>
                  <w:vAlign w:val="center"/>
                </w:tcPr>
                <w:p w14:paraId="4D41A6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套</w:t>
                  </w:r>
                </w:p>
              </w:tc>
              <w:tc>
                <w:tcPr>
                  <w:tcW w:w="1775" w:type="dxa"/>
                  <w:vAlign w:val="center"/>
                </w:tcPr>
                <w:p w14:paraId="0EB7A8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5</w:t>
                  </w:r>
                </w:p>
              </w:tc>
            </w:tr>
            <w:tr w14:paraId="2AE8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vAlign w:val="center"/>
                </w:tcPr>
                <w:p w14:paraId="4F95FF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8</w:t>
                  </w:r>
                </w:p>
              </w:tc>
              <w:tc>
                <w:tcPr>
                  <w:tcW w:w="1773" w:type="dxa"/>
                  <w:vAlign w:val="center"/>
                </w:tcPr>
                <w:p w14:paraId="391FE4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钢构模具</w:t>
                  </w:r>
                </w:p>
              </w:tc>
              <w:tc>
                <w:tcPr>
                  <w:tcW w:w="1773" w:type="dxa"/>
                  <w:vAlign w:val="center"/>
                </w:tcPr>
                <w:p w14:paraId="6A0E51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套</w:t>
                  </w:r>
                </w:p>
              </w:tc>
              <w:tc>
                <w:tcPr>
                  <w:tcW w:w="1775" w:type="dxa"/>
                  <w:vAlign w:val="center"/>
                </w:tcPr>
                <w:p w14:paraId="45CC7A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40</w:t>
                  </w:r>
                </w:p>
              </w:tc>
            </w:tr>
            <w:tr w14:paraId="097C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vAlign w:val="center"/>
                </w:tcPr>
                <w:p w14:paraId="61D637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9</w:t>
                  </w:r>
                </w:p>
              </w:tc>
              <w:tc>
                <w:tcPr>
                  <w:tcW w:w="1773" w:type="dxa"/>
                  <w:vAlign w:val="center"/>
                </w:tcPr>
                <w:p w14:paraId="7564B5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浇筑模具</w:t>
                  </w:r>
                </w:p>
              </w:tc>
              <w:tc>
                <w:tcPr>
                  <w:tcW w:w="1773" w:type="dxa"/>
                  <w:vAlign w:val="center"/>
                </w:tcPr>
                <w:p w14:paraId="3282E2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套</w:t>
                  </w:r>
                </w:p>
              </w:tc>
              <w:tc>
                <w:tcPr>
                  <w:tcW w:w="1775" w:type="dxa"/>
                  <w:vAlign w:val="center"/>
                </w:tcPr>
                <w:p w14:paraId="337B4F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20</w:t>
                  </w:r>
                </w:p>
              </w:tc>
            </w:tr>
          </w:tbl>
          <w:p w14:paraId="183C50B7">
            <w:pPr>
              <w:ind w:left="0" w:leftChars="0" w:firstLine="0" w:firstLineChars="0"/>
              <w:rPr>
                <w:rFonts w:hint="default" w:eastAsia="宋体" w:cs="Times New Roman"/>
                <w:color w:val="auto"/>
                <w:lang w:val="en-US" w:eastAsia="zh-CN"/>
              </w:rPr>
            </w:pPr>
            <w:r>
              <w:rPr>
                <w:rFonts w:cs="Times New Roman"/>
                <w:b/>
                <w:color w:val="auto"/>
              </w:rPr>
              <w:t>3、原辅材料及能源消耗</w:t>
            </w:r>
            <w:r>
              <w:rPr>
                <w:rFonts w:hint="eastAsia" w:cs="Times New Roman"/>
                <w:b/>
                <w:color w:val="auto"/>
                <w:lang w:val="en-US" w:eastAsia="zh-CN"/>
              </w:rPr>
              <w:t xml:space="preserve"> </w:t>
            </w:r>
          </w:p>
          <w:p w14:paraId="0919CD1F">
            <w:pPr>
              <w:ind w:firstLine="480"/>
              <w:rPr>
                <w:rFonts w:cs="Times New Roman"/>
                <w:bCs/>
                <w:color w:val="auto"/>
              </w:rPr>
            </w:pPr>
            <w:r>
              <w:rPr>
                <w:rFonts w:cs="Times New Roman"/>
                <w:bCs/>
                <w:color w:val="auto"/>
              </w:rPr>
              <w:t>原辅材料及能源消耗情况见下表2-5。</w:t>
            </w:r>
          </w:p>
          <w:p w14:paraId="635CEC94">
            <w:pPr>
              <w:pStyle w:val="36"/>
              <w:rPr>
                <w:rFonts w:cs="Times New Roman"/>
                <w:color w:val="auto"/>
              </w:rPr>
            </w:pPr>
            <w:r>
              <w:rPr>
                <w:rFonts w:cs="Times New Roman"/>
                <w:color w:val="auto"/>
              </w:rPr>
              <w:t>表2-5  原辅材料及能源消耗一览表</w:t>
            </w:r>
          </w:p>
          <w:tbl>
            <w:tblPr>
              <w:tblStyle w:val="27"/>
              <w:tblW w:w="474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77"/>
              <w:gridCol w:w="1104"/>
              <w:gridCol w:w="1050"/>
              <w:gridCol w:w="1267"/>
              <w:gridCol w:w="1007"/>
              <w:gridCol w:w="1230"/>
            </w:tblGrid>
            <w:tr w14:paraId="24E338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470" w:type="pct"/>
                  <w:vAlign w:val="center"/>
                </w:tcPr>
                <w:p w14:paraId="0F4B7F9F">
                  <w:pPr>
                    <w:pStyle w:val="50"/>
                    <w:jc w:val="center"/>
                    <w:rPr>
                      <w:b/>
                      <w:bCs/>
                      <w:color w:val="auto"/>
                    </w:rPr>
                  </w:pPr>
                  <w:r>
                    <w:rPr>
                      <w:b/>
                      <w:bCs/>
                      <w:color w:val="auto"/>
                    </w:rPr>
                    <w:t>序号</w:t>
                  </w:r>
                </w:p>
              </w:tc>
              <w:tc>
                <w:tcPr>
                  <w:tcW w:w="546" w:type="pct"/>
                  <w:vAlign w:val="center"/>
                </w:tcPr>
                <w:p w14:paraId="5EB7E4A7">
                  <w:pPr>
                    <w:pStyle w:val="50"/>
                    <w:jc w:val="center"/>
                    <w:rPr>
                      <w:b/>
                      <w:bCs/>
                      <w:color w:val="auto"/>
                    </w:rPr>
                  </w:pPr>
                  <w:r>
                    <w:rPr>
                      <w:b/>
                      <w:bCs/>
                      <w:color w:val="auto"/>
                    </w:rPr>
                    <w:t>物料名称</w:t>
                  </w:r>
                </w:p>
              </w:tc>
              <w:tc>
                <w:tcPr>
                  <w:tcW w:w="777" w:type="pct"/>
                  <w:vAlign w:val="center"/>
                </w:tcPr>
                <w:p w14:paraId="0C2E6262">
                  <w:pPr>
                    <w:pStyle w:val="50"/>
                    <w:jc w:val="center"/>
                    <w:rPr>
                      <w:b/>
                      <w:bCs/>
                      <w:color w:val="auto"/>
                    </w:rPr>
                  </w:pPr>
                  <w:r>
                    <w:rPr>
                      <w:b/>
                      <w:bCs/>
                      <w:color w:val="auto"/>
                    </w:rPr>
                    <w:t>年用量t/a</w:t>
                  </w:r>
                </w:p>
              </w:tc>
              <w:tc>
                <w:tcPr>
                  <w:tcW w:w="739" w:type="pct"/>
                  <w:vAlign w:val="center"/>
                </w:tcPr>
                <w:p w14:paraId="1E00DBF4">
                  <w:pPr>
                    <w:pStyle w:val="50"/>
                    <w:jc w:val="center"/>
                    <w:rPr>
                      <w:b/>
                      <w:bCs/>
                      <w:color w:val="auto"/>
                    </w:rPr>
                  </w:pPr>
                  <w:r>
                    <w:rPr>
                      <w:b/>
                      <w:bCs/>
                      <w:color w:val="auto"/>
                    </w:rPr>
                    <w:t>厂区最大储存量t/a</w:t>
                  </w:r>
                </w:p>
              </w:tc>
              <w:tc>
                <w:tcPr>
                  <w:tcW w:w="891" w:type="pct"/>
                  <w:vAlign w:val="center"/>
                </w:tcPr>
                <w:p w14:paraId="2E905524">
                  <w:pPr>
                    <w:pStyle w:val="50"/>
                    <w:jc w:val="center"/>
                    <w:rPr>
                      <w:b/>
                      <w:bCs/>
                      <w:color w:val="auto"/>
                    </w:rPr>
                  </w:pPr>
                  <w:r>
                    <w:rPr>
                      <w:b/>
                      <w:bCs/>
                      <w:color w:val="auto"/>
                    </w:rPr>
                    <w:t>储存位置</w:t>
                  </w:r>
                </w:p>
              </w:tc>
              <w:tc>
                <w:tcPr>
                  <w:tcW w:w="708" w:type="pct"/>
                  <w:vAlign w:val="center"/>
                </w:tcPr>
                <w:p w14:paraId="73BCF234">
                  <w:pPr>
                    <w:pStyle w:val="50"/>
                    <w:jc w:val="center"/>
                    <w:rPr>
                      <w:b/>
                      <w:bCs/>
                      <w:color w:val="auto"/>
                    </w:rPr>
                  </w:pPr>
                  <w:r>
                    <w:rPr>
                      <w:b/>
                      <w:bCs/>
                      <w:color w:val="auto"/>
                    </w:rPr>
                    <w:t>来源</w:t>
                  </w:r>
                </w:p>
              </w:tc>
              <w:tc>
                <w:tcPr>
                  <w:tcW w:w="865" w:type="pct"/>
                  <w:vAlign w:val="center"/>
                </w:tcPr>
                <w:p w14:paraId="161AE85C">
                  <w:pPr>
                    <w:pStyle w:val="50"/>
                    <w:jc w:val="center"/>
                    <w:rPr>
                      <w:b/>
                      <w:bCs/>
                      <w:color w:val="auto"/>
                    </w:rPr>
                  </w:pPr>
                  <w:r>
                    <w:rPr>
                      <w:b/>
                      <w:bCs/>
                      <w:color w:val="auto"/>
                    </w:rPr>
                    <w:t>备注</w:t>
                  </w:r>
                </w:p>
              </w:tc>
            </w:tr>
            <w:tr w14:paraId="2DE3E5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017" w:type="pct"/>
                  <w:gridSpan w:val="2"/>
                  <w:vAlign w:val="center"/>
                </w:tcPr>
                <w:p w14:paraId="1EEDF8FD">
                  <w:pPr>
                    <w:pStyle w:val="50"/>
                    <w:jc w:val="center"/>
                    <w:rPr>
                      <w:color w:val="auto"/>
                    </w:rPr>
                  </w:pPr>
                  <w:r>
                    <w:rPr>
                      <w:color w:val="auto"/>
                    </w:rPr>
                    <w:t>一</w:t>
                  </w:r>
                </w:p>
              </w:tc>
              <w:tc>
                <w:tcPr>
                  <w:tcW w:w="3982" w:type="pct"/>
                  <w:gridSpan w:val="5"/>
                  <w:vAlign w:val="center"/>
                </w:tcPr>
                <w:p w14:paraId="14632A8F">
                  <w:pPr>
                    <w:pStyle w:val="50"/>
                    <w:jc w:val="center"/>
                    <w:rPr>
                      <w:color w:val="auto"/>
                    </w:rPr>
                  </w:pPr>
                  <w:r>
                    <w:rPr>
                      <w:color w:val="auto"/>
                    </w:rPr>
                    <w:t>原材料消耗</w:t>
                  </w:r>
                </w:p>
              </w:tc>
            </w:tr>
            <w:tr w14:paraId="2D4C46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470" w:type="pct"/>
                  <w:vAlign w:val="center"/>
                </w:tcPr>
                <w:p w14:paraId="3A17A90C">
                  <w:pPr>
                    <w:pStyle w:val="50"/>
                    <w:jc w:val="center"/>
                    <w:rPr>
                      <w:color w:val="auto"/>
                    </w:rPr>
                  </w:pPr>
                  <w:r>
                    <w:rPr>
                      <w:color w:val="auto"/>
                    </w:rPr>
                    <w:t>1</w:t>
                  </w:r>
                </w:p>
              </w:tc>
              <w:tc>
                <w:tcPr>
                  <w:tcW w:w="546" w:type="pct"/>
                  <w:vAlign w:val="center"/>
                </w:tcPr>
                <w:p w14:paraId="3CBF67FB">
                  <w:pPr>
                    <w:pStyle w:val="50"/>
                    <w:jc w:val="center"/>
                    <w:rPr>
                      <w:color w:val="auto"/>
                    </w:rPr>
                  </w:pPr>
                  <w:r>
                    <w:rPr>
                      <w:color w:val="auto"/>
                    </w:rPr>
                    <w:t>水泥</w:t>
                  </w:r>
                </w:p>
              </w:tc>
              <w:tc>
                <w:tcPr>
                  <w:tcW w:w="777" w:type="pct"/>
                  <w:vAlign w:val="center"/>
                </w:tcPr>
                <w:p w14:paraId="58E8DB6C">
                  <w:pPr>
                    <w:pStyle w:val="50"/>
                    <w:jc w:val="center"/>
                    <w:rPr>
                      <w:rFonts w:hint="default" w:eastAsia="宋体"/>
                      <w:color w:val="auto"/>
                      <w:highlight w:val="none"/>
                      <w:lang w:val="en-US" w:eastAsia="zh-CN"/>
                    </w:rPr>
                  </w:pPr>
                  <w:r>
                    <w:rPr>
                      <w:rFonts w:hint="eastAsia"/>
                      <w:color w:val="auto"/>
                      <w:highlight w:val="none"/>
                      <w:lang w:val="en-US" w:eastAsia="zh-CN"/>
                    </w:rPr>
                    <w:t>3000</w:t>
                  </w:r>
                </w:p>
              </w:tc>
              <w:tc>
                <w:tcPr>
                  <w:tcW w:w="739" w:type="pct"/>
                  <w:vAlign w:val="center"/>
                </w:tcPr>
                <w:p w14:paraId="3062372A">
                  <w:pPr>
                    <w:pStyle w:val="50"/>
                    <w:jc w:val="center"/>
                    <w:rPr>
                      <w:color w:val="auto"/>
                    </w:rPr>
                  </w:pPr>
                  <w:r>
                    <w:rPr>
                      <w:color w:val="auto"/>
                    </w:rPr>
                    <w:t>200</w:t>
                  </w:r>
                </w:p>
              </w:tc>
              <w:tc>
                <w:tcPr>
                  <w:tcW w:w="891" w:type="pct"/>
                  <w:vAlign w:val="center"/>
                </w:tcPr>
                <w:p w14:paraId="188BD7F6">
                  <w:pPr>
                    <w:pStyle w:val="50"/>
                    <w:jc w:val="center"/>
                    <w:rPr>
                      <w:color w:val="auto"/>
                    </w:rPr>
                  </w:pPr>
                  <w:r>
                    <w:rPr>
                      <w:color w:val="auto"/>
                    </w:rPr>
                    <w:t>水泥粉料仓</w:t>
                  </w:r>
                </w:p>
              </w:tc>
              <w:tc>
                <w:tcPr>
                  <w:tcW w:w="708" w:type="pct"/>
                  <w:vAlign w:val="center"/>
                </w:tcPr>
                <w:p w14:paraId="775E1CB9">
                  <w:pPr>
                    <w:pStyle w:val="50"/>
                    <w:jc w:val="center"/>
                    <w:rPr>
                      <w:color w:val="auto"/>
                    </w:rPr>
                  </w:pPr>
                  <w:r>
                    <w:rPr>
                      <w:color w:val="auto"/>
                    </w:rPr>
                    <w:t>外购</w:t>
                  </w:r>
                </w:p>
              </w:tc>
              <w:tc>
                <w:tcPr>
                  <w:tcW w:w="865" w:type="pct"/>
                  <w:vAlign w:val="center"/>
                </w:tcPr>
                <w:p w14:paraId="3C42D3C3">
                  <w:pPr>
                    <w:pStyle w:val="50"/>
                    <w:jc w:val="center"/>
                    <w:rPr>
                      <w:color w:val="auto"/>
                    </w:rPr>
                  </w:pPr>
                  <w:r>
                    <w:rPr>
                      <w:color w:val="auto"/>
                    </w:rPr>
                    <w:t>P.II52.5</w:t>
                  </w:r>
                </w:p>
              </w:tc>
            </w:tr>
            <w:tr w14:paraId="6E5EBF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470" w:type="pct"/>
                  <w:vAlign w:val="center"/>
                </w:tcPr>
                <w:p w14:paraId="081E2024">
                  <w:pPr>
                    <w:pStyle w:val="50"/>
                    <w:jc w:val="center"/>
                    <w:rPr>
                      <w:color w:val="auto"/>
                    </w:rPr>
                  </w:pPr>
                  <w:r>
                    <w:rPr>
                      <w:color w:val="auto"/>
                    </w:rPr>
                    <w:t>2</w:t>
                  </w:r>
                </w:p>
              </w:tc>
              <w:tc>
                <w:tcPr>
                  <w:tcW w:w="546" w:type="pct"/>
                  <w:vAlign w:val="center"/>
                </w:tcPr>
                <w:p w14:paraId="207DA569">
                  <w:pPr>
                    <w:pStyle w:val="50"/>
                    <w:jc w:val="center"/>
                    <w:rPr>
                      <w:color w:val="auto"/>
                    </w:rPr>
                  </w:pPr>
                  <w:r>
                    <w:rPr>
                      <w:color w:val="auto"/>
                    </w:rPr>
                    <w:t>砂</w:t>
                  </w:r>
                </w:p>
              </w:tc>
              <w:tc>
                <w:tcPr>
                  <w:tcW w:w="777" w:type="pct"/>
                  <w:vAlign w:val="center"/>
                </w:tcPr>
                <w:p w14:paraId="003D05FC">
                  <w:pPr>
                    <w:pStyle w:val="50"/>
                    <w:jc w:val="center"/>
                    <w:rPr>
                      <w:rFonts w:hint="default" w:eastAsia="宋体"/>
                      <w:color w:val="auto"/>
                      <w:highlight w:val="none"/>
                      <w:lang w:val="en-US" w:eastAsia="zh-CN"/>
                    </w:rPr>
                  </w:pPr>
                  <w:r>
                    <w:rPr>
                      <w:rFonts w:hint="eastAsia"/>
                      <w:color w:val="auto"/>
                      <w:highlight w:val="none"/>
                      <w:lang w:val="en-US" w:eastAsia="zh-CN"/>
                    </w:rPr>
                    <w:t>6000</w:t>
                  </w:r>
                </w:p>
              </w:tc>
              <w:tc>
                <w:tcPr>
                  <w:tcW w:w="739" w:type="pct"/>
                  <w:vAlign w:val="center"/>
                </w:tcPr>
                <w:p w14:paraId="77B9114F">
                  <w:pPr>
                    <w:pStyle w:val="50"/>
                    <w:jc w:val="center"/>
                    <w:rPr>
                      <w:color w:val="auto"/>
                    </w:rPr>
                  </w:pPr>
                  <w:r>
                    <w:rPr>
                      <w:color w:val="auto"/>
                    </w:rPr>
                    <w:t>200</w:t>
                  </w:r>
                </w:p>
              </w:tc>
              <w:tc>
                <w:tcPr>
                  <w:tcW w:w="891" w:type="pct"/>
                  <w:vAlign w:val="center"/>
                </w:tcPr>
                <w:p w14:paraId="11BD9370">
                  <w:pPr>
                    <w:pStyle w:val="50"/>
                    <w:jc w:val="center"/>
                    <w:rPr>
                      <w:rFonts w:hint="eastAsia" w:eastAsia="宋体"/>
                      <w:color w:val="auto"/>
                      <w:lang w:eastAsia="zh-CN"/>
                    </w:rPr>
                  </w:pPr>
                  <w:r>
                    <w:rPr>
                      <w:rFonts w:hint="eastAsia"/>
                      <w:color w:val="auto"/>
                      <w:lang w:val="en-US" w:eastAsia="zh-CN"/>
                    </w:rPr>
                    <w:t>原料仓</w:t>
                  </w:r>
                </w:p>
              </w:tc>
              <w:tc>
                <w:tcPr>
                  <w:tcW w:w="708" w:type="pct"/>
                  <w:vAlign w:val="center"/>
                </w:tcPr>
                <w:p w14:paraId="50E86E32">
                  <w:pPr>
                    <w:pStyle w:val="50"/>
                    <w:jc w:val="center"/>
                    <w:rPr>
                      <w:color w:val="auto"/>
                    </w:rPr>
                  </w:pPr>
                  <w:r>
                    <w:rPr>
                      <w:color w:val="auto"/>
                    </w:rPr>
                    <w:t>外购</w:t>
                  </w:r>
                </w:p>
              </w:tc>
              <w:tc>
                <w:tcPr>
                  <w:tcW w:w="865" w:type="pct"/>
                  <w:vAlign w:val="center"/>
                </w:tcPr>
                <w:p w14:paraId="2E043B4D">
                  <w:pPr>
                    <w:pStyle w:val="50"/>
                    <w:jc w:val="center"/>
                    <w:rPr>
                      <w:rFonts w:hint="default" w:eastAsia="宋体"/>
                      <w:color w:val="auto"/>
                      <w:lang w:val="en-US" w:eastAsia="zh-CN"/>
                    </w:rPr>
                  </w:pPr>
                  <w:r>
                    <w:rPr>
                      <w:rFonts w:hint="eastAsia"/>
                      <w:color w:val="auto"/>
                      <w:lang w:val="en-US" w:eastAsia="zh-CN"/>
                    </w:rPr>
                    <w:t>/</w:t>
                  </w:r>
                </w:p>
              </w:tc>
            </w:tr>
            <w:tr w14:paraId="120389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470" w:type="pct"/>
                  <w:vAlign w:val="center"/>
                </w:tcPr>
                <w:p w14:paraId="04786522">
                  <w:pPr>
                    <w:pStyle w:val="50"/>
                    <w:jc w:val="center"/>
                    <w:rPr>
                      <w:color w:val="auto"/>
                    </w:rPr>
                  </w:pPr>
                  <w:r>
                    <w:rPr>
                      <w:color w:val="auto"/>
                    </w:rPr>
                    <w:t>3</w:t>
                  </w:r>
                </w:p>
              </w:tc>
              <w:tc>
                <w:tcPr>
                  <w:tcW w:w="546" w:type="pct"/>
                  <w:vAlign w:val="center"/>
                </w:tcPr>
                <w:p w14:paraId="2FA31F18">
                  <w:pPr>
                    <w:pStyle w:val="50"/>
                    <w:jc w:val="center"/>
                    <w:rPr>
                      <w:color w:val="auto"/>
                    </w:rPr>
                  </w:pPr>
                  <w:r>
                    <w:rPr>
                      <w:color w:val="auto"/>
                    </w:rPr>
                    <w:t>石子</w:t>
                  </w:r>
                </w:p>
              </w:tc>
              <w:tc>
                <w:tcPr>
                  <w:tcW w:w="777" w:type="pct"/>
                  <w:vAlign w:val="center"/>
                </w:tcPr>
                <w:p w14:paraId="3830A88F">
                  <w:pPr>
                    <w:pStyle w:val="50"/>
                    <w:jc w:val="center"/>
                    <w:rPr>
                      <w:rFonts w:hint="default" w:eastAsia="宋体"/>
                      <w:color w:val="auto"/>
                      <w:highlight w:val="none"/>
                      <w:lang w:val="en-US" w:eastAsia="zh-CN"/>
                    </w:rPr>
                  </w:pPr>
                  <w:r>
                    <w:rPr>
                      <w:rFonts w:hint="eastAsia"/>
                      <w:color w:val="auto"/>
                      <w:highlight w:val="none"/>
                      <w:lang w:val="en-US" w:eastAsia="zh-CN"/>
                    </w:rPr>
                    <w:t>10000</w:t>
                  </w:r>
                </w:p>
              </w:tc>
              <w:tc>
                <w:tcPr>
                  <w:tcW w:w="739" w:type="pct"/>
                  <w:vAlign w:val="center"/>
                </w:tcPr>
                <w:p w14:paraId="500C79EE">
                  <w:pPr>
                    <w:pStyle w:val="50"/>
                    <w:jc w:val="center"/>
                    <w:rPr>
                      <w:color w:val="auto"/>
                    </w:rPr>
                  </w:pPr>
                  <w:r>
                    <w:rPr>
                      <w:color w:val="auto"/>
                    </w:rPr>
                    <w:t>200</w:t>
                  </w:r>
                </w:p>
              </w:tc>
              <w:tc>
                <w:tcPr>
                  <w:tcW w:w="891" w:type="pct"/>
                  <w:vAlign w:val="center"/>
                </w:tcPr>
                <w:p w14:paraId="6D4C2BC2">
                  <w:pPr>
                    <w:pStyle w:val="50"/>
                    <w:jc w:val="center"/>
                    <w:rPr>
                      <w:rFonts w:hint="eastAsia" w:eastAsia="宋体"/>
                      <w:color w:val="auto"/>
                      <w:lang w:eastAsia="zh-CN"/>
                    </w:rPr>
                  </w:pPr>
                  <w:r>
                    <w:rPr>
                      <w:rFonts w:hint="eastAsia"/>
                      <w:color w:val="auto"/>
                      <w:lang w:val="en-US" w:eastAsia="zh-CN"/>
                    </w:rPr>
                    <w:t>原料仓</w:t>
                  </w:r>
                </w:p>
              </w:tc>
              <w:tc>
                <w:tcPr>
                  <w:tcW w:w="708" w:type="pct"/>
                  <w:vAlign w:val="center"/>
                </w:tcPr>
                <w:p w14:paraId="1D3885AA">
                  <w:pPr>
                    <w:pStyle w:val="50"/>
                    <w:jc w:val="center"/>
                    <w:rPr>
                      <w:color w:val="auto"/>
                    </w:rPr>
                  </w:pPr>
                  <w:r>
                    <w:rPr>
                      <w:color w:val="auto"/>
                    </w:rPr>
                    <w:t>外购</w:t>
                  </w:r>
                </w:p>
              </w:tc>
              <w:tc>
                <w:tcPr>
                  <w:tcW w:w="865" w:type="pct"/>
                  <w:vAlign w:val="center"/>
                </w:tcPr>
                <w:p w14:paraId="23275C7E">
                  <w:pPr>
                    <w:pStyle w:val="50"/>
                    <w:jc w:val="center"/>
                    <w:rPr>
                      <w:color w:val="auto"/>
                    </w:rPr>
                  </w:pPr>
                  <w:r>
                    <w:rPr>
                      <w:color w:val="auto"/>
                    </w:rPr>
                    <w:t>9～16mm碎石</w:t>
                  </w:r>
                </w:p>
              </w:tc>
            </w:tr>
            <w:tr w14:paraId="40F27E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470" w:type="pct"/>
                  <w:vAlign w:val="center"/>
                </w:tcPr>
                <w:p w14:paraId="0A14B578">
                  <w:pPr>
                    <w:pStyle w:val="50"/>
                    <w:jc w:val="center"/>
                    <w:rPr>
                      <w:rFonts w:hint="eastAsia" w:eastAsia="宋体"/>
                      <w:color w:val="auto"/>
                      <w:lang w:eastAsia="zh-CN"/>
                    </w:rPr>
                  </w:pPr>
                  <w:r>
                    <w:rPr>
                      <w:rFonts w:hint="eastAsia"/>
                      <w:color w:val="auto"/>
                      <w:lang w:val="en-US" w:eastAsia="zh-CN"/>
                    </w:rPr>
                    <w:t>4</w:t>
                  </w:r>
                </w:p>
              </w:tc>
              <w:tc>
                <w:tcPr>
                  <w:tcW w:w="546" w:type="pct"/>
                  <w:vAlign w:val="center"/>
                </w:tcPr>
                <w:p w14:paraId="19479BA7">
                  <w:pPr>
                    <w:pStyle w:val="50"/>
                    <w:jc w:val="center"/>
                    <w:rPr>
                      <w:color w:val="auto"/>
                    </w:rPr>
                  </w:pPr>
                  <w:r>
                    <w:rPr>
                      <w:color w:val="auto"/>
                    </w:rPr>
                    <w:t>外加剂</w:t>
                  </w:r>
                </w:p>
              </w:tc>
              <w:tc>
                <w:tcPr>
                  <w:tcW w:w="777" w:type="pct"/>
                  <w:vAlign w:val="center"/>
                </w:tcPr>
                <w:p w14:paraId="3D0E8B11">
                  <w:pPr>
                    <w:pStyle w:val="50"/>
                    <w:jc w:val="center"/>
                    <w:rPr>
                      <w:rFonts w:hint="default" w:eastAsia="宋体"/>
                      <w:color w:val="auto"/>
                      <w:lang w:val="en-US" w:eastAsia="zh-CN"/>
                    </w:rPr>
                  </w:pPr>
                  <w:r>
                    <w:rPr>
                      <w:rFonts w:hint="eastAsia"/>
                      <w:color w:val="auto"/>
                      <w:lang w:val="en-US" w:eastAsia="zh-CN"/>
                    </w:rPr>
                    <w:t>20</w:t>
                  </w:r>
                </w:p>
              </w:tc>
              <w:tc>
                <w:tcPr>
                  <w:tcW w:w="739" w:type="pct"/>
                  <w:vAlign w:val="center"/>
                </w:tcPr>
                <w:p w14:paraId="47A88158">
                  <w:pPr>
                    <w:pStyle w:val="50"/>
                    <w:jc w:val="center"/>
                    <w:rPr>
                      <w:color w:val="auto"/>
                    </w:rPr>
                  </w:pPr>
                  <w:r>
                    <w:rPr>
                      <w:color w:val="auto"/>
                    </w:rPr>
                    <w:t>200</w:t>
                  </w:r>
                </w:p>
              </w:tc>
              <w:tc>
                <w:tcPr>
                  <w:tcW w:w="891" w:type="pct"/>
                  <w:vAlign w:val="center"/>
                </w:tcPr>
                <w:p w14:paraId="5E21292C">
                  <w:pPr>
                    <w:pStyle w:val="50"/>
                    <w:jc w:val="center"/>
                    <w:rPr>
                      <w:rFonts w:hint="eastAsia" w:eastAsia="宋体"/>
                      <w:color w:val="auto"/>
                      <w:lang w:eastAsia="zh-CN"/>
                    </w:rPr>
                  </w:pPr>
                  <w:r>
                    <w:rPr>
                      <w:rFonts w:hint="eastAsia"/>
                      <w:color w:val="auto"/>
                      <w:lang w:val="en-US" w:eastAsia="zh-CN"/>
                    </w:rPr>
                    <w:t>原料仓</w:t>
                  </w:r>
                </w:p>
              </w:tc>
              <w:tc>
                <w:tcPr>
                  <w:tcW w:w="708" w:type="pct"/>
                  <w:vAlign w:val="center"/>
                </w:tcPr>
                <w:p w14:paraId="56BA68F7">
                  <w:pPr>
                    <w:pStyle w:val="50"/>
                    <w:jc w:val="center"/>
                    <w:rPr>
                      <w:color w:val="auto"/>
                    </w:rPr>
                  </w:pPr>
                  <w:r>
                    <w:rPr>
                      <w:color w:val="auto"/>
                    </w:rPr>
                    <w:t>外购</w:t>
                  </w:r>
                </w:p>
              </w:tc>
              <w:tc>
                <w:tcPr>
                  <w:tcW w:w="865" w:type="pct"/>
                  <w:vAlign w:val="center"/>
                </w:tcPr>
                <w:p w14:paraId="6C417E4A">
                  <w:pPr>
                    <w:pStyle w:val="50"/>
                    <w:jc w:val="center"/>
                    <w:rPr>
                      <w:color w:val="auto"/>
                    </w:rPr>
                  </w:pPr>
                  <w:r>
                    <w:rPr>
                      <w:color w:val="auto"/>
                    </w:rPr>
                    <w:t>桶装水泥减水剂</w:t>
                  </w:r>
                </w:p>
              </w:tc>
            </w:tr>
            <w:tr w14:paraId="0D5B67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470" w:type="pct"/>
                  <w:vAlign w:val="center"/>
                </w:tcPr>
                <w:p w14:paraId="42DAB5DB">
                  <w:pPr>
                    <w:pStyle w:val="50"/>
                    <w:jc w:val="center"/>
                    <w:rPr>
                      <w:rFonts w:hint="eastAsia" w:eastAsia="宋体"/>
                      <w:color w:val="auto"/>
                      <w:highlight w:val="none"/>
                      <w:lang w:eastAsia="zh-CN"/>
                    </w:rPr>
                  </w:pPr>
                  <w:r>
                    <w:rPr>
                      <w:rFonts w:hint="eastAsia"/>
                      <w:color w:val="auto"/>
                      <w:highlight w:val="none"/>
                      <w:lang w:val="en-US" w:eastAsia="zh-CN"/>
                    </w:rPr>
                    <w:t>5</w:t>
                  </w:r>
                </w:p>
              </w:tc>
              <w:tc>
                <w:tcPr>
                  <w:tcW w:w="546" w:type="pct"/>
                  <w:vAlign w:val="center"/>
                </w:tcPr>
                <w:p w14:paraId="67349B75">
                  <w:pPr>
                    <w:pStyle w:val="50"/>
                    <w:jc w:val="center"/>
                    <w:rPr>
                      <w:color w:val="auto"/>
                      <w:highlight w:val="none"/>
                    </w:rPr>
                  </w:pPr>
                  <w:r>
                    <w:rPr>
                      <w:color w:val="auto"/>
                      <w:highlight w:val="none"/>
                    </w:rPr>
                    <w:t>钢筋钢材</w:t>
                  </w:r>
                </w:p>
              </w:tc>
              <w:tc>
                <w:tcPr>
                  <w:tcW w:w="777" w:type="pct"/>
                  <w:vAlign w:val="center"/>
                </w:tcPr>
                <w:p w14:paraId="02BACE35">
                  <w:pPr>
                    <w:pStyle w:val="50"/>
                    <w:jc w:val="center"/>
                    <w:rPr>
                      <w:rFonts w:hint="default" w:eastAsia="宋体"/>
                      <w:color w:val="auto"/>
                      <w:highlight w:val="none"/>
                      <w:lang w:val="en-US" w:eastAsia="zh-CN"/>
                    </w:rPr>
                  </w:pPr>
                  <w:r>
                    <w:rPr>
                      <w:rFonts w:hint="eastAsia"/>
                      <w:color w:val="auto"/>
                      <w:highlight w:val="none"/>
                      <w:lang w:val="en-US" w:eastAsia="zh-CN"/>
                    </w:rPr>
                    <w:t>300</w:t>
                  </w:r>
                </w:p>
              </w:tc>
              <w:tc>
                <w:tcPr>
                  <w:tcW w:w="739" w:type="pct"/>
                  <w:vAlign w:val="center"/>
                </w:tcPr>
                <w:p w14:paraId="72B09A40">
                  <w:pPr>
                    <w:pStyle w:val="50"/>
                    <w:jc w:val="center"/>
                    <w:rPr>
                      <w:color w:val="auto"/>
                      <w:highlight w:val="none"/>
                    </w:rPr>
                  </w:pPr>
                  <w:r>
                    <w:rPr>
                      <w:color w:val="auto"/>
                      <w:highlight w:val="none"/>
                    </w:rPr>
                    <w:t>100</w:t>
                  </w:r>
                </w:p>
              </w:tc>
              <w:tc>
                <w:tcPr>
                  <w:tcW w:w="891" w:type="pct"/>
                  <w:vAlign w:val="center"/>
                </w:tcPr>
                <w:p w14:paraId="328DF138">
                  <w:pPr>
                    <w:pStyle w:val="50"/>
                    <w:jc w:val="center"/>
                    <w:rPr>
                      <w:rFonts w:hint="eastAsia" w:eastAsia="宋体"/>
                      <w:color w:val="auto"/>
                      <w:highlight w:val="none"/>
                      <w:lang w:eastAsia="zh-CN"/>
                    </w:rPr>
                  </w:pPr>
                  <w:r>
                    <w:rPr>
                      <w:rFonts w:hint="eastAsia"/>
                      <w:color w:val="auto"/>
                      <w:highlight w:val="none"/>
                      <w:lang w:val="en-US" w:eastAsia="zh-CN"/>
                    </w:rPr>
                    <w:t>原料仓</w:t>
                  </w:r>
                </w:p>
              </w:tc>
              <w:tc>
                <w:tcPr>
                  <w:tcW w:w="708" w:type="pct"/>
                  <w:vAlign w:val="center"/>
                </w:tcPr>
                <w:p w14:paraId="4C626C87">
                  <w:pPr>
                    <w:pStyle w:val="50"/>
                    <w:jc w:val="center"/>
                    <w:rPr>
                      <w:color w:val="auto"/>
                      <w:highlight w:val="none"/>
                    </w:rPr>
                  </w:pPr>
                  <w:r>
                    <w:rPr>
                      <w:color w:val="auto"/>
                      <w:highlight w:val="none"/>
                    </w:rPr>
                    <w:t>外购</w:t>
                  </w:r>
                </w:p>
              </w:tc>
              <w:tc>
                <w:tcPr>
                  <w:tcW w:w="865" w:type="pct"/>
                  <w:vAlign w:val="center"/>
                </w:tcPr>
                <w:p w14:paraId="10C941F4">
                  <w:pPr>
                    <w:pStyle w:val="50"/>
                    <w:jc w:val="center"/>
                    <w:rPr>
                      <w:color w:val="auto"/>
                      <w:highlight w:val="none"/>
                    </w:rPr>
                  </w:pPr>
                  <w:r>
                    <w:rPr>
                      <w:color w:val="auto"/>
                      <w:highlight w:val="none"/>
                    </w:rPr>
                    <w:t>/</w:t>
                  </w:r>
                </w:p>
              </w:tc>
            </w:tr>
            <w:tr w14:paraId="5C8DF1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470" w:type="pct"/>
                  <w:vAlign w:val="center"/>
                </w:tcPr>
                <w:p w14:paraId="1AAA02F0">
                  <w:pPr>
                    <w:pStyle w:val="50"/>
                    <w:jc w:val="center"/>
                    <w:rPr>
                      <w:rFonts w:hint="eastAsia" w:eastAsia="宋体"/>
                      <w:color w:val="auto"/>
                      <w:highlight w:val="none"/>
                      <w:lang w:val="en-US" w:eastAsia="zh-CN"/>
                    </w:rPr>
                  </w:pPr>
                  <w:r>
                    <w:rPr>
                      <w:rFonts w:hint="eastAsia"/>
                      <w:color w:val="auto"/>
                      <w:highlight w:val="none"/>
                      <w:lang w:val="en-US" w:eastAsia="zh-CN"/>
                    </w:rPr>
                    <w:t>6</w:t>
                  </w:r>
                </w:p>
              </w:tc>
              <w:tc>
                <w:tcPr>
                  <w:tcW w:w="546" w:type="pct"/>
                  <w:vAlign w:val="center"/>
                </w:tcPr>
                <w:p w14:paraId="7F579556">
                  <w:pPr>
                    <w:pStyle w:val="50"/>
                    <w:jc w:val="center"/>
                    <w:rPr>
                      <w:rFonts w:hint="eastAsia" w:eastAsia="宋体"/>
                      <w:color w:val="auto"/>
                      <w:highlight w:val="none"/>
                      <w:lang w:val="en-US" w:eastAsia="zh-CN"/>
                    </w:rPr>
                  </w:pPr>
                  <w:r>
                    <w:rPr>
                      <w:rFonts w:hint="eastAsia"/>
                      <w:color w:val="auto"/>
                      <w:highlight w:val="none"/>
                      <w:lang w:val="en-US" w:eastAsia="zh-CN"/>
                    </w:rPr>
                    <w:t>粉煤灰</w:t>
                  </w:r>
                </w:p>
              </w:tc>
              <w:tc>
                <w:tcPr>
                  <w:tcW w:w="777" w:type="pct"/>
                  <w:vAlign w:val="center"/>
                </w:tcPr>
                <w:p w14:paraId="4ECC68C3">
                  <w:pPr>
                    <w:pStyle w:val="50"/>
                    <w:jc w:val="center"/>
                    <w:rPr>
                      <w:rFonts w:hint="default"/>
                      <w:color w:val="auto"/>
                      <w:highlight w:val="none"/>
                      <w:lang w:val="en-US" w:eastAsia="zh-CN"/>
                    </w:rPr>
                  </w:pPr>
                  <w:r>
                    <w:rPr>
                      <w:rFonts w:hint="eastAsia"/>
                      <w:color w:val="auto"/>
                      <w:highlight w:val="none"/>
                      <w:lang w:val="en-US" w:eastAsia="zh-CN"/>
                    </w:rPr>
                    <w:t>500</w:t>
                  </w:r>
                </w:p>
              </w:tc>
              <w:tc>
                <w:tcPr>
                  <w:tcW w:w="739" w:type="pct"/>
                  <w:vAlign w:val="center"/>
                </w:tcPr>
                <w:p w14:paraId="1F256DC8">
                  <w:pPr>
                    <w:pStyle w:val="50"/>
                    <w:jc w:val="center"/>
                    <w:rPr>
                      <w:rFonts w:hint="default" w:eastAsia="宋体"/>
                      <w:color w:val="auto"/>
                      <w:highlight w:val="none"/>
                      <w:lang w:val="en-US" w:eastAsia="zh-CN"/>
                    </w:rPr>
                  </w:pPr>
                  <w:r>
                    <w:rPr>
                      <w:rFonts w:hint="eastAsia"/>
                      <w:color w:val="auto"/>
                      <w:highlight w:val="none"/>
                      <w:lang w:val="en-US" w:eastAsia="zh-CN"/>
                    </w:rPr>
                    <w:t>200</w:t>
                  </w:r>
                </w:p>
              </w:tc>
              <w:tc>
                <w:tcPr>
                  <w:tcW w:w="1267" w:type="dxa"/>
                  <w:vAlign w:val="center"/>
                </w:tcPr>
                <w:p w14:paraId="59FA838C">
                  <w:pPr>
                    <w:pStyle w:val="50"/>
                    <w:ind w:firstLine="0" w:firstLineChars="0"/>
                    <w:jc w:val="center"/>
                    <w:rPr>
                      <w:color w:val="auto"/>
                      <w:highlight w:val="none"/>
                    </w:rPr>
                  </w:pPr>
                  <w:r>
                    <w:rPr>
                      <w:rFonts w:hint="eastAsia"/>
                      <w:color w:val="auto"/>
                      <w:highlight w:val="none"/>
                      <w:lang w:val="en-US" w:eastAsia="zh-CN"/>
                    </w:rPr>
                    <w:t>粉煤灰</w:t>
                  </w:r>
                  <w:r>
                    <w:rPr>
                      <w:color w:val="auto"/>
                      <w:highlight w:val="none"/>
                    </w:rPr>
                    <w:t>料</w:t>
                  </w:r>
                  <w:r>
                    <w:rPr>
                      <w:rFonts w:hint="eastAsia"/>
                      <w:color w:val="auto"/>
                      <w:highlight w:val="none"/>
                      <w:lang w:val="en-US" w:eastAsia="zh-CN"/>
                    </w:rPr>
                    <w:t>筒</w:t>
                  </w:r>
                </w:p>
              </w:tc>
              <w:tc>
                <w:tcPr>
                  <w:tcW w:w="1007" w:type="dxa"/>
                  <w:vAlign w:val="center"/>
                </w:tcPr>
                <w:p w14:paraId="03393A10">
                  <w:pPr>
                    <w:pStyle w:val="50"/>
                    <w:ind w:firstLine="0" w:firstLineChars="0"/>
                    <w:jc w:val="center"/>
                    <w:rPr>
                      <w:color w:val="auto"/>
                      <w:highlight w:val="none"/>
                    </w:rPr>
                  </w:pPr>
                  <w:r>
                    <w:rPr>
                      <w:color w:val="auto"/>
                      <w:highlight w:val="none"/>
                    </w:rPr>
                    <w:t>外购</w:t>
                  </w:r>
                </w:p>
              </w:tc>
              <w:tc>
                <w:tcPr>
                  <w:tcW w:w="1230" w:type="dxa"/>
                  <w:vAlign w:val="center"/>
                </w:tcPr>
                <w:p w14:paraId="4B2E10F6">
                  <w:pPr>
                    <w:pStyle w:val="50"/>
                    <w:ind w:firstLine="0" w:firstLineChars="0"/>
                    <w:jc w:val="center"/>
                    <w:rPr>
                      <w:color w:val="auto"/>
                      <w:highlight w:val="none"/>
                    </w:rPr>
                  </w:pPr>
                  <w:r>
                    <w:rPr>
                      <w:color w:val="auto"/>
                      <w:highlight w:val="none"/>
                    </w:rPr>
                    <w:t>/</w:t>
                  </w:r>
                </w:p>
              </w:tc>
            </w:tr>
            <w:tr w14:paraId="420088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470" w:type="pct"/>
                  <w:vAlign w:val="center"/>
                </w:tcPr>
                <w:p w14:paraId="0176EAF7">
                  <w:pPr>
                    <w:pStyle w:val="50"/>
                    <w:jc w:val="center"/>
                    <w:rPr>
                      <w:rFonts w:hint="default"/>
                      <w:color w:val="auto"/>
                      <w:highlight w:val="none"/>
                      <w:lang w:val="en-US" w:eastAsia="zh-CN"/>
                    </w:rPr>
                  </w:pPr>
                  <w:r>
                    <w:rPr>
                      <w:rFonts w:hint="eastAsia"/>
                      <w:color w:val="auto"/>
                      <w:highlight w:val="none"/>
                      <w:lang w:val="en-US" w:eastAsia="zh-CN"/>
                    </w:rPr>
                    <w:t>7</w:t>
                  </w:r>
                </w:p>
              </w:tc>
              <w:tc>
                <w:tcPr>
                  <w:tcW w:w="546" w:type="pct"/>
                  <w:vAlign w:val="center"/>
                </w:tcPr>
                <w:p w14:paraId="7E20E87F">
                  <w:pPr>
                    <w:pStyle w:val="50"/>
                    <w:jc w:val="center"/>
                    <w:rPr>
                      <w:rFonts w:hint="default"/>
                      <w:color w:val="auto"/>
                      <w:highlight w:val="none"/>
                      <w:lang w:val="en-US" w:eastAsia="zh-CN"/>
                    </w:rPr>
                  </w:pPr>
                  <w:r>
                    <w:rPr>
                      <w:rFonts w:hint="eastAsia"/>
                      <w:color w:val="auto"/>
                      <w:highlight w:val="none"/>
                      <w:lang w:val="en-US" w:eastAsia="zh-CN"/>
                    </w:rPr>
                    <w:t>脱模剂</w:t>
                  </w:r>
                </w:p>
              </w:tc>
              <w:tc>
                <w:tcPr>
                  <w:tcW w:w="777" w:type="pct"/>
                  <w:vAlign w:val="center"/>
                </w:tcPr>
                <w:p w14:paraId="58F426AF">
                  <w:pPr>
                    <w:pStyle w:val="50"/>
                    <w:jc w:val="center"/>
                    <w:rPr>
                      <w:rFonts w:hint="default"/>
                      <w:color w:val="auto"/>
                      <w:highlight w:val="none"/>
                      <w:lang w:val="en-US" w:eastAsia="zh-CN"/>
                    </w:rPr>
                  </w:pPr>
                  <w:r>
                    <w:rPr>
                      <w:rFonts w:hint="eastAsia"/>
                      <w:color w:val="auto"/>
                      <w:highlight w:val="none"/>
                      <w:lang w:val="en-US" w:eastAsia="zh-CN"/>
                    </w:rPr>
                    <w:t>3.4</w:t>
                  </w:r>
                </w:p>
              </w:tc>
              <w:tc>
                <w:tcPr>
                  <w:tcW w:w="739" w:type="pct"/>
                  <w:vAlign w:val="center"/>
                </w:tcPr>
                <w:p w14:paraId="79B12D98">
                  <w:pPr>
                    <w:pStyle w:val="50"/>
                    <w:jc w:val="center"/>
                    <w:rPr>
                      <w:rFonts w:hint="default"/>
                      <w:color w:val="auto"/>
                      <w:highlight w:val="none"/>
                      <w:lang w:val="en-US" w:eastAsia="zh-CN"/>
                    </w:rPr>
                  </w:pPr>
                  <w:r>
                    <w:rPr>
                      <w:rFonts w:hint="eastAsia"/>
                      <w:color w:val="auto"/>
                      <w:highlight w:val="none"/>
                      <w:lang w:val="en-US" w:eastAsia="zh-CN"/>
                    </w:rPr>
                    <w:t>1.0</w:t>
                  </w:r>
                </w:p>
              </w:tc>
              <w:tc>
                <w:tcPr>
                  <w:tcW w:w="1267" w:type="dxa"/>
                  <w:vAlign w:val="center"/>
                </w:tcPr>
                <w:p w14:paraId="00E11C27">
                  <w:pPr>
                    <w:pStyle w:val="50"/>
                    <w:ind w:firstLine="0" w:firstLineChars="0"/>
                    <w:jc w:val="center"/>
                    <w:rPr>
                      <w:rFonts w:hint="default"/>
                      <w:color w:val="auto"/>
                      <w:highlight w:val="none"/>
                      <w:lang w:val="en-US" w:eastAsia="zh-CN"/>
                    </w:rPr>
                  </w:pPr>
                  <w:r>
                    <w:rPr>
                      <w:rFonts w:hint="eastAsia"/>
                      <w:color w:val="auto"/>
                      <w:highlight w:val="none"/>
                      <w:lang w:val="en-US" w:eastAsia="zh-CN"/>
                    </w:rPr>
                    <w:t>原料仓</w:t>
                  </w:r>
                </w:p>
              </w:tc>
              <w:tc>
                <w:tcPr>
                  <w:tcW w:w="1007" w:type="dxa"/>
                  <w:vAlign w:val="center"/>
                </w:tcPr>
                <w:p w14:paraId="2973AB3B">
                  <w:pPr>
                    <w:pStyle w:val="50"/>
                    <w:ind w:firstLine="0" w:firstLineChars="0"/>
                    <w:jc w:val="center"/>
                    <w:rPr>
                      <w:rFonts w:hint="eastAsia" w:eastAsia="宋体"/>
                      <w:color w:val="auto"/>
                      <w:highlight w:val="none"/>
                      <w:lang w:val="en-US" w:eastAsia="zh-CN"/>
                    </w:rPr>
                  </w:pPr>
                  <w:r>
                    <w:rPr>
                      <w:rFonts w:hint="eastAsia"/>
                      <w:color w:val="auto"/>
                      <w:highlight w:val="none"/>
                      <w:lang w:val="en-US" w:eastAsia="zh-CN"/>
                    </w:rPr>
                    <w:t>外购</w:t>
                  </w:r>
                </w:p>
              </w:tc>
              <w:tc>
                <w:tcPr>
                  <w:tcW w:w="1230" w:type="dxa"/>
                  <w:vAlign w:val="center"/>
                </w:tcPr>
                <w:p w14:paraId="73B432AA">
                  <w:pPr>
                    <w:pStyle w:val="50"/>
                    <w:ind w:firstLine="0" w:firstLineChars="0"/>
                    <w:jc w:val="center"/>
                    <w:rPr>
                      <w:rFonts w:hint="eastAsia" w:eastAsia="宋体"/>
                      <w:color w:val="auto"/>
                      <w:highlight w:val="none"/>
                      <w:lang w:val="en-US" w:eastAsia="zh-CN"/>
                    </w:rPr>
                  </w:pPr>
                  <w:r>
                    <w:rPr>
                      <w:rFonts w:hint="eastAsia"/>
                      <w:color w:val="auto"/>
                      <w:highlight w:val="none"/>
                      <w:lang w:val="en-US" w:eastAsia="zh-CN"/>
                    </w:rPr>
                    <w:t>/</w:t>
                  </w:r>
                </w:p>
              </w:tc>
            </w:tr>
            <w:tr w14:paraId="6DFC31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470" w:type="pct"/>
                  <w:vAlign w:val="center"/>
                </w:tcPr>
                <w:p w14:paraId="28A1B2DA">
                  <w:pPr>
                    <w:pStyle w:val="50"/>
                    <w:jc w:val="center"/>
                    <w:rPr>
                      <w:rFonts w:hint="default"/>
                      <w:color w:val="auto"/>
                      <w:highlight w:val="none"/>
                      <w:lang w:val="en-US" w:eastAsia="zh-CN"/>
                    </w:rPr>
                  </w:pPr>
                  <w:r>
                    <w:rPr>
                      <w:rFonts w:hint="eastAsia"/>
                      <w:color w:val="auto"/>
                      <w:highlight w:val="none"/>
                      <w:lang w:val="en-US" w:eastAsia="zh-CN"/>
                    </w:rPr>
                    <w:t>8</w:t>
                  </w:r>
                </w:p>
              </w:tc>
              <w:tc>
                <w:tcPr>
                  <w:tcW w:w="546" w:type="pct"/>
                  <w:vAlign w:val="center"/>
                </w:tcPr>
                <w:p w14:paraId="6A5F4503">
                  <w:pPr>
                    <w:pStyle w:val="50"/>
                    <w:jc w:val="center"/>
                    <w:rPr>
                      <w:rFonts w:hint="default"/>
                      <w:color w:val="auto"/>
                      <w:highlight w:val="none"/>
                      <w:lang w:val="en-US" w:eastAsia="zh-CN"/>
                    </w:rPr>
                  </w:pPr>
                  <w:r>
                    <w:rPr>
                      <w:rFonts w:hint="eastAsia"/>
                      <w:color w:val="auto"/>
                      <w:highlight w:val="none"/>
                      <w:lang w:val="en-US" w:eastAsia="zh-CN"/>
                    </w:rPr>
                    <w:t>减水剂</w:t>
                  </w:r>
                </w:p>
              </w:tc>
              <w:tc>
                <w:tcPr>
                  <w:tcW w:w="777" w:type="pct"/>
                  <w:vAlign w:val="center"/>
                </w:tcPr>
                <w:p w14:paraId="0857940C">
                  <w:pPr>
                    <w:pStyle w:val="50"/>
                    <w:jc w:val="center"/>
                    <w:rPr>
                      <w:rFonts w:hint="default"/>
                      <w:color w:val="auto"/>
                      <w:highlight w:val="none"/>
                      <w:lang w:val="en-US" w:eastAsia="zh-CN"/>
                    </w:rPr>
                  </w:pPr>
                  <w:r>
                    <w:rPr>
                      <w:rFonts w:hint="eastAsia"/>
                      <w:color w:val="auto"/>
                      <w:highlight w:val="none"/>
                      <w:lang w:val="en-US" w:eastAsia="zh-CN"/>
                    </w:rPr>
                    <w:t>1.0</w:t>
                  </w:r>
                </w:p>
              </w:tc>
              <w:tc>
                <w:tcPr>
                  <w:tcW w:w="739" w:type="pct"/>
                  <w:vAlign w:val="center"/>
                </w:tcPr>
                <w:p w14:paraId="288A553A">
                  <w:pPr>
                    <w:pStyle w:val="50"/>
                    <w:jc w:val="center"/>
                    <w:rPr>
                      <w:rFonts w:hint="default"/>
                      <w:color w:val="auto"/>
                      <w:highlight w:val="none"/>
                      <w:lang w:val="en-US" w:eastAsia="zh-CN"/>
                    </w:rPr>
                  </w:pPr>
                  <w:r>
                    <w:rPr>
                      <w:rFonts w:hint="eastAsia"/>
                      <w:color w:val="auto"/>
                      <w:highlight w:val="none"/>
                      <w:lang w:val="en-US" w:eastAsia="zh-CN"/>
                    </w:rPr>
                    <w:t>0.5</w:t>
                  </w:r>
                </w:p>
              </w:tc>
              <w:tc>
                <w:tcPr>
                  <w:tcW w:w="1267" w:type="dxa"/>
                  <w:vAlign w:val="center"/>
                </w:tcPr>
                <w:p w14:paraId="3EF73E32">
                  <w:pPr>
                    <w:pStyle w:val="50"/>
                    <w:ind w:firstLine="0" w:firstLineChars="0"/>
                    <w:jc w:val="center"/>
                    <w:rPr>
                      <w:rFonts w:hint="default"/>
                      <w:color w:val="auto"/>
                      <w:highlight w:val="none"/>
                      <w:lang w:val="en-US" w:eastAsia="zh-CN"/>
                    </w:rPr>
                  </w:pPr>
                  <w:r>
                    <w:rPr>
                      <w:rFonts w:hint="eastAsia"/>
                      <w:color w:val="auto"/>
                      <w:highlight w:val="none"/>
                      <w:lang w:val="en-US" w:eastAsia="zh-CN"/>
                    </w:rPr>
                    <w:t>原料仓</w:t>
                  </w:r>
                </w:p>
              </w:tc>
              <w:tc>
                <w:tcPr>
                  <w:tcW w:w="1007" w:type="dxa"/>
                  <w:vAlign w:val="center"/>
                </w:tcPr>
                <w:p w14:paraId="74C8BAB0">
                  <w:pPr>
                    <w:pStyle w:val="50"/>
                    <w:ind w:firstLine="0" w:firstLineChars="0"/>
                    <w:jc w:val="center"/>
                    <w:rPr>
                      <w:rFonts w:hint="default"/>
                      <w:color w:val="auto"/>
                      <w:highlight w:val="none"/>
                      <w:lang w:val="en-US" w:eastAsia="zh-CN"/>
                    </w:rPr>
                  </w:pPr>
                  <w:r>
                    <w:rPr>
                      <w:rFonts w:hint="eastAsia"/>
                      <w:color w:val="auto"/>
                      <w:highlight w:val="none"/>
                      <w:lang w:val="en-US" w:eastAsia="zh-CN"/>
                    </w:rPr>
                    <w:t>外购</w:t>
                  </w:r>
                </w:p>
              </w:tc>
              <w:tc>
                <w:tcPr>
                  <w:tcW w:w="1230" w:type="dxa"/>
                  <w:vAlign w:val="center"/>
                </w:tcPr>
                <w:p w14:paraId="794AF1F7">
                  <w:pPr>
                    <w:pStyle w:val="50"/>
                    <w:ind w:firstLine="0" w:firstLineChars="0"/>
                    <w:jc w:val="center"/>
                    <w:rPr>
                      <w:rFonts w:hint="default"/>
                      <w:color w:val="auto"/>
                      <w:highlight w:val="none"/>
                      <w:lang w:val="en-US" w:eastAsia="zh-CN"/>
                    </w:rPr>
                  </w:pPr>
                  <w:r>
                    <w:rPr>
                      <w:rFonts w:hint="eastAsia"/>
                      <w:color w:val="auto"/>
                      <w:highlight w:val="none"/>
                      <w:lang w:val="en-US" w:eastAsia="zh-CN"/>
                    </w:rPr>
                    <w:t>/</w:t>
                  </w:r>
                </w:p>
              </w:tc>
            </w:tr>
            <w:tr w14:paraId="6F3086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017" w:type="pct"/>
                  <w:gridSpan w:val="2"/>
                  <w:vAlign w:val="center"/>
                </w:tcPr>
                <w:p w14:paraId="780353B4">
                  <w:pPr>
                    <w:pStyle w:val="50"/>
                    <w:jc w:val="center"/>
                    <w:rPr>
                      <w:color w:val="auto"/>
                    </w:rPr>
                  </w:pPr>
                  <w:r>
                    <w:rPr>
                      <w:color w:val="auto"/>
                    </w:rPr>
                    <w:t>二</w:t>
                  </w:r>
                </w:p>
              </w:tc>
              <w:tc>
                <w:tcPr>
                  <w:tcW w:w="3982" w:type="pct"/>
                  <w:gridSpan w:val="5"/>
                  <w:vAlign w:val="center"/>
                </w:tcPr>
                <w:p w14:paraId="378CEDEF">
                  <w:pPr>
                    <w:pStyle w:val="50"/>
                    <w:jc w:val="center"/>
                    <w:rPr>
                      <w:color w:val="auto"/>
                    </w:rPr>
                  </w:pPr>
                  <w:r>
                    <w:rPr>
                      <w:color w:val="auto"/>
                    </w:rPr>
                    <w:t>能源消耗</w:t>
                  </w:r>
                </w:p>
              </w:tc>
            </w:tr>
            <w:tr w14:paraId="14DED6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470" w:type="pct"/>
                  <w:vAlign w:val="center"/>
                </w:tcPr>
                <w:p w14:paraId="5746D8C0">
                  <w:pPr>
                    <w:pStyle w:val="50"/>
                    <w:jc w:val="center"/>
                    <w:rPr>
                      <w:color w:val="auto"/>
                    </w:rPr>
                  </w:pPr>
                  <w:r>
                    <w:rPr>
                      <w:color w:val="auto"/>
                    </w:rPr>
                    <w:t>1</w:t>
                  </w:r>
                </w:p>
              </w:tc>
              <w:tc>
                <w:tcPr>
                  <w:tcW w:w="546" w:type="pct"/>
                  <w:vAlign w:val="center"/>
                </w:tcPr>
                <w:p w14:paraId="217AF62C">
                  <w:pPr>
                    <w:pStyle w:val="50"/>
                    <w:jc w:val="center"/>
                    <w:rPr>
                      <w:color w:val="auto"/>
                    </w:rPr>
                  </w:pPr>
                  <w:r>
                    <w:rPr>
                      <w:color w:val="auto"/>
                    </w:rPr>
                    <w:t>新鲜水</w:t>
                  </w:r>
                </w:p>
              </w:tc>
              <w:tc>
                <w:tcPr>
                  <w:tcW w:w="2408" w:type="pct"/>
                  <w:gridSpan w:val="3"/>
                  <w:vAlign w:val="center"/>
                </w:tcPr>
                <w:p w14:paraId="1D00AF14">
                  <w:pPr>
                    <w:pStyle w:val="50"/>
                    <w:jc w:val="center"/>
                    <w:rPr>
                      <w:color w:val="auto"/>
                    </w:rPr>
                  </w:pPr>
                  <w:r>
                    <w:rPr>
                      <w:rFonts w:hint="eastAsia"/>
                      <w:color w:val="auto"/>
                      <w:highlight w:val="none"/>
                      <w:lang w:val="en-US" w:eastAsia="zh-CN"/>
                    </w:rPr>
                    <w:t>1950</w:t>
                  </w:r>
                  <w:r>
                    <w:rPr>
                      <w:color w:val="auto"/>
                      <w:highlight w:val="none"/>
                    </w:rPr>
                    <w:t>m</w:t>
                  </w:r>
                  <w:r>
                    <w:rPr>
                      <w:color w:val="auto"/>
                      <w:highlight w:val="none"/>
                      <w:vertAlign w:val="superscript"/>
                    </w:rPr>
                    <w:t>3</w:t>
                  </w:r>
                  <w:r>
                    <w:rPr>
                      <w:color w:val="auto"/>
                      <w:highlight w:val="none"/>
                    </w:rPr>
                    <w:t>/a</w:t>
                  </w:r>
                </w:p>
              </w:tc>
              <w:tc>
                <w:tcPr>
                  <w:tcW w:w="708" w:type="pct"/>
                  <w:vAlign w:val="center"/>
                </w:tcPr>
                <w:p w14:paraId="3D91D0E3">
                  <w:pPr>
                    <w:pStyle w:val="50"/>
                    <w:jc w:val="center"/>
                    <w:rPr>
                      <w:rFonts w:hint="eastAsia" w:eastAsia="宋体"/>
                      <w:color w:val="auto"/>
                      <w:lang w:val="en-US" w:eastAsia="zh-CN"/>
                    </w:rPr>
                  </w:pPr>
                  <w:r>
                    <w:rPr>
                      <w:rFonts w:hint="eastAsia"/>
                      <w:color w:val="auto"/>
                      <w:lang w:val="en-US" w:eastAsia="zh-CN"/>
                    </w:rPr>
                    <w:t>-</w:t>
                  </w:r>
                </w:p>
              </w:tc>
              <w:tc>
                <w:tcPr>
                  <w:tcW w:w="865" w:type="pct"/>
                  <w:vAlign w:val="center"/>
                </w:tcPr>
                <w:p w14:paraId="5C0D8CFD">
                  <w:pPr>
                    <w:pStyle w:val="50"/>
                    <w:jc w:val="center"/>
                    <w:rPr>
                      <w:color w:val="auto"/>
                    </w:rPr>
                  </w:pPr>
                  <w:r>
                    <w:rPr>
                      <w:color w:val="auto"/>
                    </w:rPr>
                    <w:t>/</w:t>
                  </w:r>
                </w:p>
              </w:tc>
            </w:tr>
            <w:tr w14:paraId="05C529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470" w:type="pct"/>
                  <w:vAlign w:val="center"/>
                </w:tcPr>
                <w:p w14:paraId="7F62FF6D">
                  <w:pPr>
                    <w:pStyle w:val="50"/>
                    <w:jc w:val="center"/>
                    <w:rPr>
                      <w:color w:val="auto"/>
                    </w:rPr>
                  </w:pPr>
                  <w:r>
                    <w:rPr>
                      <w:color w:val="auto"/>
                    </w:rPr>
                    <w:t>2</w:t>
                  </w:r>
                </w:p>
              </w:tc>
              <w:tc>
                <w:tcPr>
                  <w:tcW w:w="546" w:type="pct"/>
                  <w:vAlign w:val="center"/>
                </w:tcPr>
                <w:p w14:paraId="4143CC20">
                  <w:pPr>
                    <w:pStyle w:val="50"/>
                    <w:jc w:val="center"/>
                    <w:rPr>
                      <w:color w:val="auto"/>
                    </w:rPr>
                  </w:pPr>
                  <w:r>
                    <w:rPr>
                      <w:color w:val="auto"/>
                    </w:rPr>
                    <w:t>电</w:t>
                  </w:r>
                </w:p>
              </w:tc>
              <w:tc>
                <w:tcPr>
                  <w:tcW w:w="2408" w:type="pct"/>
                  <w:gridSpan w:val="3"/>
                  <w:vAlign w:val="center"/>
                </w:tcPr>
                <w:p w14:paraId="7BFA55C9">
                  <w:pPr>
                    <w:pStyle w:val="50"/>
                    <w:jc w:val="center"/>
                    <w:rPr>
                      <w:color w:val="auto"/>
                    </w:rPr>
                  </w:pPr>
                  <w:r>
                    <w:rPr>
                      <w:rFonts w:hint="eastAsia"/>
                      <w:color w:val="auto"/>
                      <w:lang w:val="en-US" w:eastAsia="zh-CN"/>
                    </w:rPr>
                    <w:t>40000k</w:t>
                  </w:r>
                  <w:r>
                    <w:rPr>
                      <w:color w:val="auto"/>
                    </w:rPr>
                    <w:t>w·h</w:t>
                  </w:r>
                </w:p>
              </w:tc>
              <w:tc>
                <w:tcPr>
                  <w:tcW w:w="708" w:type="pct"/>
                  <w:vAlign w:val="center"/>
                </w:tcPr>
                <w:p w14:paraId="668C6A59">
                  <w:pPr>
                    <w:pStyle w:val="50"/>
                    <w:jc w:val="center"/>
                    <w:rPr>
                      <w:color w:val="auto"/>
                    </w:rPr>
                  </w:pPr>
                  <w:r>
                    <w:rPr>
                      <w:color w:val="auto"/>
                    </w:rPr>
                    <w:t>市政电网</w:t>
                  </w:r>
                </w:p>
              </w:tc>
              <w:tc>
                <w:tcPr>
                  <w:tcW w:w="865" w:type="pct"/>
                  <w:vAlign w:val="center"/>
                </w:tcPr>
                <w:p w14:paraId="57658D45">
                  <w:pPr>
                    <w:pStyle w:val="50"/>
                    <w:jc w:val="center"/>
                    <w:rPr>
                      <w:color w:val="auto"/>
                    </w:rPr>
                  </w:pPr>
                  <w:r>
                    <w:rPr>
                      <w:color w:val="auto"/>
                    </w:rPr>
                    <w:t>/</w:t>
                  </w:r>
                </w:p>
              </w:tc>
            </w:tr>
          </w:tbl>
          <w:p w14:paraId="174CBA35">
            <w:pPr>
              <w:ind w:firstLine="480"/>
              <w:rPr>
                <w:rFonts w:cs="Times New Roman"/>
                <w:color w:val="auto"/>
              </w:rPr>
            </w:pPr>
            <w:r>
              <w:rPr>
                <w:rFonts w:cs="Times New Roman"/>
                <w:color w:val="auto"/>
              </w:rPr>
              <w:t>项目</w:t>
            </w:r>
            <w:r>
              <w:rPr>
                <w:rFonts w:hint="eastAsia" w:cs="Times New Roman"/>
                <w:color w:val="auto"/>
                <w:lang w:val="en-US" w:eastAsia="zh-CN"/>
              </w:rPr>
              <w:t>辅助材料</w:t>
            </w:r>
            <w:r>
              <w:rPr>
                <w:rFonts w:cs="Times New Roman"/>
                <w:color w:val="auto"/>
              </w:rPr>
              <w:t>主要为减水剂，其主要成分如下：</w:t>
            </w:r>
          </w:p>
          <w:p w14:paraId="12186331">
            <w:pPr>
              <w:ind w:firstLine="480"/>
              <w:rPr>
                <w:rFonts w:cs="Times New Roman"/>
                <w:color w:val="auto"/>
              </w:rPr>
            </w:pPr>
            <w:r>
              <w:rPr>
                <w:rFonts w:cs="Times New Roman"/>
                <w:color w:val="auto"/>
              </w:rPr>
              <w:t>高效减水剂：粉末状混凝土添加剂，大多属于阴离子表面活性剂，有木质素磺酸盐、萘磺酸盐甲醛聚合物等。加入混凝土拌合物后对水泥颗粒有分散作用，能改善其工作性，减少单位用水量，改善混凝土拌合物的流动性；或减少单位水泥用量，节约水泥。外加剂均符合《混凝土外加剂》(GB8076) 规定要求。</w:t>
            </w:r>
          </w:p>
          <w:p w14:paraId="61CD26AE">
            <w:pPr>
              <w:ind w:left="0" w:leftChars="0" w:firstLine="0" w:firstLineChars="0"/>
              <w:rPr>
                <w:rFonts w:cs="Times New Roman"/>
                <w:b/>
                <w:bCs/>
                <w:color w:val="auto"/>
              </w:rPr>
            </w:pPr>
            <w:r>
              <w:rPr>
                <w:rFonts w:cs="Times New Roman"/>
                <w:b/>
                <w:bCs/>
                <w:color w:val="auto"/>
              </w:rPr>
              <w:t>4、劳动定员及工作制度</w:t>
            </w:r>
          </w:p>
          <w:p w14:paraId="14623546">
            <w:pPr>
              <w:ind w:firstLine="480"/>
              <w:rPr>
                <w:rFonts w:cs="Times New Roman"/>
                <w:color w:val="auto"/>
              </w:rPr>
            </w:pPr>
            <w:r>
              <w:rPr>
                <w:rFonts w:cs="Times New Roman"/>
                <w:color w:val="auto"/>
              </w:rPr>
              <w:t>项目劳动定员</w:t>
            </w:r>
            <w:r>
              <w:rPr>
                <w:rFonts w:hint="eastAsia" w:cs="Times New Roman"/>
                <w:color w:val="auto"/>
                <w:lang w:val="en-US" w:eastAsia="zh-CN"/>
              </w:rPr>
              <w:t>30</w:t>
            </w:r>
            <w:r>
              <w:rPr>
                <w:rFonts w:cs="Times New Roman"/>
                <w:color w:val="auto"/>
              </w:rPr>
              <w:t>人，年工作天数为</w:t>
            </w:r>
            <w:r>
              <w:rPr>
                <w:rFonts w:hint="eastAsia" w:cs="Times New Roman"/>
                <w:color w:val="auto"/>
                <w:lang w:val="en-US" w:eastAsia="zh-CN"/>
              </w:rPr>
              <w:t>150</w:t>
            </w:r>
            <w:r>
              <w:rPr>
                <w:rFonts w:cs="Times New Roman"/>
                <w:color w:val="auto"/>
              </w:rPr>
              <w:t>d，</w:t>
            </w:r>
            <w:r>
              <w:rPr>
                <w:rFonts w:hint="eastAsia" w:cs="Times New Roman"/>
                <w:color w:val="auto"/>
                <w:lang w:val="en-US" w:eastAsia="zh-CN"/>
              </w:rPr>
              <w:t>每天生产10小时</w:t>
            </w:r>
            <w:r>
              <w:rPr>
                <w:rFonts w:cs="Times New Roman"/>
                <w:color w:val="auto"/>
              </w:rPr>
              <w:t>。</w:t>
            </w:r>
          </w:p>
          <w:p w14:paraId="159724A7">
            <w:pPr>
              <w:ind w:left="0" w:leftChars="0" w:firstLine="0" w:firstLineChars="0"/>
              <w:rPr>
                <w:rFonts w:cs="Times New Roman"/>
                <w:b/>
                <w:color w:val="auto"/>
              </w:rPr>
            </w:pPr>
            <w:r>
              <w:rPr>
                <w:rFonts w:cs="Times New Roman"/>
                <w:b/>
                <w:color w:val="auto"/>
              </w:rPr>
              <w:t>5、公用工程</w:t>
            </w:r>
          </w:p>
          <w:p w14:paraId="7C4F61EF">
            <w:pPr>
              <w:ind w:left="0" w:leftChars="0" w:firstLine="0" w:firstLineChars="0"/>
              <w:rPr>
                <w:rFonts w:cs="Times New Roman"/>
                <w:b/>
                <w:bCs/>
                <w:color w:val="auto"/>
              </w:rPr>
            </w:pPr>
            <w:r>
              <w:rPr>
                <w:rFonts w:cs="Times New Roman"/>
                <w:b/>
                <w:bCs/>
                <w:color w:val="auto"/>
              </w:rPr>
              <w:t>5.1给排水</w:t>
            </w:r>
          </w:p>
          <w:p w14:paraId="28772CB5">
            <w:pPr>
              <w:ind w:left="0" w:leftChars="0" w:firstLine="0" w:firstLineChars="0"/>
              <w:rPr>
                <w:rFonts w:hint="eastAsia" w:eastAsia="宋体" w:cs="Times New Roman"/>
                <w:b/>
                <w:bCs/>
                <w:color w:val="auto"/>
                <w:lang w:val="en-US" w:eastAsia="zh-CN"/>
              </w:rPr>
            </w:pPr>
            <w:r>
              <w:rPr>
                <w:rFonts w:cs="Times New Roman"/>
                <w:b/>
                <w:bCs/>
                <w:color w:val="auto"/>
              </w:rPr>
              <w:t>5.1.1给水</w:t>
            </w:r>
          </w:p>
          <w:p w14:paraId="4EA5AAC7">
            <w:pPr>
              <w:ind w:firstLine="480"/>
              <w:rPr>
                <w:rFonts w:cs="Times New Roman"/>
                <w:color w:val="auto"/>
              </w:rPr>
            </w:pPr>
            <w:r>
              <w:rPr>
                <w:rFonts w:cs="Times New Roman"/>
                <w:color w:val="auto"/>
              </w:rPr>
              <w:t>（1）生活用水</w:t>
            </w:r>
          </w:p>
          <w:p w14:paraId="51325456">
            <w:pPr>
              <w:ind w:firstLine="480"/>
              <w:rPr>
                <w:rFonts w:cs="Times New Roman"/>
                <w:color w:val="auto"/>
              </w:rPr>
            </w:pPr>
            <w:r>
              <w:rPr>
                <w:rFonts w:cs="Times New Roman"/>
                <w:color w:val="auto"/>
              </w:rPr>
              <w:t>根据《内蒙古自治区行业用水定额》（DB15T 385-2020），生活用水定额为60L/人·天，本项目劳动定员为</w:t>
            </w:r>
            <w:r>
              <w:rPr>
                <w:rFonts w:hint="eastAsia" w:cs="Times New Roman"/>
                <w:color w:val="auto"/>
                <w:lang w:val="en-US" w:eastAsia="zh-CN"/>
              </w:rPr>
              <w:t>30</w:t>
            </w:r>
            <w:r>
              <w:rPr>
                <w:rFonts w:cs="Times New Roman"/>
                <w:color w:val="auto"/>
              </w:rPr>
              <w:t>人，则用水量</w:t>
            </w:r>
            <w:r>
              <w:rPr>
                <w:rFonts w:hint="eastAsia" w:cs="Times New Roman"/>
                <w:color w:val="auto"/>
                <w:lang w:val="en-US" w:eastAsia="zh-CN" w:bidi="ar"/>
              </w:rPr>
              <w:t>1.8</w:t>
            </w:r>
            <w:r>
              <w:rPr>
                <w:rFonts w:cs="Times New Roman"/>
                <w:color w:val="auto"/>
                <w:lang w:bidi="ar"/>
              </w:rPr>
              <w:t>m</w:t>
            </w:r>
            <w:r>
              <w:rPr>
                <w:rFonts w:cs="Times New Roman"/>
                <w:color w:val="auto"/>
                <w:vertAlign w:val="superscript"/>
                <w:lang w:bidi="ar"/>
              </w:rPr>
              <w:t>3</w:t>
            </w:r>
            <w:r>
              <w:rPr>
                <w:rFonts w:cs="Times New Roman"/>
                <w:color w:val="auto"/>
                <w:lang w:bidi="ar"/>
              </w:rPr>
              <w:t>/d（</w:t>
            </w:r>
            <w:r>
              <w:rPr>
                <w:rFonts w:hint="eastAsia" w:cs="Times New Roman"/>
                <w:color w:val="auto"/>
                <w:lang w:val="en-US" w:eastAsia="zh-CN" w:bidi="ar"/>
              </w:rPr>
              <w:t>270</w:t>
            </w:r>
            <w:r>
              <w:rPr>
                <w:rFonts w:cs="Times New Roman"/>
                <w:color w:val="auto"/>
                <w:lang w:bidi="ar"/>
              </w:rPr>
              <w:t>m</w:t>
            </w:r>
            <w:r>
              <w:rPr>
                <w:rFonts w:cs="Times New Roman"/>
                <w:color w:val="auto"/>
                <w:vertAlign w:val="superscript"/>
                <w:lang w:bidi="ar"/>
              </w:rPr>
              <w:t>3</w:t>
            </w:r>
            <w:r>
              <w:rPr>
                <w:rFonts w:cs="Times New Roman"/>
                <w:color w:val="auto"/>
                <w:lang w:bidi="ar"/>
              </w:rPr>
              <w:t>/a）</w:t>
            </w:r>
            <w:r>
              <w:rPr>
                <w:rFonts w:cs="Times New Roman"/>
                <w:color w:val="auto"/>
              </w:rPr>
              <w:t>。</w:t>
            </w:r>
          </w:p>
          <w:p w14:paraId="6A4BB04D">
            <w:pPr>
              <w:ind w:firstLine="480"/>
              <w:rPr>
                <w:rFonts w:cs="Times New Roman"/>
                <w:color w:val="auto"/>
              </w:rPr>
            </w:pPr>
            <w:r>
              <w:rPr>
                <w:rFonts w:cs="Times New Roman"/>
                <w:color w:val="auto"/>
              </w:rPr>
              <w:t>（2）配料用水</w:t>
            </w:r>
          </w:p>
          <w:p w14:paraId="57A12C89">
            <w:pPr>
              <w:ind w:firstLine="480"/>
              <w:rPr>
                <w:rFonts w:cs="Times New Roman"/>
                <w:color w:val="auto"/>
              </w:rPr>
            </w:pPr>
            <w:r>
              <w:rPr>
                <w:rFonts w:cs="Times New Roman"/>
                <w:color w:val="auto"/>
              </w:rPr>
              <w:t>根据企业提供的资料可知，配料用水为</w:t>
            </w:r>
            <w:r>
              <w:rPr>
                <w:rFonts w:hint="eastAsia" w:cs="Times New Roman"/>
                <w:color w:val="auto"/>
                <w:lang w:val="en-US" w:eastAsia="zh-CN"/>
              </w:rPr>
              <w:t>10.2</w:t>
            </w:r>
            <w:r>
              <w:rPr>
                <w:rFonts w:cs="Times New Roman"/>
                <w:color w:val="auto"/>
              </w:rPr>
              <w:t>m</w:t>
            </w:r>
            <w:r>
              <w:rPr>
                <w:rFonts w:cs="Times New Roman"/>
                <w:color w:val="auto"/>
                <w:vertAlign w:val="superscript"/>
              </w:rPr>
              <w:t>3</w:t>
            </w:r>
            <w:r>
              <w:rPr>
                <w:rFonts w:cs="Times New Roman"/>
                <w:color w:val="auto"/>
              </w:rPr>
              <w:t>/d（</w:t>
            </w:r>
            <w:r>
              <w:rPr>
                <w:rFonts w:hint="eastAsia" w:cs="Times New Roman"/>
                <w:color w:val="auto"/>
                <w:lang w:val="en-US" w:eastAsia="zh-CN"/>
              </w:rPr>
              <w:t>1530</w:t>
            </w:r>
            <w:r>
              <w:rPr>
                <w:rFonts w:cs="Times New Roman"/>
                <w:color w:val="auto"/>
              </w:rPr>
              <w:t>m</w:t>
            </w:r>
            <w:r>
              <w:rPr>
                <w:rFonts w:cs="Times New Roman"/>
                <w:color w:val="auto"/>
                <w:vertAlign w:val="superscript"/>
              </w:rPr>
              <w:t>3</w:t>
            </w:r>
            <w:r>
              <w:rPr>
                <w:rFonts w:cs="Times New Roman"/>
                <w:color w:val="auto"/>
              </w:rPr>
              <w:t>/a），配料用水采用</w:t>
            </w:r>
            <w:r>
              <w:rPr>
                <w:rFonts w:hint="eastAsia" w:cs="Times New Roman"/>
                <w:color w:val="auto"/>
              </w:rPr>
              <w:t>新水</w:t>
            </w:r>
            <w:r>
              <w:rPr>
                <w:rFonts w:cs="Times New Roman"/>
                <w:color w:val="auto"/>
              </w:rPr>
              <w:t>。</w:t>
            </w:r>
          </w:p>
          <w:p w14:paraId="4BDEC112">
            <w:pPr>
              <w:ind w:firstLine="480"/>
              <w:rPr>
                <w:rFonts w:cs="Times New Roman"/>
                <w:color w:val="auto"/>
              </w:rPr>
            </w:pPr>
            <w:r>
              <w:rPr>
                <w:rFonts w:cs="Times New Roman"/>
                <w:color w:val="auto"/>
              </w:rPr>
              <w:t>（</w:t>
            </w:r>
            <w:r>
              <w:rPr>
                <w:rFonts w:hint="eastAsia" w:cs="Times New Roman"/>
                <w:color w:val="auto"/>
                <w:lang w:val="en-US" w:eastAsia="zh-CN"/>
              </w:rPr>
              <w:t>3</w:t>
            </w:r>
            <w:r>
              <w:rPr>
                <w:rFonts w:cs="Times New Roman"/>
                <w:color w:val="auto"/>
              </w:rPr>
              <w:t>）</w:t>
            </w:r>
            <w:r>
              <w:rPr>
                <w:rFonts w:hint="eastAsia" w:cs="Times New Roman"/>
                <w:color w:val="auto"/>
                <w:lang w:val="en-US" w:eastAsia="zh-CN"/>
              </w:rPr>
              <w:t>喷淋</w:t>
            </w:r>
            <w:r>
              <w:rPr>
                <w:rFonts w:cs="Times New Roman"/>
                <w:color w:val="auto"/>
              </w:rPr>
              <w:t>用水</w:t>
            </w:r>
          </w:p>
          <w:p w14:paraId="7B62CA30">
            <w:pPr>
              <w:ind w:firstLine="480"/>
              <w:jc w:val="left"/>
              <w:rPr>
                <w:rFonts w:hint="eastAsia" w:cs="Times New Roman"/>
                <w:color w:val="auto"/>
                <w:szCs w:val="32"/>
                <w:lang w:eastAsia="zh-CN"/>
              </w:rPr>
            </w:pPr>
            <w:r>
              <w:rPr>
                <w:rFonts w:cs="Times New Roman"/>
                <w:color w:val="auto"/>
              </w:rPr>
              <w:t>项目配料仓、上料点、厂区内道路等需要洒水抑尘。每天喷水降尘</w:t>
            </w:r>
            <w:r>
              <w:rPr>
                <w:rFonts w:hint="eastAsia" w:cs="Times New Roman"/>
                <w:color w:val="auto"/>
                <w:lang w:val="en-US" w:eastAsia="zh-CN"/>
              </w:rPr>
              <w:t>2</w:t>
            </w:r>
            <w:r>
              <w:rPr>
                <w:rFonts w:cs="Times New Roman"/>
                <w:color w:val="auto"/>
              </w:rPr>
              <w:t>次，每次用水量为</w:t>
            </w:r>
            <w:r>
              <w:rPr>
                <w:rFonts w:hint="eastAsia" w:cs="Times New Roman"/>
                <w:color w:val="auto"/>
                <w:lang w:val="en-US" w:eastAsia="zh-CN"/>
              </w:rPr>
              <w:t>0.5</w:t>
            </w:r>
            <w:r>
              <w:rPr>
                <w:rFonts w:cs="Times New Roman"/>
                <w:color w:val="auto"/>
              </w:rPr>
              <w:t>m</w:t>
            </w:r>
            <w:r>
              <w:rPr>
                <w:rFonts w:cs="Times New Roman"/>
                <w:color w:val="auto"/>
                <w:vertAlign w:val="superscript"/>
              </w:rPr>
              <w:t>3</w:t>
            </w:r>
            <w:r>
              <w:rPr>
                <w:rFonts w:cs="Times New Roman"/>
                <w:color w:val="auto"/>
              </w:rPr>
              <w:t>/次，则抑尘用水水量约为</w:t>
            </w:r>
            <w:r>
              <w:rPr>
                <w:rFonts w:hint="eastAsia" w:cs="Times New Roman"/>
                <w:color w:val="auto"/>
                <w:lang w:val="en-US" w:eastAsia="zh-CN"/>
              </w:rPr>
              <w:t>1</w:t>
            </w:r>
            <w:r>
              <w:rPr>
                <w:rFonts w:cs="Times New Roman"/>
                <w:color w:val="auto"/>
              </w:rPr>
              <w:t>m</w:t>
            </w:r>
            <w:r>
              <w:rPr>
                <w:rFonts w:cs="Times New Roman"/>
                <w:color w:val="auto"/>
                <w:vertAlign w:val="superscript"/>
              </w:rPr>
              <w:t>3</w:t>
            </w:r>
            <w:r>
              <w:rPr>
                <w:rFonts w:cs="Times New Roman"/>
                <w:color w:val="auto"/>
              </w:rPr>
              <w:t>/d（</w:t>
            </w:r>
            <w:r>
              <w:rPr>
                <w:rFonts w:hint="eastAsia" w:cs="Times New Roman"/>
                <w:color w:val="auto"/>
                <w:lang w:val="en-US" w:eastAsia="zh-CN"/>
              </w:rPr>
              <w:t>150</w:t>
            </w:r>
            <w:r>
              <w:rPr>
                <w:rFonts w:cs="Times New Roman"/>
                <w:color w:val="auto"/>
              </w:rPr>
              <w:t>m</w:t>
            </w:r>
            <w:r>
              <w:rPr>
                <w:rFonts w:cs="Times New Roman"/>
                <w:color w:val="auto"/>
                <w:vertAlign w:val="superscript"/>
              </w:rPr>
              <w:t>3</w:t>
            </w:r>
            <w:r>
              <w:rPr>
                <w:rFonts w:cs="Times New Roman"/>
                <w:color w:val="auto"/>
              </w:rPr>
              <w:t>/a）。</w:t>
            </w:r>
            <w:r>
              <w:rPr>
                <w:rFonts w:hint="eastAsia" w:cs="Times New Roman"/>
                <w:color w:val="auto"/>
              </w:rPr>
              <w:t>喷淋用水</w:t>
            </w:r>
            <w:r>
              <w:rPr>
                <w:rFonts w:cs="Times New Roman"/>
                <w:color w:val="auto"/>
              </w:rPr>
              <w:t>采用</w:t>
            </w:r>
            <w:r>
              <w:rPr>
                <w:rFonts w:hint="eastAsia" w:cs="Times New Roman"/>
                <w:color w:val="auto"/>
                <w:lang w:val="en-US" w:eastAsia="zh-CN"/>
              </w:rPr>
              <w:t>回用水</w:t>
            </w:r>
            <w:r>
              <w:rPr>
                <w:rFonts w:cs="Times New Roman"/>
                <w:color w:val="auto"/>
              </w:rPr>
              <w:t>。</w:t>
            </w:r>
          </w:p>
          <w:p w14:paraId="4F1D635D">
            <w:pPr>
              <w:ind w:firstLine="480"/>
              <w:rPr>
                <w:rFonts w:cs="Times New Roman"/>
                <w:color w:val="auto"/>
              </w:rPr>
            </w:pPr>
            <w:r>
              <w:rPr>
                <w:rFonts w:cs="Times New Roman"/>
                <w:color w:val="auto"/>
              </w:rPr>
              <w:t>综上所述，本项目用新鲜水用水量为</w:t>
            </w:r>
            <w:r>
              <w:rPr>
                <w:rFonts w:hint="eastAsia" w:cs="Times New Roman"/>
                <w:color w:val="auto"/>
                <w:lang w:val="en-US" w:eastAsia="zh-CN"/>
              </w:rPr>
              <w:t>13</w:t>
            </w:r>
            <w:r>
              <w:rPr>
                <w:rFonts w:cs="Times New Roman"/>
                <w:color w:val="auto"/>
              </w:rPr>
              <w:t>m</w:t>
            </w:r>
            <w:r>
              <w:rPr>
                <w:rFonts w:cs="Times New Roman"/>
                <w:color w:val="auto"/>
                <w:vertAlign w:val="superscript"/>
              </w:rPr>
              <w:t>3</w:t>
            </w:r>
            <w:r>
              <w:rPr>
                <w:rFonts w:cs="Times New Roman"/>
                <w:color w:val="auto"/>
              </w:rPr>
              <w:t>/d（</w:t>
            </w:r>
            <w:r>
              <w:rPr>
                <w:rFonts w:hint="eastAsia" w:cs="Times New Roman"/>
                <w:color w:val="auto"/>
                <w:lang w:val="en-US" w:eastAsia="zh-CN"/>
              </w:rPr>
              <w:t>1950</w:t>
            </w:r>
            <w:r>
              <w:rPr>
                <w:rFonts w:cs="Times New Roman"/>
                <w:color w:val="auto"/>
              </w:rPr>
              <w:t>m</w:t>
            </w:r>
            <w:r>
              <w:rPr>
                <w:rFonts w:cs="Times New Roman"/>
                <w:color w:val="auto"/>
                <w:vertAlign w:val="superscript"/>
              </w:rPr>
              <w:t>3</w:t>
            </w:r>
            <w:r>
              <w:rPr>
                <w:rFonts w:cs="Times New Roman"/>
                <w:color w:val="auto"/>
              </w:rPr>
              <w:t>/</w:t>
            </w:r>
            <w:r>
              <w:rPr>
                <w:rFonts w:hint="eastAsia" w:cs="Times New Roman"/>
                <w:color w:val="auto"/>
              </w:rPr>
              <w:t>a</w:t>
            </w:r>
            <w:r>
              <w:rPr>
                <w:rFonts w:cs="Times New Roman"/>
                <w:color w:val="auto"/>
              </w:rPr>
              <w:t>）。</w:t>
            </w:r>
          </w:p>
          <w:p w14:paraId="4296AE75">
            <w:pPr>
              <w:ind w:firstLine="482"/>
              <w:rPr>
                <w:rFonts w:cs="Times New Roman"/>
                <w:b/>
                <w:bCs/>
                <w:color w:val="auto"/>
              </w:rPr>
            </w:pPr>
            <w:r>
              <w:rPr>
                <w:rFonts w:cs="Times New Roman"/>
                <w:b/>
                <w:bCs/>
                <w:color w:val="auto"/>
              </w:rPr>
              <w:t>5.1.2排水工程</w:t>
            </w:r>
          </w:p>
          <w:p w14:paraId="38733E6D">
            <w:pPr>
              <w:ind w:firstLine="480"/>
              <w:rPr>
                <w:rFonts w:cs="Times New Roman"/>
                <w:color w:val="auto"/>
              </w:rPr>
            </w:pPr>
            <w:r>
              <w:rPr>
                <w:rFonts w:cs="Times New Roman"/>
                <w:color w:val="auto"/>
              </w:rPr>
              <w:t>生活污水</w:t>
            </w:r>
          </w:p>
          <w:p w14:paraId="147A3593">
            <w:pPr>
              <w:ind w:firstLine="480"/>
              <w:rPr>
                <w:rFonts w:cs="Times New Roman"/>
                <w:color w:val="auto"/>
              </w:rPr>
            </w:pPr>
            <w:r>
              <w:rPr>
                <w:rFonts w:cs="Times New Roman"/>
                <w:color w:val="auto"/>
              </w:rPr>
              <w:t>职工及外来人员生活污水产污系数以0.8计，产生量为</w:t>
            </w:r>
            <w:r>
              <w:rPr>
                <w:rFonts w:hint="eastAsia" w:cs="Times New Roman"/>
                <w:color w:val="auto"/>
                <w:lang w:val="en-US" w:eastAsia="zh-CN"/>
              </w:rPr>
              <w:t>1.44</w:t>
            </w:r>
            <w:r>
              <w:rPr>
                <w:rFonts w:cs="Times New Roman"/>
                <w:color w:val="auto"/>
              </w:rPr>
              <w:t>m</w:t>
            </w:r>
            <w:r>
              <w:rPr>
                <w:rFonts w:cs="Times New Roman"/>
                <w:color w:val="auto"/>
                <w:vertAlign w:val="superscript"/>
              </w:rPr>
              <w:t>3</w:t>
            </w:r>
            <w:r>
              <w:rPr>
                <w:rFonts w:cs="Times New Roman"/>
                <w:color w:val="auto"/>
              </w:rPr>
              <w:t>/d（</w:t>
            </w:r>
            <w:r>
              <w:rPr>
                <w:rFonts w:hint="eastAsia" w:cs="Times New Roman"/>
                <w:color w:val="auto"/>
                <w:lang w:val="en-US" w:eastAsia="zh-CN"/>
              </w:rPr>
              <w:t>216</w:t>
            </w:r>
            <w:r>
              <w:rPr>
                <w:rFonts w:cs="Times New Roman"/>
                <w:color w:val="auto"/>
              </w:rPr>
              <w:t>m</w:t>
            </w:r>
            <w:r>
              <w:rPr>
                <w:rFonts w:cs="Times New Roman"/>
                <w:color w:val="auto"/>
                <w:vertAlign w:val="superscript"/>
              </w:rPr>
              <w:t>3</w:t>
            </w:r>
            <w:r>
              <w:rPr>
                <w:rFonts w:cs="Times New Roman"/>
                <w:color w:val="auto"/>
              </w:rPr>
              <w:t>/a），生活污水</w:t>
            </w:r>
            <w:r>
              <w:rPr>
                <w:rFonts w:hint="eastAsia" w:cs="Times New Roman"/>
                <w:color w:val="auto"/>
                <w:lang w:val="en-US" w:eastAsia="zh-CN"/>
              </w:rPr>
              <w:t>收集至</w:t>
            </w:r>
            <w:r>
              <w:rPr>
                <w:rFonts w:hint="eastAsia" w:cs="Times New Roman"/>
                <w:color w:val="auto"/>
                <w:lang w:eastAsia="zh-CN"/>
              </w:rPr>
              <w:t>厂区</w:t>
            </w:r>
            <w:r>
              <w:rPr>
                <w:rFonts w:hint="eastAsia" w:cs="Times New Roman"/>
                <w:color w:val="auto"/>
                <w:lang w:val="en-US" w:eastAsia="zh-CN"/>
              </w:rPr>
              <w:t>新建</w:t>
            </w:r>
            <w:r>
              <w:rPr>
                <w:rFonts w:hint="eastAsia" w:cs="Times New Roman"/>
                <w:color w:val="auto"/>
                <w:lang w:eastAsia="zh-CN"/>
              </w:rPr>
              <w:t>化粪池</w:t>
            </w:r>
            <w:r>
              <w:rPr>
                <w:rFonts w:cs="Times New Roman"/>
                <w:color w:val="auto"/>
              </w:rPr>
              <w:t>。</w:t>
            </w:r>
          </w:p>
          <w:p w14:paraId="07F3AA92">
            <w:pPr>
              <w:ind w:firstLine="480"/>
              <w:rPr>
                <w:rFonts w:cs="Times New Roman"/>
                <w:color w:val="auto"/>
              </w:rPr>
            </w:pPr>
            <w:r>
              <w:rPr>
                <w:rFonts w:cs="Times New Roman"/>
                <w:color w:val="auto"/>
              </w:rPr>
              <w:t>本项目水平衡内容见下表。</w:t>
            </w:r>
          </w:p>
          <w:p w14:paraId="5B4972BF">
            <w:pPr>
              <w:pStyle w:val="36"/>
              <w:rPr>
                <w:rFonts w:cs="Times New Roman"/>
                <w:color w:val="auto"/>
              </w:rPr>
            </w:pPr>
            <w:r>
              <w:rPr>
                <w:rFonts w:cs="Times New Roman"/>
                <w:color w:val="auto"/>
              </w:rPr>
              <w:t>表2-6  水平衡一览表      单位m</w:t>
            </w:r>
            <w:r>
              <w:rPr>
                <w:rFonts w:cs="Times New Roman"/>
                <w:color w:val="auto"/>
                <w:vertAlign w:val="superscript"/>
              </w:rPr>
              <w:t>3</w:t>
            </w:r>
            <w:r>
              <w:rPr>
                <w:rFonts w:cs="Times New Roman"/>
                <w:color w:val="auto"/>
              </w:rPr>
              <w:t>/</w:t>
            </w:r>
            <w:r>
              <w:rPr>
                <w:rFonts w:hint="eastAsia" w:cs="Times New Roman"/>
                <w:color w:val="auto"/>
              </w:rPr>
              <w:t>a</w:t>
            </w:r>
          </w:p>
          <w:tbl>
            <w:tblPr>
              <w:tblStyle w:val="27"/>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794"/>
              <w:gridCol w:w="809"/>
              <w:gridCol w:w="809"/>
              <w:gridCol w:w="717"/>
              <w:gridCol w:w="667"/>
              <w:gridCol w:w="765"/>
              <w:gridCol w:w="863"/>
              <w:gridCol w:w="719"/>
            </w:tblGrid>
            <w:tr w14:paraId="23D3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70" w:type="pct"/>
                  <w:vMerge w:val="restart"/>
                  <w:tcBorders>
                    <w:tl2br w:val="nil"/>
                    <w:tr2bl w:val="nil"/>
                  </w:tcBorders>
                  <w:vAlign w:val="center"/>
                </w:tcPr>
                <w:p w14:paraId="36C738C0">
                  <w:pPr>
                    <w:pStyle w:val="50"/>
                    <w:jc w:val="center"/>
                    <w:rPr>
                      <w:color w:val="auto"/>
                    </w:rPr>
                  </w:pPr>
                  <w:r>
                    <w:rPr>
                      <w:color w:val="auto"/>
                    </w:rPr>
                    <w:t>名称</w:t>
                  </w:r>
                </w:p>
              </w:tc>
              <w:tc>
                <w:tcPr>
                  <w:tcW w:w="559" w:type="pct"/>
                  <w:vMerge w:val="restart"/>
                  <w:tcBorders>
                    <w:tl2br w:val="nil"/>
                    <w:tr2bl w:val="nil"/>
                  </w:tcBorders>
                  <w:vAlign w:val="center"/>
                </w:tcPr>
                <w:p w14:paraId="07D7A4B0">
                  <w:pPr>
                    <w:pStyle w:val="50"/>
                    <w:jc w:val="center"/>
                    <w:rPr>
                      <w:color w:val="auto"/>
                    </w:rPr>
                  </w:pPr>
                  <w:r>
                    <w:rPr>
                      <w:color w:val="auto"/>
                    </w:rPr>
                    <w:t>用水量</w:t>
                  </w:r>
                </w:p>
              </w:tc>
              <w:tc>
                <w:tcPr>
                  <w:tcW w:w="1645" w:type="pct"/>
                  <w:gridSpan w:val="3"/>
                  <w:tcBorders>
                    <w:tl2br w:val="nil"/>
                    <w:tr2bl w:val="nil"/>
                  </w:tcBorders>
                  <w:vAlign w:val="center"/>
                </w:tcPr>
                <w:p w14:paraId="7AA43E51">
                  <w:pPr>
                    <w:pStyle w:val="50"/>
                    <w:jc w:val="center"/>
                    <w:rPr>
                      <w:color w:val="auto"/>
                    </w:rPr>
                  </w:pPr>
                  <w:r>
                    <w:rPr>
                      <w:color w:val="auto"/>
                    </w:rPr>
                    <w:t>来源</w:t>
                  </w:r>
                </w:p>
              </w:tc>
              <w:tc>
                <w:tcPr>
                  <w:tcW w:w="470" w:type="pct"/>
                  <w:vMerge w:val="restart"/>
                  <w:tcBorders>
                    <w:tl2br w:val="nil"/>
                    <w:tr2bl w:val="nil"/>
                  </w:tcBorders>
                  <w:vAlign w:val="center"/>
                </w:tcPr>
                <w:p w14:paraId="1BA4A9D5">
                  <w:pPr>
                    <w:pStyle w:val="50"/>
                    <w:jc w:val="center"/>
                    <w:rPr>
                      <w:color w:val="auto"/>
                    </w:rPr>
                  </w:pPr>
                  <w:r>
                    <w:rPr>
                      <w:color w:val="auto"/>
                    </w:rPr>
                    <w:t>废水</w:t>
                  </w:r>
                </w:p>
              </w:tc>
              <w:tc>
                <w:tcPr>
                  <w:tcW w:w="539" w:type="pct"/>
                  <w:vMerge w:val="restart"/>
                  <w:tcBorders>
                    <w:tl2br w:val="nil"/>
                    <w:tr2bl w:val="nil"/>
                  </w:tcBorders>
                  <w:vAlign w:val="center"/>
                </w:tcPr>
                <w:p w14:paraId="2C2B9E88">
                  <w:pPr>
                    <w:pStyle w:val="50"/>
                    <w:jc w:val="center"/>
                    <w:rPr>
                      <w:color w:val="auto"/>
                    </w:rPr>
                  </w:pPr>
                  <w:r>
                    <w:rPr>
                      <w:color w:val="auto"/>
                    </w:rPr>
                    <w:t>软化水产生量</w:t>
                  </w:r>
                </w:p>
              </w:tc>
              <w:tc>
                <w:tcPr>
                  <w:tcW w:w="608" w:type="pct"/>
                  <w:vMerge w:val="restart"/>
                  <w:tcBorders>
                    <w:tl2br w:val="nil"/>
                    <w:tr2bl w:val="nil"/>
                  </w:tcBorders>
                  <w:vAlign w:val="center"/>
                </w:tcPr>
                <w:p w14:paraId="690D4450">
                  <w:pPr>
                    <w:pStyle w:val="50"/>
                    <w:jc w:val="center"/>
                    <w:rPr>
                      <w:color w:val="auto"/>
                    </w:rPr>
                  </w:pPr>
                  <w:r>
                    <w:rPr>
                      <w:color w:val="auto"/>
                    </w:rPr>
                    <w:t>损耗</w:t>
                  </w:r>
                </w:p>
              </w:tc>
              <w:tc>
                <w:tcPr>
                  <w:tcW w:w="506" w:type="pct"/>
                  <w:vMerge w:val="restart"/>
                  <w:tcBorders>
                    <w:tl2br w:val="nil"/>
                    <w:tr2bl w:val="nil"/>
                  </w:tcBorders>
                  <w:vAlign w:val="center"/>
                </w:tcPr>
                <w:p w14:paraId="4CB1D95B">
                  <w:pPr>
                    <w:pStyle w:val="50"/>
                    <w:jc w:val="center"/>
                    <w:rPr>
                      <w:color w:val="auto"/>
                    </w:rPr>
                  </w:pPr>
                  <w:r>
                    <w:rPr>
                      <w:color w:val="auto"/>
                    </w:rPr>
                    <w:t>循环量</w:t>
                  </w:r>
                </w:p>
              </w:tc>
            </w:tr>
            <w:tr w14:paraId="6337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70" w:type="pct"/>
                  <w:vMerge w:val="continue"/>
                  <w:tcBorders>
                    <w:tl2br w:val="nil"/>
                    <w:tr2bl w:val="nil"/>
                  </w:tcBorders>
                  <w:vAlign w:val="center"/>
                </w:tcPr>
                <w:p w14:paraId="427FD864">
                  <w:pPr>
                    <w:pStyle w:val="50"/>
                    <w:jc w:val="center"/>
                    <w:rPr>
                      <w:color w:val="auto"/>
                    </w:rPr>
                  </w:pPr>
                </w:p>
              </w:tc>
              <w:tc>
                <w:tcPr>
                  <w:tcW w:w="559" w:type="pct"/>
                  <w:vMerge w:val="continue"/>
                  <w:tcBorders>
                    <w:tl2br w:val="nil"/>
                    <w:tr2bl w:val="nil"/>
                  </w:tcBorders>
                  <w:vAlign w:val="center"/>
                </w:tcPr>
                <w:p w14:paraId="20BFCE8B">
                  <w:pPr>
                    <w:pStyle w:val="50"/>
                    <w:jc w:val="center"/>
                    <w:rPr>
                      <w:color w:val="auto"/>
                    </w:rPr>
                  </w:pPr>
                </w:p>
              </w:tc>
              <w:tc>
                <w:tcPr>
                  <w:tcW w:w="570" w:type="pct"/>
                  <w:tcBorders>
                    <w:tl2br w:val="nil"/>
                    <w:tr2bl w:val="nil"/>
                  </w:tcBorders>
                  <w:vAlign w:val="center"/>
                </w:tcPr>
                <w:p w14:paraId="495F7BEF">
                  <w:pPr>
                    <w:pStyle w:val="50"/>
                    <w:jc w:val="center"/>
                    <w:rPr>
                      <w:color w:val="auto"/>
                    </w:rPr>
                  </w:pPr>
                  <w:r>
                    <w:rPr>
                      <w:color w:val="auto"/>
                    </w:rPr>
                    <w:t>新水</w:t>
                  </w:r>
                </w:p>
              </w:tc>
              <w:tc>
                <w:tcPr>
                  <w:tcW w:w="570" w:type="pct"/>
                  <w:tcBorders>
                    <w:tl2br w:val="nil"/>
                    <w:tr2bl w:val="nil"/>
                  </w:tcBorders>
                  <w:vAlign w:val="center"/>
                </w:tcPr>
                <w:p w14:paraId="0D8D4905">
                  <w:pPr>
                    <w:pStyle w:val="50"/>
                    <w:jc w:val="center"/>
                    <w:rPr>
                      <w:color w:val="auto"/>
                    </w:rPr>
                  </w:pPr>
                  <w:r>
                    <w:rPr>
                      <w:color w:val="auto"/>
                    </w:rPr>
                    <w:t>回用水</w:t>
                  </w:r>
                </w:p>
              </w:tc>
              <w:tc>
                <w:tcPr>
                  <w:tcW w:w="505" w:type="pct"/>
                  <w:tcBorders>
                    <w:tl2br w:val="nil"/>
                    <w:tr2bl w:val="nil"/>
                  </w:tcBorders>
                  <w:vAlign w:val="center"/>
                </w:tcPr>
                <w:p w14:paraId="2EE7AED2">
                  <w:pPr>
                    <w:pStyle w:val="50"/>
                    <w:jc w:val="center"/>
                    <w:rPr>
                      <w:color w:val="auto"/>
                    </w:rPr>
                  </w:pPr>
                  <w:r>
                    <w:rPr>
                      <w:color w:val="auto"/>
                    </w:rPr>
                    <w:t>软化水</w:t>
                  </w:r>
                </w:p>
              </w:tc>
              <w:tc>
                <w:tcPr>
                  <w:tcW w:w="470" w:type="pct"/>
                  <w:vMerge w:val="continue"/>
                  <w:tcBorders>
                    <w:tl2br w:val="nil"/>
                    <w:tr2bl w:val="nil"/>
                  </w:tcBorders>
                  <w:vAlign w:val="center"/>
                </w:tcPr>
                <w:p w14:paraId="6CCDCF97">
                  <w:pPr>
                    <w:pStyle w:val="50"/>
                    <w:jc w:val="center"/>
                    <w:rPr>
                      <w:color w:val="auto"/>
                    </w:rPr>
                  </w:pPr>
                </w:p>
              </w:tc>
              <w:tc>
                <w:tcPr>
                  <w:tcW w:w="539" w:type="pct"/>
                  <w:vMerge w:val="continue"/>
                  <w:tcBorders>
                    <w:tl2br w:val="nil"/>
                    <w:tr2bl w:val="nil"/>
                  </w:tcBorders>
                  <w:vAlign w:val="center"/>
                </w:tcPr>
                <w:p w14:paraId="22205757">
                  <w:pPr>
                    <w:pStyle w:val="50"/>
                    <w:jc w:val="center"/>
                    <w:rPr>
                      <w:color w:val="auto"/>
                    </w:rPr>
                  </w:pPr>
                </w:p>
              </w:tc>
              <w:tc>
                <w:tcPr>
                  <w:tcW w:w="608" w:type="pct"/>
                  <w:vMerge w:val="continue"/>
                  <w:tcBorders>
                    <w:tl2br w:val="nil"/>
                    <w:tr2bl w:val="nil"/>
                  </w:tcBorders>
                  <w:vAlign w:val="center"/>
                </w:tcPr>
                <w:p w14:paraId="43E9E511">
                  <w:pPr>
                    <w:pStyle w:val="50"/>
                    <w:jc w:val="center"/>
                    <w:rPr>
                      <w:color w:val="auto"/>
                    </w:rPr>
                  </w:pPr>
                </w:p>
              </w:tc>
              <w:tc>
                <w:tcPr>
                  <w:tcW w:w="506" w:type="pct"/>
                  <w:vMerge w:val="continue"/>
                  <w:tcBorders>
                    <w:tl2br w:val="nil"/>
                    <w:tr2bl w:val="nil"/>
                  </w:tcBorders>
                  <w:vAlign w:val="center"/>
                </w:tcPr>
                <w:p w14:paraId="367A2EC6">
                  <w:pPr>
                    <w:pStyle w:val="50"/>
                    <w:jc w:val="center"/>
                    <w:rPr>
                      <w:color w:val="auto"/>
                    </w:rPr>
                  </w:pPr>
                </w:p>
              </w:tc>
            </w:tr>
            <w:tr w14:paraId="6866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tcBorders>
                    <w:tl2br w:val="nil"/>
                    <w:tr2bl w:val="nil"/>
                  </w:tcBorders>
                  <w:vAlign w:val="center"/>
                </w:tcPr>
                <w:p w14:paraId="62C5EC25">
                  <w:pPr>
                    <w:pStyle w:val="50"/>
                    <w:jc w:val="center"/>
                    <w:rPr>
                      <w:rFonts w:hint="eastAsia" w:eastAsia="宋体"/>
                      <w:color w:val="auto"/>
                      <w:lang w:val="en-US" w:eastAsia="zh-CN"/>
                    </w:rPr>
                  </w:pPr>
                  <w:r>
                    <w:rPr>
                      <w:rFonts w:hint="eastAsia"/>
                      <w:color w:val="auto"/>
                      <w:lang w:val="en-US" w:eastAsia="zh-CN"/>
                    </w:rPr>
                    <w:t>喷淋用水</w:t>
                  </w:r>
                </w:p>
              </w:tc>
              <w:tc>
                <w:tcPr>
                  <w:tcW w:w="559" w:type="pct"/>
                  <w:tcBorders>
                    <w:tl2br w:val="nil"/>
                    <w:tr2bl w:val="nil"/>
                  </w:tcBorders>
                  <w:vAlign w:val="center"/>
                </w:tcPr>
                <w:p w14:paraId="77FD1101">
                  <w:pPr>
                    <w:pStyle w:val="50"/>
                    <w:jc w:val="center"/>
                    <w:rPr>
                      <w:rFonts w:hint="default"/>
                      <w:color w:val="auto"/>
                      <w:lang w:val="en-US" w:eastAsia="zh-CN"/>
                    </w:rPr>
                  </w:pPr>
                  <w:r>
                    <w:rPr>
                      <w:rFonts w:hint="eastAsia"/>
                      <w:color w:val="auto"/>
                      <w:lang w:val="en-US" w:eastAsia="zh-CN"/>
                    </w:rPr>
                    <w:t>150</w:t>
                  </w:r>
                </w:p>
              </w:tc>
              <w:tc>
                <w:tcPr>
                  <w:tcW w:w="570" w:type="pct"/>
                  <w:tcBorders>
                    <w:tl2br w:val="nil"/>
                    <w:tr2bl w:val="nil"/>
                  </w:tcBorders>
                  <w:vAlign w:val="center"/>
                </w:tcPr>
                <w:p w14:paraId="5EECE011">
                  <w:pPr>
                    <w:pStyle w:val="50"/>
                    <w:jc w:val="center"/>
                    <w:rPr>
                      <w:rFonts w:hint="default"/>
                      <w:color w:val="auto"/>
                      <w:lang w:val="en-US" w:eastAsia="zh-CN"/>
                    </w:rPr>
                  </w:pPr>
                  <w:r>
                    <w:rPr>
                      <w:rFonts w:hint="eastAsia"/>
                      <w:color w:val="auto"/>
                      <w:lang w:val="en-US" w:eastAsia="zh-CN"/>
                    </w:rPr>
                    <w:t>150</w:t>
                  </w:r>
                </w:p>
              </w:tc>
              <w:tc>
                <w:tcPr>
                  <w:tcW w:w="570" w:type="pct"/>
                  <w:tcBorders>
                    <w:tl2br w:val="nil"/>
                    <w:tr2bl w:val="nil"/>
                  </w:tcBorders>
                  <w:vAlign w:val="center"/>
                </w:tcPr>
                <w:p w14:paraId="3309290A">
                  <w:pPr>
                    <w:pStyle w:val="50"/>
                    <w:jc w:val="center"/>
                    <w:rPr>
                      <w:rFonts w:hint="default"/>
                      <w:color w:val="auto"/>
                      <w:lang w:val="en-US" w:eastAsia="zh-CN"/>
                    </w:rPr>
                  </w:pPr>
                  <w:r>
                    <w:rPr>
                      <w:rFonts w:hint="eastAsia"/>
                      <w:color w:val="auto"/>
                      <w:lang w:val="en-US" w:eastAsia="zh-CN"/>
                    </w:rPr>
                    <w:t>/</w:t>
                  </w:r>
                </w:p>
              </w:tc>
              <w:tc>
                <w:tcPr>
                  <w:tcW w:w="505" w:type="pct"/>
                  <w:tcBorders>
                    <w:tl2br w:val="nil"/>
                    <w:tr2bl w:val="nil"/>
                  </w:tcBorders>
                  <w:vAlign w:val="center"/>
                </w:tcPr>
                <w:p w14:paraId="51E43365">
                  <w:pPr>
                    <w:pStyle w:val="50"/>
                    <w:jc w:val="center"/>
                    <w:rPr>
                      <w:rFonts w:hint="default"/>
                      <w:color w:val="auto"/>
                      <w:lang w:val="en-US" w:eastAsia="zh-CN"/>
                    </w:rPr>
                  </w:pPr>
                  <w:r>
                    <w:rPr>
                      <w:rFonts w:hint="eastAsia"/>
                      <w:color w:val="auto"/>
                      <w:lang w:val="en-US" w:eastAsia="zh-CN"/>
                    </w:rPr>
                    <w:t>/</w:t>
                  </w:r>
                </w:p>
              </w:tc>
              <w:tc>
                <w:tcPr>
                  <w:tcW w:w="470" w:type="pct"/>
                  <w:tcBorders>
                    <w:tl2br w:val="nil"/>
                    <w:tr2bl w:val="nil"/>
                  </w:tcBorders>
                  <w:vAlign w:val="center"/>
                </w:tcPr>
                <w:p w14:paraId="20B9D180">
                  <w:pPr>
                    <w:pStyle w:val="50"/>
                    <w:jc w:val="center"/>
                    <w:rPr>
                      <w:rFonts w:hint="default"/>
                      <w:color w:val="auto"/>
                      <w:lang w:val="en-US" w:eastAsia="zh-CN"/>
                    </w:rPr>
                  </w:pPr>
                  <w:r>
                    <w:rPr>
                      <w:rFonts w:hint="eastAsia"/>
                      <w:color w:val="auto"/>
                      <w:lang w:val="en-US" w:eastAsia="zh-CN"/>
                    </w:rPr>
                    <w:t>/</w:t>
                  </w:r>
                </w:p>
              </w:tc>
              <w:tc>
                <w:tcPr>
                  <w:tcW w:w="539" w:type="pct"/>
                  <w:tcBorders>
                    <w:tl2br w:val="nil"/>
                    <w:tr2bl w:val="nil"/>
                  </w:tcBorders>
                  <w:vAlign w:val="center"/>
                </w:tcPr>
                <w:p w14:paraId="61123BE2">
                  <w:pPr>
                    <w:pStyle w:val="50"/>
                    <w:jc w:val="center"/>
                    <w:rPr>
                      <w:rFonts w:hint="default"/>
                      <w:color w:val="auto"/>
                      <w:lang w:val="en-US" w:eastAsia="zh-CN"/>
                    </w:rPr>
                  </w:pPr>
                  <w:r>
                    <w:rPr>
                      <w:rFonts w:hint="eastAsia"/>
                      <w:color w:val="auto"/>
                      <w:lang w:val="en-US" w:eastAsia="zh-CN"/>
                    </w:rPr>
                    <w:t>/</w:t>
                  </w:r>
                </w:p>
              </w:tc>
              <w:tc>
                <w:tcPr>
                  <w:tcW w:w="608" w:type="pct"/>
                  <w:tcBorders>
                    <w:tl2br w:val="nil"/>
                    <w:tr2bl w:val="nil"/>
                  </w:tcBorders>
                  <w:vAlign w:val="center"/>
                </w:tcPr>
                <w:p w14:paraId="6AF1EEE8">
                  <w:pPr>
                    <w:pStyle w:val="50"/>
                    <w:jc w:val="center"/>
                    <w:rPr>
                      <w:rFonts w:hint="default"/>
                      <w:color w:val="auto"/>
                      <w:lang w:val="en-US" w:eastAsia="zh-CN"/>
                    </w:rPr>
                  </w:pPr>
                  <w:r>
                    <w:rPr>
                      <w:rFonts w:hint="eastAsia"/>
                      <w:color w:val="auto"/>
                      <w:lang w:val="en-US" w:eastAsia="zh-CN"/>
                    </w:rPr>
                    <w:t>150</w:t>
                  </w:r>
                </w:p>
              </w:tc>
              <w:tc>
                <w:tcPr>
                  <w:tcW w:w="506" w:type="pct"/>
                  <w:tcBorders>
                    <w:tl2br w:val="nil"/>
                    <w:tr2bl w:val="nil"/>
                  </w:tcBorders>
                  <w:vAlign w:val="center"/>
                </w:tcPr>
                <w:p w14:paraId="535A403F">
                  <w:pPr>
                    <w:pStyle w:val="50"/>
                    <w:jc w:val="center"/>
                    <w:rPr>
                      <w:rFonts w:hint="eastAsia" w:eastAsia="宋体"/>
                      <w:color w:val="auto"/>
                      <w:lang w:val="en-US" w:eastAsia="zh-CN"/>
                    </w:rPr>
                  </w:pPr>
                  <w:r>
                    <w:rPr>
                      <w:rFonts w:hint="eastAsia"/>
                      <w:color w:val="auto"/>
                      <w:lang w:val="en-US" w:eastAsia="zh-CN"/>
                    </w:rPr>
                    <w:t>/</w:t>
                  </w:r>
                </w:p>
              </w:tc>
            </w:tr>
            <w:tr w14:paraId="1543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tcBorders>
                    <w:tl2br w:val="nil"/>
                    <w:tr2bl w:val="nil"/>
                  </w:tcBorders>
                  <w:vAlign w:val="center"/>
                </w:tcPr>
                <w:p w14:paraId="63002B24">
                  <w:pPr>
                    <w:pStyle w:val="50"/>
                    <w:jc w:val="center"/>
                    <w:rPr>
                      <w:color w:val="auto"/>
                    </w:rPr>
                  </w:pPr>
                  <w:r>
                    <w:rPr>
                      <w:rFonts w:hint="eastAsia"/>
                      <w:color w:val="auto"/>
                    </w:rPr>
                    <w:t>混凝土拌合料用水</w:t>
                  </w:r>
                </w:p>
              </w:tc>
              <w:tc>
                <w:tcPr>
                  <w:tcW w:w="559" w:type="pct"/>
                  <w:tcBorders>
                    <w:tl2br w:val="nil"/>
                    <w:tr2bl w:val="nil"/>
                  </w:tcBorders>
                  <w:vAlign w:val="center"/>
                </w:tcPr>
                <w:p w14:paraId="4652F869">
                  <w:pPr>
                    <w:pStyle w:val="50"/>
                    <w:jc w:val="center"/>
                    <w:rPr>
                      <w:rFonts w:hint="default" w:eastAsia="宋体"/>
                      <w:color w:val="auto"/>
                      <w:lang w:val="en-US" w:eastAsia="zh-CN"/>
                    </w:rPr>
                  </w:pPr>
                  <w:r>
                    <w:rPr>
                      <w:rFonts w:hint="eastAsia"/>
                      <w:color w:val="auto"/>
                      <w:lang w:val="en-US" w:eastAsia="zh-CN"/>
                    </w:rPr>
                    <w:t>1530</w:t>
                  </w:r>
                </w:p>
              </w:tc>
              <w:tc>
                <w:tcPr>
                  <w:tcW w:w="570" w:type="pct"/>
                  <w:tcBorders>
                    <w:tl2br w:val="nil"/>
                    <w:tr2bl w:val="nil"/>
                  </w:tcBorders>
                  <w:vAlign w:val="center"/>
                </w:tcPr>
                <w:p w14:paraId="10A9785C">
                  <w:pPr>
                    <w:pStyle w:val="50"/>
                    <w:jc w:val="center"/>
                    <w:rPr>
                      <w:rFonts w:hint="default" w:eastAsia="宋体"/>
                      <w:color w:val="auto"/>
                      <w:lang w:val="en-US" w:eastAsia="zh-CN"/>
                    </w:rPr>
                  </w:pPr>
                  <w:r>
                    <w:rPr>
                      <w:rFonts w:hint="eastAsia"/>
                      <w:color w:val="auto"/>
                      <w:lang w:val="en-US" w:eastAsia="zh-CN"/>
                    </w:rPr>
                    <w:t>1530</w:t>
                  </w:r>
                </w:p>
              </w:tc>
              <w:tc>
                <w:tcPr>
                  <w:tcW w:w="570" w:type="pct"/>
                  <w:tcBorders>
                    <w:tl2br w:val="nil"/>
                    <w:tr2bl w:val="nil"/>
                  </w:tcBorders>
                  <w:vAlign w:val="center"/>
                </w:tcPr>
                <w:p w14:paraId="70451732">
                  <w:pPr>
                    <w:pStyle w:val="50"/>
                    <w:jc w:val="center"/>
                    <w:rPr>
                      <w:rFonts w:hint="default" w:eastAsia="宋体"/>
                      <w:color w:val="auto"/>
                      <w:lang w:val="en-US" w:eastAsia="zh-CN"/>
                    </w:rPr>
                  </w:pPr>
                  <w:r>
                    <w:rPr>
                      <w:rFonts w:hint="eastAsia"/>
                      <w:color w:val="auto"/>
                      <w:lang w:val="en-US" w:eastAsia="zh-CN"/>
                    </w:rPr>
                    <w:t>/</w:t>
                  </w:r>
                </w:p>
              </w:tc>
              <w:tc>
                <w:tcPr>
                  <w:tcW w:w="505" w:type="pct"/>
                  <w:tcBorders>
                    <w:tl2br w:val="nil"/>
                    <w:tr2bl w:val="nil"/>
                  </w:tcBorders>
                  <w:vAlign w:val="center"/>
                </w:tcPr>
                <w:p w14:paraId="03ACEE30">
                  <w:pPr>
                    <w:pStyle w:val="50"/>
                    <w:jc w:val="center"/>
                    <w:rPr>
                      <w:rFonts w:hint="eastAsia" w:eastAsia="宋体"/>
                      <w:color w:val="auto"/>
                      <w:lang w:val="en-US" w:eastAsia="zh-CN"/>
                    </w:rPr>
                  </w:pPr>
                  <w:r>
                    <w:rPr>
                      <w:rFonts w:hint="eastAsia"/>
                      <w:color w:val="auto"/>
                      <w:lang w:val="en-US" w:eastAsia="zh-CN"/>
                    </w:rPr>
                    <w:t>/</w:t>
                  </w:r>
                </w:p>
              </w:tc>
              <w:tc>
                <w:tcPr>
                  <w:tcW w:w="470" w:type="pct"/>
                  <w:tcBorders>
                    <w:tl2br w:val="nil"/>
                    <w:tr2bl w:val="nil"/>
                  </w:tcBorders>
                  <w:vAlign w:val="center"/>
                </w:tcPr>
                <w:p w14:paraId="2109829A">
                  <w:pPr>
                    <w:pStyle w:val="50"/>
                    <w:jc w:val="center"/>
                    <w:rPr>
                      <w:color w:val="auto"/>
                    </w:rPr>
                  </w:pPr>
                  <w:r>
                    <w:rPr>
                      <w:rFonts w:hint="eastAsia"/>
                      <w:color w:val="auto"/>
                    </w:rPr>
                    <w:t>/</w:t>
                  </w:r>
                </w:p>
              </w:tc>
              <w:tc>
                <w:tcPr>
                  <w:tcW w:w="539" w:type="pct"/>
                  <w:tcBorders>
                    <w:tl2br w:val="nil"/>
                    <w:tr2bl w:val="nil"/>
                  </w:tcBorders>
                  <w:vAlign w:val="center"/>
                </w:tcPr>
                <w:p w14:paraId="4239D204">
                  <w:pPr>
                    <w:pStyle w:val="50"/>
                    <w:jc w:val="center"/>
                    <w:rPr>
                      <w:color w:val="auto"/>
                    </w:rPr>
                  </w:pPr>
                  <w:r>
                    <w:rPr>
                      <w:rFonts w:hint="eastAsia"/>
                      <w:color w:val="auto"/>
                    </w:rPr>
                    <w:t>/</w:t>
                  </w:r>
                </w:p>
              </w:tc>
              <w:tc>
                <w:tcPr>
                  <w:tcW w:w="608" w:type="pct"/>
                  <w:tcBorders>
                    <w:tl2br w:val="nil"/>
                    <w:tr2bl w:val="nil"/>
                  </w:tcBorders>
                  <w:vAlign w:val="center"/>
                </w:tcPr>
                <w:p w14:paraId="60A7A41A">
                  <w:pPr>
                    <w:pStyle w:val="50"/>
                    <w:jc w:val="center"/>
                    <w:rPr>
                      <w:rFonts w:hint="default" w:eastAsia="宋体"/>
                      <w:color w:val="auto"/>
                      <w:lang w:val="en-US" w:eastAsia="zh-CN"/>
                    </w:rPr>
                  </w:pPr>
                  <w:r>
                    <w:rPr>
                      <w:rFonts w:hint="eastAsia"/>
                      <w:color w:val="auto"/>
                      <w:lang w:val="en-US" w:eastAsia="zh-CN"/>
                    </w:rPr>
                    <w:t>1530</w:t>
                  </w:r>
                </w:p>
              </w:tc>
              <w:tc>
                <w:tcPr>
                  <w:tcW w:w="506" w:type="pct"/>
                  <w:tcBorders>
                    <w:tl2br w:val="nil"/>
                    <w:tr2bl w:val="nil"/>
                  </w:tcBorders>
                  <w:vAlign w:val="center"/>
                </w:tcPr>
                <w:p w14:paraId="4DA86F9A">
                  <w:pPr>
                    <w:pStyle w:val="50"/>
                    <w:jc w:val="center"/>
                    <w:rPr>
                      <w:color w:val="auto"/>
                    </w:rPr>
                  </w:pPr>
                  <w:r>
                    <w:rPr>
                      <w:rFonts w:hint="eastAsia"/>
                      <w:color w:val="auto"/>
                    </w:rPr>
                    <w:t>/</w:t>
                  </w:r>
                </w:p>
              </w:tc>
            </w:tr>
            <w:tr w14:paraId="0C2F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tcBorders>
                    <w:tl2br w:val="nil"/>
                    <w:tr2bl w:val="nil"/>
                  </w:tcBorders>
                  <w:vAlign w:val="center"/>
                </w:tcPr>
                <w:p w14:paraId="0C576004">
                  <w:pPr>
                    <w:pStyle w:val="50"/>
                    <w:jc w:val="center"/>
                    <w:rPr>
                      <w:color w:val="auto"/>
                    </w:rPr>
                  </w:pPr>
                  <w:r>
                    <w:rPr>
                      <w:color w:val="auto"/>
                    </w:rPr>
                    <w:t>合计</w:t>
                  </w:r>
                </w:p>
              </w:tc>
              <w:tc>
                <w:tcPr>
                  <w:tcW w:w="559" w:type="pct"/>
                  <w:tcBorders>
                    <w:tl2br w:val="nil"/>
                    <w:tr2bl w:val="nil"/>
                  </w:tcBorders>
                  <w:vAlign w:val="center"/>
                </w:tcPr>
                <w:p w14:paraId="1ECB665B">
                  <w:pPr>
                    <w:pStyle w:val="50"/>
                    <w:jc w:val="center"/>
                    <w:rPr>
                      <w:rFonts w:hint="default" w:eastAsia="宋体"/>
                      <w:color w:val="auto"/>
                      <w:lang w:val="en-US" w:eastAsia="zh-CN"/>
                    </w:rPr>
                  </w:pPr>
                  <w:r>
                    <w:rPr>
                      <w:rFonts w:hint="eastAsia"/>
                      <w:color w:val="auto"/>
                      <w:lang w:val="en-US" w:eastAsia="zh-CN"/>
                    </w:rPr>
                    <w:t>1680</w:t>
                  </w:r>
                </w:p>
              </w:tc>
              <w:tc>
                <w:tcPr>
                  <w:tcW w:w="570" w:type="pct"/>
                  <w:tcBorders>
                    <w:tl2br w:val="nil"/>
                    <w:tr2bl w:val="nil"/>
                  </w:tcBorders>
                  <w:vAlign w:val="center"/>
                </w:tcPr>
                <w:p w14:paraId="7F662628">
                  <w:pPr>
                    <w:pStyle w:val="50"/>
                    <w:jc w:val="center"/>
                    <w:rPr>
                      <w:rFonts w:hint="default" w:eastAsia="宋体"/>
                      <w:color w:val="auto"/>
                      <w:lang w:val="en-US" w:eastAsia="zh-CN"/>
                    </w:rPr>
                  </w:pPr>
                  <w:r>
                    <w:rPr>
                      <w:rFonts w:hint="eastAsia"/>
                      <w:color w:val="auto"/>
                      <w:lang w:val="en-US" w:eastAsia="zh-CN"/>
                    </w:rPr>
                    <w:t>1680</w:t>
                  </w:r>
                </w:p>
              </w:tc>
              <w:tc>
                <w:tcPr>
                  <w:tcW w:w="570" w:type="pct"/>
                  <w:tcBorders>
                    <w:tl2br w:val="nil"/>
                    <w:tr2bl w:val="nil"/>
                  </w:tcBorders>
                  <w:vAlign w:val="center"/>
                </w:tcPr>
                <w:p w14:paraId="6E568ABD">
                  <w:pPr>
                    <w:pStyle w:val="50"/>
                    <w:jc w:val="center"/>
                    <w:rPr>
                      <w:rFonts w:hint="default" w:eastAsia="宋体"/>
                      <w:color w:val="auto"/>
                      <w:lang w:val="en-US" w:eastAsia="zh-CN"/>
                    </w:rPr>
                  </w:pPr>
                  <w:r>
                    <w:rPr>
                      <w:rFonts w:hint="eastAsia"/>
                      <w:color w:val="auto"/>
                      <w:lang w:val="en-US" w:eastAsia="zh-CN"/>
                    </w:rPr>
                    <w:t>/</w:t>
                  </w:r>
                </w:p>
              </w:tc>
              <w:tc>
                <w:tcPr>
                  <w:tcW w:w="505" w:type="pct"/>
                  <w:tcBorders>
                    <w:tl2br w:val="nil"/>
                    <w:tr2bl w:val="nil"/>
                  </w:tcBorders>
                  <w:vAlign w:val="center"/>
                </w:tcPr>
                <w:p w14:paraId="67B52598">
                  <w:pPr>
                    <w:pStyle w:val="50"/>
                    <w:jc w:val="center"/>
                    <w:rPr>
                      <w:rFonts w:hint="default" w:eastAsia="宋体"/>
                      <w:color w:val="auto"/>
                      <w:lang w:val="en-US" w:eastAsia="zh-CN"/>
                    </w:rPr>
                  </w:pPr>
                  <w:r>
                    <w:rPr>
                      <w:rFonts w:hint="eastAsia"/>
                      <w:color w:val="auto"/>
                      <w:lang w:val="en-US" w:eastAsia="zh-CN"/>
                    </w:rPr>
                    <w:t>/</w:t>
                  </w:r>
                </w:p>
              </w:tc>
              <w:tc>
                <w:tcPr>
                  <w:tcW w:w="470" w:type="pct"/>
                  <w:tcBorders>
                    <w:tl2br w:val="nil"/>
                    <w:tr2bl w:val="nil"/>
                  </w:tcBorders>
                  <w:vAlign w:val="center"/>
                </w:tcPr>
                <w:p w14:paraId="1B843416">
                  <w:pPr>
                    <w:pStyle w:val="50"/>
                    <w:jc w:val="center"/>
                    <w:rPr>
                      <w:rFonts w:hint="default" w:eastAsia="宋体"/>
                      <w:color w:val="auto"/>
                      <w:lang w:val="en-US" w:eastAsia="zh-CN"/>
                    </w:rPr>
                  </w:pPr>
                  <w:r>
                    <w:rPr>
                      <w:rFonts w:hint="eastAsia"/>
                      <w:color w:val="auto"/>
                      <w:lang w:val="en-US" w:eastAsia="zh-CN"/>
                    </w:rPr>
                    <w:t>/</w:t>
                  </w:r>
                </w:p>
              </w:tc>
              <w:tc>
                <w:tcPr>
                  <w:tcW w:w="539" w:type="pct"/>
                  <w:tcBorders>
                    <w:tl2br w:val="nil"/>
                    <w:tr2bl w:val="nil"/>
                  </w:tcBorders>
                  <w:vAlign w:val="center"/>
                </w:tcPr>
                <w:p w14:paraId="42F40F27">
                  <w:pPr>
                    <w:pStyle w:val="50"/>
                    <w:jc w:val="center"/>
                    <w:rPr>
                      <w:rFonts w:hint="default" w:eastAsia="宋体"/>
                      <w:color w:val="auto"/>
                      <w:lang w:val="en-US" w:eastAsia="zh-CN"/>
                    </w:rPr>
                  </w:pPr>
                  <w:r>
                    <w:rPr>
                      <w:rFonts w:hint="eastAsia"/>
                      <w:color w:val="auto"/>
                      <w:lang w:val="en-US" w:eastAsia="zh-CN"/>
                    </w:rPr>
                    <w:t>/</w:t>
                  </w:r>
                </w:p>
              </w:tc>
              <w:tc>
                <w:tcPr>
                  <w:tcW w:w="608" w:type="pct"/>
                  <w:tcBorders>
                    <w:tl2br w:val="nil"/>
                    <w:tr2bl w:val="nil"/>
                  </w:tcBorders>
                  <w:vAlign w:val="center"/>
                </w:tcPr>
                <w:p w14:paraId="270CBFBC">
                  <w:pPr>
                    <w:pStyle w:val="50"/>
                    <w:jc w:val="center"/>
                    <w:rPr>
                      <w:rFonts w:hint="default" w:eastAsia="宋体"/>
                      <w:color w:val="auto"/>
                      <w:lang w:val="en-US" w:eastAsia="zh-CN"/>
                    </w:rPr>
                  </w:pPr>
                  <w:r>
                    <w:rPr>
                      <w:rFonts w:hint="eastAsia"/>
                      <w:color w:val="auto"/>
                      <w:lang w:val="en-US" w:eastAsia="zh-CN"/>
                    </w:rPr>
                    <w:t>1680</w:t>
                  </w:r>
                </w:p>
              </w:tc>
              <w:tc>
                <w:tcPr>
                  <w:tcW w:w="506" w:type="pct"/>
                  <w:tcBorders>
                    <w:tl2br w:val="nil"/>
                    <w:tr2bl w:val="nil"/>
                  </w:tcBorders>
                  <w:vAlign w:val="center"/>
                </w:tcPr>
                <w:p w14:paraId="704B5800">
                  <w:pPr>
                    <w:pStyle w:val="50"/>
                    <w:jc w:val="center"/>
                    <w:rPr>
                      <w:rFonts w:hint="default" w:eastAsia="宋体"/>
                      <w:color w:val="auto"/>
                      <w:lang w:val="en-US" w:eastAsia="zh-CN"/>
                    </w:rPr>
                  </w:pPr>
                  <w:r>
                    <w:rPr>
                      <w:rFonts w:hint="eastAsia"/>
                      <w:color w:val="auto"/>
                      <w:lang w:val="en-US" w:eastAsia="zh-CN"/>
                    </w:rPr>
                    <w:t>/</w:t>
                  </w:r>
                </w:p>
              </w:tc>
            </w:tr>
          </w:tbl>
          <w:p w14:paraId="3AAD8650">
            <w:pPr>
              <w:pStyle w:val="36"/>
              <w:rPr>
                <w:rFonts w:cs="Times New Roman"/>
                <w:color w:val="auto"/>
              </w:rPr>
            </w:pPr>
            <w:r>
              <w:rPr>
                <w:rFonts w:cs="Times New Roman"/>
                <w:color w:val="auto"/>
              </w:rPr>
              <w:t>表2-</w:t>
            </w:r>
            <w:r>
              <w:rPr>
                <w:rFonts w:hint="eastAsia" w:cs="Times New Roman"/>
                <w:color w:val="auto"/>
                <w:lang w:val="en-US" w:eastAsia="zh-CN"/>
              </w:rPr>
              <w:t>7</w:t>
            </w:r>
            <w:r>
              <w:rPr>
                <w:rFonts w:cs="Times New Roman"/>
                <w:color w:val="auto"/>
              </w:rPr>
              <w:t xml:space="preserve">  </w:t>
            </w:r>
            <w:r>
              <w:rPr>
                <w:rFonts w:hint="eastAsia" w:cs="Times New Roman"/>
                <w:color w:val="auto"/>
                <w:lang w:val="en-US" w:eastAsia="zh-CN"/>
              </w:rPr>
              <w:t>生活</w:t>
            </w:r>
            <w:r>
              <w:rPr>
                <w:rFonts w:cs="Times New Roman"/>
                <w:color w:val="auto"/>
              </w:rPr>
              <w:t>水平衡一览表      单位m</w:t>
            </w:r>
            <w:r>
              <w:rPr>
                <w:rFonts w:cs="Times New Roman"/>
                <w:color w:val="auto"/>
                <w:vertAlign w:val="superscript"/>
              </w:rPr>
              <w:t>3</w:t>
            </w:r>
            <w:r>
              <w:rPr>
                <w:rFonts w:cs="Times New Roman"/>
                <w:color w:val="auto"/>
              </w:rPr>
              <w:t>/</w:t>
            </w:r>
            <w:r>
              <w:rPr>
                <w:rFonts w:hint="eastAsia" w:cs="Times New Roman"/>
                <w:color w:val="auto"/>
              </w:rPr>
              <w:t>a</w:t>
            </w:r>
          </w:p>
          <w:tbl>
            <w:tblPr>
              <w:tblStyle w:val="28"/>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2364"/>
              <w:gridCol w:w="2366"/>
            </w:tblGrid>
            <w:tr w14:paraId="6DC1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2" w:type="dxa"/>
                  <w:vAlign w:val="top"/>
                </w:tcPr>
                <w:p w14:paraId="556BC0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用水量</w:t>
                  </w:r>
                </w:p>
              </w:tc>
              <w:tc>
                <w:tcPr>
                  <w:tcW w:w="2492" w:type="dxa"/>
                  <w:vAlign w:val="top"/>
                </w:tcPr>
                <w:p w14:paraId="540100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废水量</w:t>
                  </w:r>
                </w:p>
              </w:tc>
              <w:tc>
                <w:tcPr>
                  <w:tcW w:w="2493" w:type="dxa"/>
                  <w:vAlign w:val="top"/>
                </w:tcPr>
                <w:p w14:paraId="1F8B1E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消耗量</w:t>
                  </w:r>
                </w:p>
              </w:tc>
            </w:tr>
            <w:tr w14:paraId="5B8B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2" w:type="dxa"/>
                  <w:vAlign w:val="top"/>
                </w:tcPr>
                <w:p w14:paraId="2B6CA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270</w:t>
                  </w:r>
                </w:p>
              </w:tc>
              <w:tc>
                <w:tcPr>
                  <w:tcW w:w="2492" w:type="dxa"/>
                  <w:vAlign w:val="top"/>
                </w:tcPr>
                <w:p w14:paraId="387EB7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216</w:t>
                  </w:r>
                </w:p>
              </w:tc>
              <w:tc>
                <w:tcPr>
                  <w:tcW w:w="2493" w:type="dxa"/>
                  <w:vAlign w:val="top"/>
                </w:tcPr>
                <w:p w14:paraId="3E40D4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50</w:t>
                  </w:r>
                </w:p>
              </w:tc>
            </w:tr>
          </w:tbl>
          <w:p w14:paraId="68AFF5E7">
            <w:pPr>
              <w:pStyle w:val="36"/>
              <w:rPr>
                <w:rStyle w:val="52"/>
                <w:rFonts w:cs="Times New Roman"/>
                <w:b/>
                <w:color w:val="auto"/>
              </w:rPr>
            </w:pPr>
            <w:r>
              <w:rPr>
                <w:rFonts w:cs="Times New Roman"/>
                <w:b/>
                <w:bCs/>
                <w:color w:val="auto"/>
                <w:szCs w:val="24"/>
              </w:rPr>
              <w:object>
                <v:shape id="_x0000_i1025" o:spt="75" type="#_x0000_t75" style="height:163.95pt;width:300.3pt;" o:ole="t" filled="f" o:preferrelative="t" stroked="f" coordsize="21600,21600">
                  <v:path/>
                  <v:fill on="f" focussize="0,0"/>
                  <v:stroke on="f"/>
                  <v:imagedata r:id="rId9" croptop="17498f" cropright="21140f" cropbottom="23978f" o:title=""/>
                  <o:lock v:ext="edit" aspectratio="f"/>
                  <w10:wrap type="none"/>
                  <w10:anchorlock/>
                </v:shape>
                <o:OLEObject Type="Embed" ProgID="Visio.Drawing.11" ShapeID="_x0000_i1025" DrawAspect="Content" ObjectID="_1468075725" r:id="rId8">
                  <o:LockedField>false</o:LockedField>
                </o:OLEObject>
              </w:object>
            </w:r>
          </w:p>
          <w:p w14:paraId="681EB113">
            <w:pPr>
              <w:pStyle w:val="36"/>
              <w:rPr>
                <w:rFonts w:cs="Times New Roman"/>
                <w:color w:val="auto"/>
              </w:rPr>
            </w:pPr>
            <w:r>
              <w:rPr>
                <w:rStyle w:val="52"/>
                <w:rFonts w:cs="Times New Roman"/>
                <w:b/>
                <w:color w:val="auto"/>
              </w:rPr>
              <w:t>图</w:t>
            </w:r>
            <w:r>
              <w:rPr>
                <w:rStyle w:val="52"/>
                <w:rFonts w:hint="eastAsia" w:cs="Times New Roman"/>
                <w:b/>
                <w:color w:val="auto"/>
                <w:lang w:val="en-US" w:eastAsia="zh-CN"/>
              </w:rPr>
              <w:t>5</w:t>
            </w:r>
            <w:r>
              <w:rPr>
                <w:rStyle w:val="52"/>
                <w:rFonts w:cs="Times New Roman"/>
                <w:b/>
                <w:color w:val="auto"/>
              </w:rPr>
              <w:t>-1  项目水平衡图单位（m</w:t>
            </w:r>
            <w:r>
              <w:rPr>
                <w:rStyle w:val="52"/>
                <w:rFonts w:cs="Times New Roman"/>
                <w:b/>
                <w:color w:val="auto"/>
                <w:vertAlign w:val="superscript"/>
              </w:rPr>
              <w:t>3</w:t>
            </w:r>
            <w:r>
              <w:rPr>
                <w:rStyle w:val="52"/>
                <w:rFonts w:cs="Times New Roman"/>
                <w:b/>
                <w:color w:val="auto"/>
              </w:rPr>
              <w:t>/</w:t>
            </w:r>
            <w:r>
              <w:rPr>
                <w:rStyle w:val="52"/>
                <w:rFonts w:hint="eastAsia" w:cs="Times New Roman"/>
                <w:b/>
                <w:color w:val="auto"/>
                <w:lang w:val="en-US" w:eastAsia="zh-CN"/>
              </w:rPr>
              <w:t>a</w:t>
            </w:r>
            <w:r>
              <w:rPr>
                <w:rStyle w:val="52"/>
                <w:rFonts w:cs="Times New Roman"/>
                <w:b/>
                <w:color w:val="auto"/>
              </w:rPr>
              <w:t>）</w:t>
            </w:r>
          </w:p>
          <w:p w14:paraId="0B92C75D">
            <w:pPr>
              <w:ind w:firstLine="482"/>
              <w:rPr>
                <w:rFonts w:cs="Times New Roman"/>
                <w:b/>
                <w:bCs/>
                <w:color w:val="auto"/>
              </w:rPr>
            </w:pPr>
            <w:r>
              <w:rPr>
                <w:rFonts w:cs="Times New Roman"/>
                <w:b/>
                <w:bCs/>
                <w:color w:val="auto"/>
              </w:rPr>
              <w:t>5.2供电</w:t>
            </w:r>
          </w:p>
          <w:p w14:paraId="6ACEA449">
            <w:pPr>
              <w:ind w:firstLine="480"/>
              <w:rPr>
                <w:rFonts w:cs="Times New Roman"/>
                <w:color w:val="auto"/>
                <w:highlight w:val="none"/>
              </w:rPr>
            </w:pPr>
            <w:r>
              <w:rPr>
                <w:rFonts w:cs="Times New Roman"/>
                <w:color w:val="auto"/>
                <w:highlight w:val="none"/>
              </w:rPr>
              <w:t>本项目年用电量</w:t>
            </w:r>
            <w:r>
              <w:rPr>
                <w:rFonts w:hint="eastAsia" w:cs="Times New Roman"/>
                <w:color w:val="auto"/>
                <w:highlight w:val="none"/>
                <w:lang w:val="en-US" w:eastAsia="zh-CN"/>
              </w:rPr>
              <w:t>4</w:t>
            </w:r>
            <w:r>
              <w:rPr>
                <w:rFonts w:cs="Times New Roman"/>
                <w:color w:val="auto"/>
                <w:highlight w:val="none"/>
              </w:rPr>
              <w:t>万kw·h。</w:t>
            </w:r>
          </w:p>
          <w:p w14:paraId="179E2F01">
            <w:pPr>
              <w:ind w:firstLine="482"/>
              <w:rPr>
                <w:rFonts w:cs="Times New Roman"/>
                <w:b/>
                <w:bCs/>
                <w:color w:val="auto"/>
              </w:rPr>
            </w:pPr>
            <w:r>
              <w:rPr>
                <w:rFonts w:cs="Times New Roman"/>
                <w:b/>
                <w:bCs/>
                <w:color w:val="auto"/>
              </w:rPr>
              <w:t>5.3供热</w:t>
            </w:r>
          </w:p>
          <w:p w14:paraId="098A5331">
            <w:pPr>
              <w:ind w:firstLine="480"/>
              <w:rPr>
                <w:rFonts w:cs="Times New Roman"/>
                <w:color w:val="auto"/>
              </w:rPr>
            </w:pPr>
            <w:r>
              <w:rPr>
                <w:rFonts w:cs="Times New Roman"/>
                <w:color w:val="auto"/>
              </w:rPr>
              <w:t>本项目冬季采暖方式为电采暖。</w:t>
            </w:r>
          </w:p>
          <w:p w14:paraId="0617A4C0">
            <w:pPr>
              <w:ind w:firstLine="482"/>
              <w:rPr>
                <w:rFonts w:cs="Times New Roman"/>
                <w:b/>
                <w:bCs/>
                <w:color w:val="auto"/>
              </w:rPr>
            </w:pPr>
            <w:r>
              <w:rPr>
                <w:rFonts w:cs="Times New Roman"/>
                <w:b/>
                <w:bCs/>
                <w:color w:val="auto"/>
              </w:rPr>
              <w:t>6、平面布置</w:t>
            </w:r>
          </w:p>
          <w:p w14:paraId="1C1B5563">
            <w:pPr>
              <w:ind w:firstLine="480"/>
              <w:rPr>
                <w:rFonts w:cs="Times New Roman"/>
                <w:color w:val="auto"/>
              </w:rPr>
            </w:pPr>
            <w:r>
              <w:rPr>
                <w:rFonts w:cs="Times New Roman"/>
                <w:color w:val="auto"/>
              </w:rPr>
              <w:t>本项目总平面布置图及</w:t>
            </w:r>
            <w:r>
              <w:rPr>
                <w:rFonts w:hint="eastAsia" w:cs="Times New Roman"/>
                <w:color w:val="auto"/>
                <w:lang w:val="en-US" w:eastAsia="zh-CN"/>
              </w:rPr>
              <w:t>生产区域</w:t>
            </w:r>
            <w:r>
              <w:rPr>
                <w:rFonts w:cs="Times New Roman"/>
                <w:color w:val="auto"/>
              </w:rPr>
              <w:t>布置图具体见附图。</w:t>
            </w:r>
          </w:p>
        </w:tc>
      </w:tr>
      <w:tr w14:paraId="5EEF2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3" w:hRule="atLeast"/>
          <w:jc w:val="center"/>
        </w:trPr>
        <w:tc>
          <w:tcPr>
            <w:tcW w:w="829" w:type="dxa"/>
            <w:vAlign w:val="center"/>
          </w:tcPr>
          <w:p w14:paraId="06E2EA9C">
            <w:pPr>
              <w:ind w:firstLine="0" w:firstLineChars="0"/>
              <w:jc w:val="center"/>
              <w:rPr>
                <w:rFonts w:cs="Times New Roman"/>
                <w:color w:val="auto"/>
              </w:rPr>
            </w:pPr>
            <w:r>
              <w:rPr>
                <w:rFonts w:cs="Times New Roman"/>
                <w:color w:val="auto"/>
              </w:rPr>
              <w:t>工艺流程和产排污环节</w:t>
            </w:r>
          </w:p>
        </w:tc>
        <w:tc>
          <w:tcPr>
            <w:tcW w:w="7693" w:type="dxa"/>
          </w:tcPr>
          <w:p w14:paraId="626D901E">
            <w:pPr>
              <w:ind w:left="0" w:leftChars="0" w:firstLine="0" w:firstLineChars="0"/>
              <w:rPr>
                <w:rFonts w:cs="Times New Roman"/>
                <w:b/>
                <w:bCs/>
                <w:color w:val="auto"/>
              </w:rPr>
            </w:pPr>
            <w:r>
              <w:rPr>
                <w:rFonts w:cs="Times New Roman"/>
                <w:b/>
                <w:bCs/>
                <w:color w:val="auto"/>
              </w:rPr>
              <w:t>1、施工期工艺流程及产污节点</w:t>
            </w:r>
          </w:p>
          <w:p w14:paraId="5D7B29D9">
            <w:pPr>
              <w:ind w:firstLine="480"/>
              <w:rPr>
                <w:rFonts w:cs="Times New Roman"/>
                <w:color w:val="auto"/>
              </w:rPr>
            </w:pPr>
            <w:r>
              <w:rPr>
                <w:rFonts w:cs="Times New Roman"/>
                <w:color w:val="auto"/>
              </w:rPr>
              <w:t>项目施工期工艺流程见图2-2。</w:t>
            </w:r>
          </w:p>
          <w:p w14:paraId="2E6B220B">
            <w:pPr>
              <w:ind w:firstLine="480"/>
              <w:rPr>
                <w:rFonts w:cs="Times New Roman"/>
                <w:color w:val="auto"/>
              </w:rPr>
            </w:pPr>
            <w:r>
              <w:rPr>
                <w:rFonts w:cs="Times New Roman"/>
                <w:color w:val="auto"/>
              </w:rPr>
              <w:object>
                <v:shape id="_x0000_i1026" o:spt="75" type="#_x0000_t75" style="height:185.45pt;width:345.05pt;" o:ole="t" filled="f" o:preferrelative="t" stroked="f" coordsize="21600,21600">
                  <v:path/>
                  <v:fill on="f" focussize="0,0"/>
                  <v:stroke on="f" joinstyle="miter"/>
                  <v:imagedata r:id="rId11" o:title=""/>
                  <o:lock v:ext="edit" aspectratio="f"/>
                  <w10:wrap type="none"/>
                  <w10:anchorlock/>
                </v:shape>
                <o:OLEObject Type="Embed" ProgID="Visio.Drawing.11" ShapeID="_x0000_i1026" DrawAspect="Content" ObjectID="_1468075726" r:id="rId10">
                  <o:LockedField>false</o:LockedField>
                </o:OLEObject>
              </w:object>
            </w:r>
          </w:p>
          <w:p w14:paraId="47974A30">
            <w:pPr>
              <w:pStyle w:val="36"/>
              <w:rPr>
                <w:rFonts w:cs="Times New Roman"/>
                <w:color w:val="auto"/>
              </w:rPr>
            </w:pPr>
            <w:r>
              <w:rPr>
                <w:rFonts w:cs="Times New Roman"/>
                <w:color w:val="auto"/>
              </w:rPr>
              <w:t>图2-2  施工期工艺流程及产污节点示意图</w:t>
            </w:r>
          </w:p>
          <w:p w14:paraId="3097E9B2">
            <w:pPr>
              <w:ind w:left="0" w:leftChars="0" w:firstLine="0" w:firstLineChars="0"/>
              <w:rPr>
                <w:rFonts w:cs="Times New Roman"/>
                <w:b/>
                <w:bCs/>
                <w:color w:val="auto"/>
              </w:rPr>
            </w:pPr>
            <w:r>
              <w:rPr>
                <w:rFonts w:cs="Times New Roman"/>
                <w:b/>
                <w:bCs/>
                <w:color w:val="auto"/>
              </w:rPr>
              <w:t>2、运营期生产工艺流程及产污节点</w:t>
            </w:r>
          </w:p>
          <w:p w14:paraId="27968671">
            <w:pPr>
              <w:ind w:firstLine="480"/>
              <w:rPr>
                <w:rFonts w:cs="Times New Roman"/>
                <w:color w:val="auto"/>
              </w:rPr>
            </w:pPr>
            <w:r>
              <w:rPr>
                <w:rFonts w:cs="Times New Roman"/>
                <w:color w:val="auto"/>
              </w:rPr>
              <w:t>项目运营期生产工艺流程图如下：</w:t>
            </w:r>
          </w:p>
          <w:p w14:paraId="0CFBACD5">
            <w:pPr>
              <w:pStyle w:val="36"/>
              <w:rPr>
                <w:rFonts w:cs="Times New Roman"/>
                <w:color w:val="auto"/>
              </w:rPr>
            </w:pPr>
            <w:r>
              <w:rPr>
                <w:rFonts w:cs="Times New Roman"/>
                <w:color w:val="auto"/>
              </w:rPr>
              <w:object>
                <v:shape id="_x0000_i1027" o:spt="75" type="#_x0000_t75" style="height:317.7pt;width:373.6pt;" o:ole="t" filled="f" o:preferrelative="t" stroked="f" coordsize="21600,21600">
                  <v:path/>
                  <v:fill on="f" focussize="0,0"/>
                  <v:stroke on="f"/>
                  <v:imagedata r:id="rId13" croptop="4842f" cropbottom="11467f" o:title=""/>
                  <o:lock v:ext="edit" aspectratio="f"/>
                  <w10:wrap type="none"/>
                  <w10:anchorlock/>
                </v:shape>
                <o:OLEObject Type="Embed" ProgID="Visio.Drawing.11" ShapeID="_x0000_i1027" DrawAspect="Content" ObjectID="_1468075727" r:id="rId12">
                  <o:LockedField>false</o:LockedField>
                </o:OLEObject>
              </w:object>
            </w:r>
            <w:r>
              <w:rPr>
                <w:rFonts w:cs="Times New Roman"/>
                <w:color w:val="auto"/>
              </w:rPr>
              <w:t>图2-3  运营期工艺流程及产污节点示意图</w:t>
            </w:r>
          </w:p>
          <w:p w14:paraId="462A0F8A">
            <w:pPr>
              <w:ind w:firstLine="480"/>
              <w:rPr>
                <w:rFonts w:cs="Times New Roman"/>
                <w:color w:val="auto"/>
                <w:szCs w:val="21"/>
              </w:rPr>
            </w:pPr>
            <w:r>
              <w:rPr>
                <w:rFonts w:cs="Times New Roman"/>
                <w:color w:val="auto"/>
                <w:szCs w:val="21"/>
              </w:rPr>
              <w:fldChar w:fldCharType="begin"/>
            </w:r>
            <w:r>
              <w:rPr>
                <w:rFonts w:cs="Times New Roman"/>
                <w:color w:val="auto"/>
                <w:szCs w:val="21"/>
              </w:rPr>
              <w:instrText xml:space="preserve"> = 1 \* GB3 \* MERGEFORMAT </w:instrText>
            </w:r>
            <w:r>
              <w:rPr>
                <w:rFonts w:cs="Times New Roman"/>
                <w:color w:val="auto"/>
                <w:szCs w:val="21"/>
              </w:rPr>
              <w:fldChar w:fldCharType="separate"/>
            </w:r>
            <w:r>
              <w:rPr>
                <w:rFonts w:cs="Times New Roman"/>
                <w:color w:val="auto"/>
              </w:rPr>
              <w:t>①</w:t>
            </w:r>
            <w:r>
              <w:rPr>
                <w:rFonts w:cs="Times New Roman"/>
                <w:color w:val="auto"/>
                <w:szCs w:val="21"/>
              </w:rPr>
              <w:fldChar w:fldCharType="end"/>
            </w:r>
            <w:r>
              <w:rPr>
                <w:rFonts w:cs="Times New Roman"/>
                <w:color w:val="auto"/>
                <w:szCs w:val="21"/>
              </w:rPr>
              <w:t>原辅料的输送</w:t>
            </w:r>
          </w:p>
          <w:p w14:paraId="1695F1B1">
            <w:pPr>
              <w:ind w:firstLine="480"/>
              <w:rPr>
                <w:rFonts w:cs="Times New Roman"/>
                <w:color w:val="auto"/>
              </w:rPr>
            </w:pPr>
            <w:r>
              <w:rPr>
                <w:rFonts w:cs="Times New Roman"/>
                <w:color w:val="auto"/>
                <w:szCs w:val="21"/>
              </w:rPr>
              <w:t>本项目混凝土制备工序所用的原料为砂、石子、水泥、</w:t>
            </w:r>
            <w:r>
              <w:rPr>
                <w:rFonts w:hint="eastAsia" w:cs="Times New Roman"/>
                <w:color w:val="auto"/>
                <w:szCs w:val="21"/>
                <w:lang w:val="en-US" w:eastAsia="zh-CN"/>
              </w:rPr>
              <w:t>粉煤灰</w:t>
            </w:r>
            <w:r>
              <w:rPr>
                <w:rFonts w:cs="Times New Roman"/>
                <w:color w:val="auto"/>
                <w:szCs w:val="21"/>
              </w:rPr>
              <w:t>等，</w:t>
            </w:r>
            <w:r>
              <w:rPr>
                <w:rFonts w:cs="Times New Roman"/>
                <w:color w:val="auto"/>
                <w:lang w:bidi="ar"/>
              </w:rPr>
              <w:t>外购的砂石均为清洗过的砂石（其中石子为9～16mm碎石、砂为中粗砂细度模数为2.5~3.5），</w:t>
            </w:r>
            <w:r>
              <w:rPr>
                <w:rFonts w:cs="Times New Roman"/>
                <w:color w:val="auto"/>
                <w:szCs w:val="21"/>
              </w:rPr>
              <w:t>通过斗车运输至</w:t>
            </w:r>
            <w:r>
              <w:rPr>
                <w:rFonts w:cs="Times New Roman"/>
                <w:color w:val="auto"/>
                <w:lang w:bidi="ar"/>
              </w:rPr>
              <w:t>在厂内砂石堆场堆放备用</w:t>
            </w:r>
            <w:r>
              <w:rPr>
                <w:rFonts w:cs="Times New Roman"/>
                <w:color w:val="auto"/>
                <w:szCs w:val="21"/>
              </w:rPr>
              <w:t>，砂石输送过程主要产生粉尘，为无组织排放；水泥、</w:t>
            </w:r>
            <w:r>
              <w:rPr>
                <w:rFonts w:hint="eastAsia" w:cs="Times New Roman"/>
                <w:color w:val="auto"/>
                <w:szCs w:val="21"/>
                <w:lang w:val="en-US" w:eastAsia="zh-CN"/>
              </w:rPr>
              <w:t>粉煤灰</w:t>
            </w:r>
            <w:r>
              <w:rPr>
                <w:rFonts w:cs="Times New Roman"/>
                <w:color w:val="auto"/>
                <w:szCs w:val="21"/>
              </w:rPr>
              <w:t>通过密闭车辆运输至粉料仓底，通过输灰管将车辆的出料口与筒仓的进料口连接，采用运输车辆配备的空压机将车辆中的粉料通过压缩空气压送到原料粉料仓中储存，在输送水泥、</w:t>
            </w:r>
            <w:r>
              <w:rPr>
                <w:rFonts w:hint="eastAsia" w:cs="Times New Roman"/>
                <w:color w:val="auto"/>
                <w:szCs w:val="21"/>
                <w:lang w:val="en-US" w:eastAsia="zh-CN"/>
              </w:rPr>
              <w:t>粉煤灰</w:t>
            </w:r>
            <w:r>
              <w:rPr>
                <w:rFonts w:cs="Times New Roman"/>
                <w:color w:val="auto"/>
                <w:szCs w:val="21"/>
              </w:rPr>
              <w:t>过程中会产生粉尘，粉料仓内配置脉冲袋式除尘器进行除尘，除尘之后粉尘经顶</w:t>
            </w:r>
            <w:r>
              <w:rPr>
                <w:rFonts w:cs="Times New Roman"/>
                <w:color w:val="auto"/>
              </w:rPr>
              <w:t>部排口连接的软管排入净化水箱。</w:t>
            </w:r>
          </w:p>
          <w:p w14:paraId="54F3438D">
            <w:pPr>
              <w:ind w:firstLine="482"/>
              <w:rPr>
                <w:rFonts w:cs="Times New Roman"/>
                <w:color w:val="auto"/>
              </w:rPr>
            </w:pPr>
            <w:r>
              <w:rPr>
                <w:rFonts w:cs="Times New Roman"/>
                <w:b/>
                <w:bCs/>
                <w:color w:val="auto"/>
              </w:rPr>
              <w:t>产污环节分析</w:t>
            </w:r>
            <w:r>
              <w:rPr>
                <w:rFonts w:cs="Times New Roman"/>
                <w:color w:val="auto"/>
              </w:rPr>
              <w:t>：该过程产生运输扬尘。</w:t>
            </w:r>
          </w:p>
          <w:p w14:paraId="74CE0ACF">
            <w:pPr>
              <w:ind w:firstLine="480"/>
              <w:rPr>
                <w:rFonts w:cs="Times New Roman"/>
                <w:color w:val="auto"/>
              </w:rPr>
            </w:pPr>
            <w:r>
              <w:rPr>
                <w:rFonts w:cs="Times New Roman"/>
                <w:color w:val="auto"/>
              </w:rPr>
              <w:fldChar w:fldCharType="begin"/>
            </w:r>
            <w:r>
              <w:rPr>
                <w:rFonts w:cs="Times New Roman"/>
                <w:color w:val="auto"/>
              </w:rPr>
              <w:instrText xml:space="preserve"> = 2 \* GB3 \* MERGEFORMAT </w:instrText>
            </w:r>
            <w:r>
              <w:rPr>
                <w:rFonts w:cs="Times New Roman"/>
                <w:color w:val="auto"/>
              </w:rPr>
              <w:fldChar w:fldCharType="separate"/>
            </w:r>
            <w:r>
              <w:rPr>
                <w:rFonts w:cs="Times New Roman"/>
                <w:color w:val="auto"/>
              </w:rPr>
              <w:t>②</w:t>
            </w:r>
            <w:r>
              <w:rPr>
                <w:rFonts w:cs="Times New Roman"/>
                <w:color w:val="auto"/>
              </w:rPr>
              <w:fldChar w:fldCharType="end"/>
            </w:r>
            <w:r>
              <w:rPr>
                <w:rFonts w:cs="Times New Roman"/>
                <w:color w:val="auto"/>
              </w:rPr>
              <w:t>配料</w:t>
            </w:r>
          </w:p>
          <w:p w14:paraId="31D9CDB3">
            <w:pPr>
              <w:ind w:firstLine="480"/>
              <w:rPr>
                <w:rFonts w:cs="Times New Roman"/>
                <w:color w:val="auto"/>
              </w:rPr>
            </w:pPr>
            <w:r>
              <w:rPr>
                <w:rFonts w:cs="Times New Roman"/>
                <w:color w:val="auto"/>
              </w:rPr>
              <w:t>生产前，根据混凝土的配比对各种原材料进行称量，称量及配料过程均通过微机控制系统控制。</w:t>
            </w:r>
          </w:p>
          <w:p w14:paraId="01F8B0EC">
            <w:pPr>
              <w:ind w:firstLine="482"/>
              <w:rPr>
                <w:rFonts w:cs="Times New Roman"/>
                <w:color w:val="auto"/>
              </w:rPr>
            </w:pPr>
            <w:r>
              <w:rPr>
                <w:rFonts w:cs="Times New Roman"/>
                <w:b/>
                <w:bCs/>
                <w:color w:val="auto"/>
              </w:rPr>
              <w:t>产污环节分析</w:t>
            </w:r>
            <w:r>
              <w:rPr>
                <w:rFonts w:cs="Times New Roman"/>
                <w:color w:val="auto"/>
              </w:rPr>
              <w:t>：该过程产生少量粉尘。</w:t>
            </w:r>
          </w:p>
          <w:p w14:paraId="5AC16D3A">
            <w:pPr>
              <w:ind w:firstLine="480"/>
              <w:rPr>
                <w:rFonts w:cs="Times New Roman"/>
                <w:color w:val="auto"/>
              </w:rPr>
            </w:pPr>
            <w:r>
              <w:rPr>
                <w:rFonts w:cs="Times New Roman"/>
                <w:color w:val="auto"/>
              </w:rPr>
              <w:fldChar w:fldCharType="begin"/>
            </w:r>
            <w:r>
              <w:rPr>
                <w:rFonts w:cs="Times New Roman"/>
                <w:color w:val="auto"/>
              </w:rPr>
              <w:instrText xml:space="preserve"> = 3 \* GB3 \* MERGEFORMAT </w:instrText>
            </w:r>
            <w:r>
              <w:rPr>
                <w:rFonts w:cs="Times New Roman"/>
                <w:color w:val="auto"/>
              </w:rPr>
              <w:fldChar w:fldCharType="separate"/>
            </w:r>
            <w:r>
              <w:rPr>
                <w:rFonts w:cs="Times New Roman"/>
                <w:color w:val="auto"/>
              </w:rPr>
              <w:t>③</w:t>
            </w:r>
            <w:r>
              <w:rPr>
                <w:rFonts w:cs="Times New Roman"/>
                <w:color w:val="auto"/>
              </w:rPr>
              <w:fldChar w:fldCharType="end"/>
            </w:r>
            <w:r>
              <w:rPr>
                <w:rFonts w:cs="Times New Roman"/>
                <w:color w:val="auto"/>
              </w:rPr>
              <w:t>投料</w:t>
            </w:r>
          </w:p>
          <w:p w14:paraId="63F76D9F">
            <w:pPr>
              <w:ind w:firstLine="480"/>
              <w:rPr>
                <w:rFonts w:cs="Times New Roman"/>
                <w:color w:val="auto"/>
              </w:rPr>
            </w:pPr>
            <w:r>
              <w:rPr>
                <w:rFonts w:cs="Times New Roman"/>
                <w:color w:val="auto"/>
              </w:rPr>
              <w:t>砂、碎石堆放在原料库房，通过装载机运至砂石配料仓，通过进料斗配套的称量装置称量后由皮带输送装置提升至搅拌楼的骨料进料仓，进料完成后打开料仓底部的放料阀门，将骨料一次性放入搅拌主机仓内；投料过程中产生粉尘以无组织形式排放。储存于粉料仓中的水泥、</w:t>
            </w:r>
            <w:r>
              <w:rPr>
                <w:rFonts w:hint="eastAsia" w:cs="Times New Roman"/>
                <w:color w:val="auto"/>
                <w:lang w:val="en-US" w:eastAsia="zh-CN"/>
              </w:rPr>
              <w:t>粉煤灰</w:t>
            </w:r>
            <w:r>
              <w:rPr>
                <w:rFonts w:cs="Times New Roman"/>
                <w:color w:val="auto"/>
              </w:rPr>
              <w:t>由粉料仓底部自带的螺旋进料机输送至搅拌楼的粉料进料仓内进行称量，称量完成后打开料仓底部的放料阀门，将粉料放至搅拌主机仓内；然后将水和液态外加剂通过泵抽送至液态物称量仓中，称量完成后通过管道输送至搅拌主机仓内。</w:t>
            </w:r>
          </w:p>
          <w:p w14:paraId="09E01558">
            <w:pPr>
              <w:ind w:firstLine="482"/>
              <w:rPr>
                <w:rFonts w:cs="Times New Roman"/>
                <w:color w:val="auto"/>
              </w:rPr>
            </w:pPr>
            <w:r>
              <w:rPr>
                <w:rFonts w:cs="Times New Roman"/>
                <w:b/>
                <w:bCs/>
                <w:color w:val="auto"/>
              </w:rPr>
              <w:t>产污环节分析</w:t>
            </w:r>
            <w:r>
              <w:rPr>
                <w:rFonts w:cs="Times New Roman"/>
                <w:color w:val="auto"/>
              </w:rPr>
              <w:t>：该过程产生少量粉尘。</w:t>
            </w:r>
          </w:p>
          <w:p w14:paraId="0D03DD65">
            <w:pPr>
              <w:ind w:firstLine="480"/>
              <w:rPr>
                <w:rFonts w:cs="Times New Roman"/>
                <w:color w:val="auto"/>
              </w:rPr>
            </w:pPr>
            <w:r>
              <w:rPr>
                <w:rFonts w:cs="Times New Roman"/>
                <w:color w:val="auto"/>
              </w:rPr>
              <w:fldChar w:fldCharType="begin"/>
            </w:r>
            <w:r>
              <w:rPr>
                <w:rFonts w:cs="Times New Roman"/>
                <w:color w:val="auto"/>
              </w:rPr>
              <w:instrText xml:space="preserve"> = 4 \* GB3 \* MERGEFORMAT </w:instrText>
            </w:r>
            <w:r>
              <w:rPr>
                <w:rFonts w:cs="Times New Roman"/>
                <w:color w:val="auto"/>
              </w:rPr>
              <w:fldChar w:fldCharType="separate"/>
            </w:r>
            <w:r>
              <w:rPr>
                <w:rFonts w:cs="Times New Roman"/>
                <w:color w:val="auto"/>
              </w:rPr>
              <w:t>④</w:t>
            </w:r>
            <w:r>
              <w:rPr>
                <w:rFonts w:cs="Times New Roman"/>
                <w:color w:val="auto"/>
              </w:rPr>
              <w:fldChar w:fldCharType="end"/>
            </w:r>
            <w:r>
              <w:rPr>
                <w:rFonts w:cs="Times New Roman"/>
                <w:color w:val="auto"/>
              </w:rPr>
              <w:t>搅拌</w:t>
            </w:r>
          </w:p>
          <w:p w14:paraId="6229641C">
            <w:pPr>
              <w:ind w:firstLine="480"/>
              <w:rPr>
                <w:rFonts w:cs="Times New Roman"/>
                <w:color w:val="auto"/>
              </w:rPr>
            </w:pPr>
            <w:r>
              <w:rPr>
                <w:rFonts w:cs="Times New Roman"/>
                <w:color w:val="auto"/>
              </w:rPr>
              <w:t>自动计量、配料后的各种原材料输送至搅拌机混合搅拌，搅拌机自动盖料，密封搅拌。粉料仓进料和出料过程中由于料仓内气压变化造成粉料局部起尘，项目仓筒配套设有除尘装置；粉料进料仓为密闭式，当粉料进料称量时产生的粉尘全部进入除尘器内收集，停止工作后由于气压变化粉尘逐渐沉降至粉料仓；粉料仓粉料输送至搅拌主机仓进行搅拌过程。在搅拌过程中会产生粉尘，搅拌楼内设置除尘器对搅拌粉尘进行收集，除尘之后粉尘经搅拌楼顶部排口进行排空（高度约20m），搅拌机搅拌均匀形成的混凝土浆液直接送入喂料机储料斗内备用。</w:t>
            </w:r>
          </w:p>
          <w:p w14:paraId="1763D8F1">
            <w:pPr>
              <w:ind w:firstLine="482"/>
              <w:rPr>
                <w:rFonts w:cs="Times New Roman"/>
                <w:color w:val="auto"/>
              </w:rPr>
            </w:pPr>
            <w:r>
              <w:rPr>
                <w:rFonts w:cs="Times New Roman"/>
                <w:b/>
                <w:bCs/>
                <w:color w:val="auto"/>
              </w:rPr>
              <w:t>产污环节分析</w:t>
            </w:r>
            <w:r>
              <w:rPr>
                <w:rFonts w:cs="Times New Roman"/>
                <w:color w:val="auto"/>
              </w:rPr>
              <w:t>：该过程产生少量粉尘和噪声。</w:t>
            </w:r>
          </w:p>
          <w:p w14:paraId="79A19CAE">
            <w:pPr>
              <w:ind w:firstLine="482"/>
              <w:rPr>
                <w:rFonts w:cs="Times New Roman"/>
                <w:b/>
                <w:bCs/>
                <w:color w:val="auto"/>
              </w:rPr>
            </w:pPr>
            <w:r>
              <w:rPr>
                <w:rFonts w:cs="Times New Roman"/>
                <w:b/>
                <w:bCs/>
                <w:color w:val="auto"/>
              </w:rPr>
              <w:t>（</w:t>
            </w:r>
            <w:r>
              <w:rPr>
                <w:rFonts w:hint="eastAsia" w:cs="Times New Roman"/>
                <w:b/>
                <w:bCs/>
                <w:color w:val="auto"/>
                <w:lang w:val="en-US" w:eastAsia="zh-CN"/>
              </w:rPr>
              <w:t>2</w:t>
            </w:r>
            <w:r>
              <w:rPr>
                <w:rFonts w:cs="Times New Roman"/>
                <w:b/>
                <w:bCs/>
                <w:color w:val="auto"/>
              </w:rPr>
              <w:t>）入模浇筑</w:t>
            </w:r>
          </w:p>
          <w:p w14:paraId="2AB2BFF4">
            <w:pPr>
              <w:ind w:firstLine="480"/>
              <w:rPr>
                <w:rFonts w:cs="Times New Roman"/>
                <w:color w:val="auto"/>
                <w:lang w:bidi="ar"/>
              </w:rPr>
            </w:pPr>
            <w:r>
              <w:rPr>
                <w:rFonts w:cs="Times New Roman"/>
                <w:color w:val="auto"/>
              </w:rPr>
              <w:t>混凝土由喂料机浇筑到</w:t>
            </w:r>
            <w:r>
              <w:rPr>
                <w:rFonts w:hint="eastAsia" w:cs="Times New Roman"/>
                <w:color w:val="auto"/>
                <w:lang w:val="en-US" w:eastAsia="zh-CN"/>
              </w:rPr>
              <w:t>水泥预制房</w:t>
            </w:r>
            <w:r>
              <w:rPr>
                <w:rFonts w:cs="Times New Roman"/>
                <w:color w:val="auto"/>
              </w:rPr>
              <w:t>生产线上的</w:t>
            </w:r>
            <w:r>
              <w:rPr>
                <w:rFonts w:hint="eastAsia" w:cs="Times New Roman"/>
                <w:color w:val="auto"/>
                <w:lang w:val="en-US" w:eastAsia="zh-CN"/>
              </w:rPr>
              <w:t>模具</w:t>
            </w:r>
            <w:r>
              <w:rPr>
                <w:rFonts w:cs="Times New Roman"/>
                <w:color w:val="auto"/>
                <w:lang w:bidi="ar"/>
              </w:rPr>
              <w:t>内，</w:t>
            </w:r>
            <w:r>
              <w:rPr>
                <w:rFonts w:hint="eastAsia" w:cs="Times New Roman"/>
                <w:color w:val="auto"/>
                <w:lang w:bidi="ar"/>
              </w:rPr>
              <w:t>在浇筑之前先在模具上涂抹脱模剂，可以在一定程度上保护模具，</w:t>
            </w:r>
            <w:r>
              <w:rPr>
                <w:rFonts w:cs="Times New Roman"/>
                <w:color w:val="auto"/>
                <w:lang w:bidi="ar"/>
              </w:rPr>
              <w:t>该工序在生产中起到关键作用，</w:t>
            </w:r>
            <w:r>
              <w:rPr>
                <w:rFonts w:hint="eastAsia" w:cs="Times New Roman"/>
                <w:color w:val="auto"/>
                <w:lang w:bidi="ar"/>
              </w:rPr>
              <w:t>脱模剂使用时的</w:t>
            </w:r>
            <w:r>
              <w:rPr>
                <w:rFonts w:cs="Times New Roman"/>
                <w:color w:val="auto"/>
                <w:lang w:bidi="ar"/>
              </w:rPr>
              <w:t>布料不均匀易使整条</w:t>
            </w:r>
            <w:r>
              <w:rPr>
                <w:rFonts w:hint="eastAsia" w:cs="Times New Roman"/>
                <w:color w:val="auto"/>
                <w:lang w:val="en-US" w:eastAsia="zh-CN" w:bidi="ar"/>
              </w:rPr>
              <w:t>模具</w:t>
            </w:r>
            <w:r>
              <w:rPr>
                <w:rFonts w:cs="Times New Roman"/>
                <w:color w:val="auto"/>
                <w:lang w:bidi="ar"/>
              </w:rPr>
              <w:t>上出现高低不平的峰状结构；甚至还会使混凝土料成堆，大量的下落致使钢筋笼焊点脱落，主筋下塌，甚至箍筋散架。钢筋笼入模时，为防止松散，抱箍板碰凹。装配时，主筋镦头一定要完全进入到端板的沉头孔内。装完端头板后，重新检查螺钉是不是全部上紧，以保持合力一致，防止桩端倾斜和保证安全。</w:t>
            </w:r>
          </w:p>
          <w:p w14:paraId="7DECA5EE">
            <w:pPr>
              <w:ind w:firstLine="482"/>
              <w:rPr>
                <w:rFonts w:cs="Times New Roman"/>
                <w:color w:val="auto"/>
              </w:rPr>
            </w:pPr>
            <w:r>
              <w:rPr>
                <w:rFonts w:cs="Times New Roman"/>
                <w:b/>
                <w:bCs/>
                <w:color w:val="auto"/>
              </w:rPr>
              <w:t>产污环节分析</w:t>
            </w:r>
            <w:r>
              <w:rPr>
                <w:rFonts w:cs="Times New Roman"/>
                <w:color w:val="auto"/>
              </w:rPr>
              <w:t>：该过程产生噪声</w:t>
            </w:r>
            <w:r>
              <w:rPr>
                <w:rFonts w:hint="eastAsia" w:cs="Times New Roman"/>
                <w:color w:val="auto"/>
              </w:rPr>
              <w:t>、脱模剂包装桶。</w:t>
            </w:r>
          </w:p>
          <w:p w14:paraId="34F416BF">
            <w:pPr>
              <w:ind w:firstLine="482"/>
              <w:rPr>
                <w:rFonts w:hint="default" w:eastAsia="宋体" w:cs="Times New Roman"/>
                <w:b/>
                <w:bCs/>
                <w:color w:val="auto"/>
                <w:lang w:val="en-US" w:eastAsia="zh-CN" w:bidi="ar"/>
              </w:rPr>
            </w:pPr>
            <w:r>
              <w:rPr>
                <w:rFonts w:cs="Times New Roman"/>
                <w:b/>
                <w:bCs/>
                <w:color w:val="auto"/>
                <w:lang w:bidi="ar"/>
              </w:rPr>
              <w:t>（</w:t>
            </w:r>
            <w:r>
              <w:rPr>
                <w:rFonts w:hint="eastAsia" w:cs="Times New Roman"/>
                <w:b/>
                <w:bCs/>
                <w:color w:val="auto"/>
                <w:lang w:val="en-US" w:eastAsia="zh-CN" w:bidi="ar"/>
              </w:rPr>
              <w:t>3</w:t>
            </w:r>
            <w:r>
              <w:rPr>
                <w:rFonts w:cs="Times New Roman"/>
                <w:b/>
                <w:bCs/>
                <w:color w:val="auto"/>
                <w:lang w:bidi="ar"/>
              </w:rPr>
              <w:t>）</w:t>
            </w:r>
            <w:r>
              <w:rPr>
                <w:rFonts w:hint="eastAsia" w:cs="Times New Roman"/>
                <w:b/>
                <w:bCs/>
                <w:color w:val="auto"/>
                <w:lang w:val="en-US" w:eastAsia="zh-CN" w:bidi="ar"/>
              </w:rPr>
              <w:t>自然晾晒</w:t>
            </w:r>
          </w:p>
          <w:p w14:paraId="25092A67">
            <w:pPr>
              <w:ind w:firstLine="480"/>
              <w:rPr>
                <w:rFonts w:cs="Times New Roman"/>
                <w:color w:val="auto"/>
              </w:rPr>
            </w:pPr>
            <w:r>
              <w:rPr>
                <w:rFonts w:hint="eastAsia" w:cs="Times New Roman"/>
                <w:color w:val="auto"/>
                <w:lang w:val="en-US" w:eastAsia="zh-CN"/>
              </w:rPr>
              <w:t>将入模后的半成品水泥预制房等水泥制品放到空地进行自然晾晒，保证水泥预制房等水泥制品干燥</w:t>
            </w:r>
            <w:r>
              <w:rPr>
                <w:rFonts w:cs="Times New Roman"/>
                <w:color w:val="auto"/>
              </w:rPr>
              <w:t>。</w:t>
            </w:r>
          </w:p>
          <w:p w14:paraId="117BE6AE">
            <w:pPr>
              <w:ind w:firstLine="482"/>
              <w:rPr>
                <w:rFonts w:cs="Times New Roman"/>
                <w:b/>
                <w:bCs/>
                <w:color w:val="auto"/>
                <w:lang w:bidi="ar"/>
              </w:rPr>
            </w:pPr>
            <w:r>
              <w:rPr>
                <w:rFonts w:cs="Times New Roman"/>
                <w:b/>
                <w:bCs/>
                <w:color w:val="auto"/>
                <w:lang w:bidi="ar"/>
              </w:rPr>
              <w:t>（</w:t>
            </w:r>
            <w:r>
              <w:rPr>
                <w:rFonts w:hint="eastAsia" w:cs="Times New Roman"/>
                <w:b/>
                <w:bCs/>
                <w:color w:val="auto"/>
                <w:lang w:val="en-US" w:eastAsia="zh-CN" w:bidi="ar"/>
              </w:rPr>
              <w:t>4</w:t>
            </w:r>
            <w:r>
              <w:rPr>
                <w:rFonts w:cs="Times New Roman"/>
                <w:b/>
                <w:bCs/>
                <w:color w:val="auto"/>
                <w:lang w:bidi="ar"/>
              </w:rPr>
              <w:t>）拆模</w:t>
            </w:r>
          </w:p>
          <w:p w14:paraId="0224FF04">
            <w:pPr>
              <w:ind w:firstLine="480"/>
              <w:rPr>
                <w:rFonts w:cs="Times New Roman"/>
                <w:color w:val="auto"/>
              </w:rPr>
            </w:pPr>
            <w:r>
              <w:rPr>
                <w:rFonts w:cs="Times New Roman"/>
                <w:color w:val="auto"/>
                <w:lang w:bidi="ar"/>
              </w:rPr>
              <w:t>拆去模</w:t>
            </w:r>
            <w:r>
              <w:rPr>
                <w:rFonts w:hint="eastAsia" w:cs="Times New Roman"/>
                <w:color w:val="auto"/>
                <w:lang w:val="en-US" w:eastAsia="zh-CN" w:bidi="ar"/>
              </w:rPr>
              <w:t>具</w:t>
            </w:r>
            <w:r>
              <w:rPr>
                <w:rFonts w:cs="Times New Roman"/>
                <w:color w:val="auto"/>
                <w:lang w:bidi="ar"/>
              </w:rPr>
              <w:t>，此过程会产生噪声。</w:t>
            </w:r>
          </w:p>
          <w:p w14:paraId="169CF958">
            <w:pPr>
              <w:ind w:firstLine="482"/>
              <w:rPr>
                <w:rFonts w:cs="Times New Roman"/>
                <w:b/>
                <w:bCs/>
                <w:color w:val="auto"/>
                <w:lang w:bidi="ar"/>
              </w:rPr>
            </w:pPr>
            <w:r>
              <w:rPr>
                <w:rFonts w:cs="Times New Roman"/>
                <w:b/>
                <w:bCs/>
                <w:color w:val="auto"/>
                <w:lang w:bidi="ar"/>
              </w:rPr>
              <w:t>（</w:t>
            </w:r>
            <w:r>
              <w:rPr>
                <w:rFonts w:hint="eastAsia" w:cs="Times New Roman"/>
                <w:b/>
                <w:bCs/>
                <w:color w:val="auto"/>
                <w:lang w:val="en-US" w:eastAsia="zh-CN" w:bidi="ar"/>
              </w:rPr>
              <w:t>5</w:t>
            </w:r>
            <w:r>
              <w:rPr>
                <w:rFonts w:cs="Times New Roman"/>
                <w:b/>
                <w:bCs/>
                <w:color w:val="auto"/>
                <w:lang w:bidi="ar"/>
              </w:rPr>
              <w:t>）堆场存放</w:t>
            </w:r>
          </w:p>
          <w:p w14:paraId="64AC86A9">
            <w:pPr>
              <w:ind w:firstLine="480"/>
              <w:rPr>
                <w:rFonts w:cs="Times New Roman"/>
                <w:color w:val="auto"/>
              </w:rPr>
            </w:pPr>
            <w:r>
              <w:rPr>
                <w:rFonts w:cs="Times New Roman"/>
                <w:color w:val="auto"/>
              </w:rPr>
              <w:t>拆模后的成品，入成品堆场存放。在转运过程中轻拿轻放，严禁损坏管桩，并分类堆码。管桩在上车、卸车过程中必须轻拿轻放，严禁损坏管桩棱角。</w:t>
            </w:r>
          </w:p>
          <w:p w14:paraId="76AC23EE">
            <w:pPr>
              <w:ind w:firstLine="482"/>
              <w:rPr>
                <w:rFonts w:cs="Times New Roman"/>
                <w:b/>
                <w:bCs/>
                <w:color w:val="auto"/>
              </w:rPr>
            </w:pPr>
            <w:r>
              <w:rPr>
                <w:rFonts w:cs="Times New Roman"/>
                <w:b/>
                <w:bCs/>
                <w:color w:val="auto"/>
                <w:lang w:bidi="ar"/>
              </w:rPr>
              <w:t>（</w:t>
            </w:r>
            <w:r>
              <w:rPr>
                <w:rFonts w:hint="eastAsia" w:cs="Times New Roman"/>
                <w:b/>
                <w:bCs/>
                <w:color w:val="auto"/>
                <w:lang w:val="en-US" w:eastAsia="zh-CN"/>
              </w:rPr>
              <w:t>6</w:t>
            </w:r>
            <w:r>
              <w:rPr>
                <w:rFonts w:cs="Times New Roman"/>
                <w:b/>
                <w:bCs/>
                <w:color w:val="auto"/>
              </w:rPr>
              <w:t>）出厂验收</w:t>
            </w:r>
          </w:p>
          <w:p w14:paraId="0EF0D245">
            <w:pPr>
              <w:ind w:firstLine="480"/>
              <w:rPr>
                <w:rFonts w:cs="Times New Roman"/>
                <w:color w:val="auto"/>
              </w:rPr>
            </w:pPr>
            <w:r>
              <w:rPr>
                <w:rFonts w:cs="Times New Roman"/>
                <w:color w:val="auto"/>
              </w:rPr>
              <w:t>经检验合格的产品出厂送达用户。</w:t>
            </w:r>
          </w:p>
          <w:p w14:paraId="70D1A04B">
            <w:pPr>
              <w:ind w:firstLine="482"/>
              <w:rPr>
                <w:rFonts w:cs="Times New Roman"/>
                <w:color w:val="auto"/>
              </w:rPr>
            </w:pPr>
            <w:r>
              <w:rPr>
                <w:rFonts w:cs="Times New Roman"/>
                <w:b/>
                <w:bCs/>
                <w:color w:val="auto"/>
              </w:rPr>
              <w:t>产污环节分析</w:t>
            </w:r>
            <w:r>
              <w:rPr>
                <w:rFonts w:cs="Times New Roman"/>
                <w:color w:val="auto"/>
              </w:rPr>
              <w:t>：此过程产生少量不合格品。</w:t>
            </w:r>
          </w:p>
          <w:p w14:paraId="6449601D">
            <w:pPr>
              <w:ind w:firstLine="482"/>
              <w:rPr>
                <w:rFonts w:cs="Times New Roman"/>
                <w:b/>
                <w:bCs/>
                <w:color w:val="auto"/>
              </w:rPr>
            </w:pPr>
            <w:r>
              <w:rPr>
                <w:rFonts w:cs="Times New Roman"/>
                <w:b/>
                <w:bCs/>
                <w:color w:val="auto"/>
              </w:rPr>
              <w:t>3、产污环节分析</w:t>
            </w:r>
          </w:p>
          <w:p w14:paraId="1623594E">
            <w:pPr>
              <w:ind w:firstLine="480"/>
              <w:rPr>
                <w:rFonts w:cs="Times New Roman"/>
                <w:color w:val="auto"/>
              </w:rPr>
            </w:pPr>
            <w:r>
              <w:rPr>
                <w:rFonts w:cs="Times New Roman"/>
                <w:color w:val="auto"/>
              </w:rPr>
              <w:t>根据工艺流程分析，本项目运营期主要产污环节及采用的污染防治措施详见下表。</w:t>
            </w:r>
          </w:p>
          <w:p w14:paraId="2DB64C48">
            <w:pPr>
              <w:pStyle w:val="36"/>
              <w:rPr>
                <w:rFonts w:cs="Times New Roman"/>
                <w:color w:val="auto"/>
              </w:rPr>
            </w:pPr>
            <w:r>
              <w:rPr>
                <w:rFonts w:cs="Times New Roman"/>
                <w:color w:val="auto"/>
              </w:rPr>
              <w:t>表2-6  项目主要产污环节及采用污染防治措施一览表</w:t>
            </w:r>
          </w:p>
          <w:tbl>
            <w:tblPr>
              <w:tblStyle w:val="2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065"/>
              <w:gridCol w:w="1262"/>
              <w:gridCol w:w="1300"/>
              <w:gridCol w:w="3158"/>
            </w:tblGrid>
            <w:tr w14:paraId="445B86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14:paraId="7DDDA1E5">
                  <w:pPr>
                    <w:pStyle w:val="50"/>
                    <w:jc w:val="center"/>
                    <w:rPr>
                      <w:b/>
                      <w:bCs/>
                      <w:color w:val="auto"/>
                    </w:rPr>
                  </w:pPr>
                  <w:r>
                    <w:rPr>
                      <w:b/>
                      <w:bCs/>
                      <w:color w:val="auto"/>
                    </w:rPr>
                    <w:t>污染类别</w:t>
                  </w:r>
                </w:p>
              </w:tc>
              <w:tc>
                <w:tcPr>
                  <w:tcW w:w="712" w:type="pct"/>
                  <w:vAlign w:val="center"/>
                </w:tcPr>
                <w:p w14:paraId="5B173CD2">
                  <w:pPr>
                    <w:pStyle w:val="50"/>
                    <w:jc w:val="center"/>
                    <w:rPr>
                      <w:b/>
                      <w:bCs/>
                      <w:color w:val="auto"/>
                    </w:rPr>
                  </w:pPr>
                  <w:r>
                    <w:rPr>
                      <w:b/>
                      <w:bCs/>
                      <w:color w:val="auto"/>
                    </w:rPr>
                    <w:t>产污环节</w:t>
                  </w:r>
                </w:p>
              </w:tc>
              <w:tc>
                <w:tcPr>
                  <w:tcW w:w="843" w:type="pct"/>
                  <w:vAlign w:val="center"/>
                </w:tcPr>
                <w:p w14:paraId="3B1CF50B">
                  <w:pPr>
                    <w:pStyle w:val="50"/>
                    <w:jc w:val="center"/>
                    <w:rPr>
                      <w:b/>
                      <w:bCs/>
                      <w:color w:val="auto"/>
                    </w:rPr>
                  </w:pPr>
                  <w:r>
                    <w:rPr>
                      <w:b/>
                      <w:bCs/>
                      <w:color w:val="auto"/>
                    </w:rPr>
                    <w:t>污染源名称</w:t>
                  </w:r>
                </w:p>
              </w:tc>
              <w:tc>
                <w:tcPr>
                  <w:tcW w:w="869" w:type="pct"/>
                  <w:vAlign w:val="center"/>
                </w:tcPr>
                <w:p w14:paraId="6224A135">
                  <w:pPr>
                    <w:pStyle w:val="50"/>
                    <w:jc w:val="center"/>
                    <w:rPr>
                      <w:b/>
                      <w:bCs/>
                      <w:color w:val="auto"/>
                    </w:rPr>
                  </w:pPr>
                  <w:r>
                    <w:rPr>
                      <w:b/>
                      <w:bCs/>
                      <w:color w:val="auto"/>
                    </w:rPr>
                    <w:t>主要污染物</w:t>
                  </w:r>
                </w:p>
              </w:tc>
              <w:tc>
                <w:tcPr>
                  <w:tcW w:w="2111" w:type="pct"/>
                  <w:vAlign w:val="center"/>
                </w:tcPr>
                <w:p w14:paraId="05433143">
                  <w:pPr>
                    <w:pStyle w:val="50"/>
                    <w:jc w:val="center"/>
                    <w:rPr>
                      <w:b/>
                      <w:bCs/>
                      <w:color w:val="auto"/>
                    </w:rPr>
                  </w:pPr>
                  <w:r>
                    <w:rPr>
                      <w:b/>
                      <w:bCs/>
                      <w:color w:val="auto"/>
                    </w:rPr>
                    <w:t>拟采取的措施</w:t>
                  </w:r>
                </w:p>
              </w:tc>
            </w:tr>
            <w:tr w14:paraId="6878CB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restart"/>
                  <w:vAlign w:val="center"/>
                </w:tcPr>
                <w:p w14:paraId="17CD0057">
                  <w:pPr>
                    <w:pStyle w:val="50"/>
                    <w:jc w:val="center"/>
                    <w:rPr>
                      <w:color w:val="auto"/>
                    </w:rPr>
                  </w:pPr>
                  <w:r>
                    <w:rPr>
                      <w:color w:val="auto"/>
                    </w:rPr>
                    <w:t>废气</w:t>
                  </w:r>
                </w:p>
              </w:tc>
              <w:tc>
                <w:tcPr>
                  <w:tcW w:w="712" w:type="pct"/>
                  <w:vAlign w:val="center"/>
                </w:tcPr>
                <w:p w14:paraId="1D04CEB4">
                  <w:pPr>
                    <w:pStyle w:val="50"/>
                    <w:jc w:val="center"/>
                    <w:rPr>
                      <w:color w:val="auto"/>
                    </w:rPr>
                  </w:pPr>
                  <w:r>
                    <w:rPr>
                      <w:color w:val="auto"/>
                    </w:rPr>
                    <w:t>物料运输</w:t>
                  </w:r>
                </w:p>
              </w:tc>
              <w:tc>
                <w:tcPr>
                  <w:tcW w:w="843" w:type="pct"/>
                  <w:vAlign w:val="center"/>
                </w:tcPr>
                <w:p w14:paraId="5E431CA1">
                  <w:pPr>
                    <w:pStyle w:val="50"/>
                    <w:jc w:val="center"/>
                    <w:rPr>
                      <w:color w:val="auto"/>
                    </w:rPr>
                  </w:pPr>
                  <w:r>
                    <w:rPr>
                      <w:color w:val="auto"/>
                    </w:rPr>
                    <w:t>运输扬尘</w:t>
                  </w:r>
                </w:p>
              </w:tc>
              <w:tc>
                <w:tcPr>
                  <w:tcW w:w="869" w:type="pct"/>
                  <w:vAlign w:val="center"/>
                </w:tcPr>
                <w:p w14:paraId="5539C801">
                  <w:pPr>
                    <w:pStyle w:val="50"/>
                    <w:jc w:val="center"/>
                    <w:rPr>
                      <w:color w:val="auto"/>
                    </w:rPr>
                  </w:pPr>
                  <w:r>
                    <w:rPr>
                      <w:color w:val="auto"/>
                    </w:rPr>
                    <w:t>颗粒物</w:t>
                  </w:r>
                </w:p>
              </w:tc>
              <w:tc>
                <w:tcPr>
                  <w:tcW w:w="2111" w:type="pct"/>
                  <w:vAlign w:val="center"/>
                </w:tcPr>
                <w:p w14:paraId="5C424D83">
                  <w:pPr>
                    <w:pStyle w:val="50"/>
                    <w:jc w:val="center"/>
                    <w:rPr>
                      <w:color w:val="auto"/>
                    </w:rPr>
                  </w:pPr>
                  <w:r>
                    <w:rPr>
                      <w:color w:val="auto"/>
                    </w:rPr>
                    <w:t>路面清扫+洒水抑尘</w:t>
                  </w:r>
                </w:p>
              </w:tc>
            </w:tr>
            <w:tr w14:paraId="32332D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vAlign w:val="center"/>
                </w:tcPr>
                <w:p w14:paraId="2E7E62B6">
                  <w:pPr>
                    <w:pStyle w:val="50"/>
                    <w:jc w:val="center"/>
                    <w:rPr>
                      <w:color w:val="auto"/>
                    </w:rPr>
                  </w:pPr>
                </w:p>
              </w:tc>
              <w:tc>
                <w:tcPr>
                  <w:tcW w:w="712" w:type="pct"/>
                  <w:vMerge w:val="restart"/>
                  <w:vAlign w:val="center"/>
                </w:tcPr>
                <w:p w14:paraId="298FC4C3">
                  <w:pPr>
                    <w:pStyle w:val="50"/>
                    <w:jc w:val="center"/>
                    <w:rPr>
                      <w:color w:val="auto"/>
                    </w:rPr>
                  </w:pPr>
                  <w:r>
                    <w:rPr>
                      <w:color w:val="auto"/>
                    </w:rPr>
                    <w:t>库料存储</w:t>
                  </w:r>
                </w:p>
              </w:tc>
              <w:tc>
                <w:tcPr>
                  <w:tcW w:w="843" w:type="pct"/>
                  <w:vAlign w:val="center"/>
                </w:tcPr>
                <w:p w14:paraId="633CB44C">
                  <w:pPr>
                    <w:pStyle w:val="50"/>
                    <w:jc w:val="center"/>
                    <w:rPr>
                      <w:color w:val="auto"/>
                    </w:rPr>
                  </w:pPr>
                  <w:r>
                    <w:rPr>
                      <w:color w:val="auto"/>
                    </w:rPr>
                    <w:t>砂石料进料颗粒物</w:t>
                  </w:r>
                </w:p>
              </w:tc>
              <w:tc>
                <w:tcPr>
                  <w:tcW w:w="869" w:type="pct"/>
                  <w:vAlign w:val="center"/>
                </w:tcPr>
                <w:p w14:paraId="5F73E35F">
                  <w:pPr>
                    <w:pStyle w:val="50"/>
                    <w:jc w:val="center"/>
                    <w:rPr>
                      <w:color w:val="auto"/>
                    </w:rPr>
                  </w:pPr>
                  <w:r>
                    <w:rPr>
                      <w:color w:val="auto"/>
                    </w:rPr>
                    <w:t>颗粒物</w:t>
                  </w:r>
                </w:p>
              </w:tc>
              <w:tc>
                <w:tcPr>
                  <w:tcW w:w="2111" w:type="pct"/>
                  <w:vAlign w:val="center"/>
                </w:tcPr>
                <w:p w14:paraId="47C9F36D">
                  <w:pPr>
                    <w:pStyle w:val="50"/>
                    <w:jc w:val="center"/>
                    <w:rPr>
                      <w:color w:val="auto"/>
                    </w:rPr>
                  </w:pPr>
                  <w:r>
                    <w:rPr>
                      <w:color w:val="auto"/>
                    </w:rPr>
                    <w:t>全封闭进料斗+雾炮洒水抑尘</w:t>
                  </w:r>
                </w:p>
              </w:tc>
            </w:tr>
            <w:tr w14:paraId="1661C7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vAlign w:val="center"/>
                </w:tcPr>
                <w:p w14:paraId="72C49EB1">
                  <w:pPr>
                    <w:pStyle w:val="50"/>
                    <w:jc w:val="center"/>
                    <w:rPr>
                      <w:color w:val="auto"/>
                    </w:rPr>
                  </w:pPr>
                </w:p>
              </w:tc>
              <w:tc>
                <w:tcPr>
                  <w:tcW w:w="712" w:type="pct"/>
                  <w:vMerge w:val="continue"/>
                  <w:vAlign w:val="center"/>
                </w:tcPr>
                <w:p w14:paraId="1D060C3B">
                  <w:pPr>
                    <w:pStyle w:val="50"/>
                    <w:jc w:val="center"/>
                    <w:rPr>
                      <w:color w:val="auto"/>
                    </w:rPr>
                  </w:pPr>
                </w:p>
              </w:tc>
              <w:tc>
                <w:tcPr>
                  <w:tcW w:w="843" w:type="pct"/>
                  <w:vAlign w:val="center"/>
                </w:tcPr>
                <w:p w14:paraId="679430B8">
                  <w:pPr>
                    <w:pStyle w:val="50"/>
                    <w:jc w:val="center"/>
                    <w:rPr>
                      <w:color w:val="auto"/>
                    </w:rPr>
                  </w:pPr>
                  <w:r>
                    <w:rPr>
                      <w:color w:val="auto"/>
                    </w:rPr>
                    <w:t>砂石料装卸分车</w:t>
                  </w:r>
                </w:p>
              </w:tc>
              <w:tc>
                <w:tcPr>
                  <w:tcW w:w="869" w:type="pct"/>
                  <w:vAlign w:val="center"/>
                </w:tcPr>
                <w:p w14:paraId="2B11A690">
                  <w:pPr>
                    <w:pStyle w:val="50"/>
                    <w:jc w:val="center"/>
                    <w:rPr>
                      <w:color w:val="auto"/>
                    </w:rPr>
                  </w:pPr>
                  <w:r>
                    <w:rPr>
                      <w:color w:val="auto"/>
                    </w:rPr>
                    <w:t>颗粒物</w:t>
                  </w:r>
                </w:p>
              </w:tc>
              <w:tc>
                <w:tcPr>
                  <w:tcW w:w="2111" w:type="pct"/>
                  <w:vAlign w:val="center"/>
                </w:tcPr>
                <w:p w14:paraId="577D8ACA">
                  <w:pPr>
                    <w:pStyle w:val="50"/>
                    <w:jc w:val="center"/>
                    <w:rPr>
                      <w:color w:val="auto"/>
                    </w:rPr>
                  </w:pPr>
                  <w:r>
                    <w:rPr>
                      <w:color w:val="auto"/>
                    </w:rPr>
                    <w:t>全封闭厂房+洒水抑尘</w:t>
                  </w:r>
                </w:p>
              </w:tc>
            </w:tr>
            <w:tr w14:paraId="0FD058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vAlign w:val="center"/>
                </w:tcPr>
                <w:p w14:paraId="775D0DD6">
                  <w:pPr>
                    <w:pStyle w:val="50"/>
                    <w:jc w:val="center"/>
                    <w:rPr>
                      <w:color w:val="auto"/>
                    </w:rPr>
                  </w:pPr>
                </w:p>
              </w:tc>
              <w:tc>
                <w:tcPr>
                  <w:tcW w:w="712" w:type="pct"/>
                  <w:vMerge w:val="restart"/>
                  <w:vAlign w:val="center"/>
                </w:tcPr>
                <w:p w14:paraId="302040F7">
                  <w:pPr>
                    <w:pStyle w:val="50"/>
                    <w:jc w:val="center"/>
                    <w:rPr>
                      <w:color w:val="auto"/>
                    </w:rPr>
                  </w:pPr>
                  <w:r>
                    <w:rPr>
                      <w:color w:val="auto"/>
                    </w:rPr>
                    <w:t>混凝土制备</w:t>
                  </w:r>
                </w:p>
              </w:tc>
              <w:tc>
                <w:tcPr>
                  <w:tcW w:w="843" w:type="pct"/>
                  <w:vAlign w:val="center"/>
                </w:tcPr>
                <w:p w14:paraId="5B051F75">
                  <w:pPr>
                    <w:pStyle w:val="50"/>
                    <w:jc w:val="center"/>
                    <w:rPr>
                      <w:color w:val="auto"/>
                    </w:rPr>
                  </w:pPr>
                  <w:r>
                    <w:rPr>
                      <w:color w:val="auto"/>
                    </w:rPr>
                    <w:t>粉料运输储存粉尘</w:t>
                  </w:r>
                </w:p>
              </w:tc>
              <w:tc>
                <w:tcPr>
                  <w:tcW w:w="869" w:type="pct"/>
                  <w:vAlign w:val="center"/>
                </w:tcPr>
                <w:p w14:paraId="3D180A1C">
                  <w:pPr>
                    <w:pStyle w:val="50"/>
                    <w:jc w:val="center"/>
                    <w:rPr>
                      <w:color w:val="auto"/>
                    </w:rPr>
                  </w:pPr>
                  <w:r>
                    <w:rPr>
                      <w:color w:val="auto"/>
                    </w:rPr>
                    <w:t>颗粒物</w:t>
                  </w:r>
                </w:p>
              </w:tc>
              <w:tc>
                <w:tcPr>
                  <w:tcW w:w="2111" w:type="pct"/>
                  <w:vAlign w:val="center"/>
                </w:tcPr>
                <w:p w14:paraId="03170E8D">
                  <w:pPr>
                    <w:pStyle w:val="50"/>
                    <w:jc w:val="center"/>
                    <w:rPr>
                      <w:color w:val="auto"/>
                    </w:rPr>
                  </w:pPr>
                  <w:r>
                    <w:rPr>
                      <w:color w:val="auto"/>
                    </w:rPr>
                    <w:t>水泥、</w:t>
                  </w:r>
                  <w:r>
                    <w:rPr>
                      <w:rFonts w:hint="eastAsia"/>
                      <w:color w:val="auto"/>
                      <w:lang w:val="en-US" w:eastAsia="zh-CN"/>
                    </w:rPr>
                    <w:t>粉煤灰</w:t>
                  </w:r>
                  <w:r>
                    <w:rPr>
                      <w:color w:val="auto"/>
                    </w:rPr>
                    <w:t>各粉料仓顶部安装脉冲袋式除尘器</w:t>
                  </w:r>
                </w:p>
              </w:tc>
            </w:tr>
            <w:tr w14:paraId="3CFAB4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vAlign w:val="center"/>
                </w:tcPr>
                <w:p w14:paraId="78F45319">
                  <w:pPr>
                    <w:pStyle w:val="50"/>
                    <w:jc w:val="center"/>
                    <w:rPr>
                      <w:color w:val="auto"/>
                    </w:rPr>
                  </w:pPr>
                </w:p>
              </w:tc>
              <w:tc>
                <w:tcPr>
                  <w:tcW w:w="712" w:type="pct"/>
                  <w:vMerge w:val="continue"/>
                  <w:vAlign w:val="center"/>
                </w:tcPr>
                <w:p w14:paraId="0E0C6B1D">
                  <w:pPr>
                    <w:pStyle w:val="50"/>
                    <w:jc w:val="center"/>
                    <w:rPr>
                      <w:color w:val="auto"/>
                    </w:rPr>
                  </w:pPr>
                </w:p>
              </w:tc>
              <w:tc>
                <w:tcPr>
                  <w:tcW w:w="843" w:type="pct"/>
                  <w:vAlign w:val="center"/>
                </w:tcPr>
                <w:p w14:paraId="3828B622">
                  <w:pPr>
                    <w:pStyle w:val="50"/>
                    <w:jc w:val="center"/>
                    <w:rPr>
                      <w:color w:val="auto"/>
                    </w:rPr>
                  </w:pPr>
                  <w:r>
                    <w:rPr>
                      <w:color w:val="auto"/>
                    </w:rPr>
                    <w:t>物料混合搅拌粉尘</w:t>
                  </w:r>
                </w:p>
              </w:tc>
              <w:tc>
                <w:tcPr>
                  <w:tcW w:w="869" w:type="pct"/>
                  <w:vAlign w:val="center"/>
                </w:tcPr>
                <w:p w14:paraId="5335FD6B">
                  <w:pPr>
                    <w:pStyle w:val="50"/>
                    <w:jc w:val="center"/>
                    <w:rPr>
                      <w:color w:val="auto"/>
                    </w:rPr>
                  </w:pPr>
                  <w:r>
                    <w:rPr>
                      <w:color w:val="auto"/>
                    </w:rPr>
                    <w:t>颗粒物</w:t>
                  </w:r>
                </w:p>
              </w:tc>
              <w:tc>
                <w:tcPr>
                  <w:tcW w:w="2111" w:type="pct"/>
                  <w:vAlign w:val="center"/>
                </w:tcPr>
                <w:p w14:paraId="68C13515">
                  <w:pPr>
                    <w:pStyle w:val="50"/>
                    <w:jc w:val="center"/>
                    <w:rPr>
                      <w:color w:val="auto"/>
                    </w:rPr>
                  </w:pPr>
                  <w:r>
                    <w:rPr>
                      <w:color w:val="auto"/>
                    </w:rPr>
                    <w:t>脉冲袋式除尘器</w:t>
                  </w:r>
                </w:p>
              </w:tc>
            </w:tr>
            <w:tr w14:paraId="7B07FE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vAlign w:val="center"/>
                </w:tcPr>
                <w:p w14:paraId="1AE1D3D8">
                  <w:pPr>
                    <w:pStyle w:val="50"/>
                    <w:jc w:val="center"/>
                    <w:rPr>
                      <w:color w:val="auto"/>
                    </w:rPr>
                  </w:pPr>
                </w:p>
              </w:tc>
              <w:tc>
                <w:tcPr>
                  <w:tcW w:w="712" w:type="pct"/>
                  <w:vAlign w:val="center"/>
                </w:tcPr>
                <w:p w14:paraId="78282C84">
                  <w:pPr>
                    <w:pStyle w:val="50"/>
                    <w:jc w:val="center"/>
                    <w:rPr>
                      <w:rFonts w:hint="default"/>
                      <w:color w:val="auto"/>
                      <w:lang w:val="en-US" w:eastAsia="zh-CN"/>
                    </w:rPr>
                  </w:pPr>
                  <w:r>
                    <w:rPr>
                      <w:rFonts w:hint="eastAsia"/>
                      <w:color w:val="auto"/>
                      <w:lang w:val="en-US" w:eastAsia="zh-CN"/>
                    </w:rPr>
                    <w:t>钢筋焊接</w:t>
                  </w:r>
                </w:p>
              </w:tc>
              <w:tc>
                <w:tcPr>
                  <w:tcW w:w="843" w:type="pct"/>
                  <w:vAlign w:val="center"/>
                </w:tcPr>
                <w:p w14:paraId="09902F1F">
                  <w:pPr>
                    <w:pStyle w:val="50"/>
                    <w:jc w:val="center"/>
                    <w:rPr>
                      <w:rFonts w:hint="default" w:eastAsia="宋体"/>
                      <w:color w:val="auto"/>
                      <w:lang w:val="en-US" w:eastAsia="zh-CN"/>
                    </w:rPr>
                  </w:pPr>
                  <w:r>
                    <w:rPr>
                      <w:rFonts w:hint="eastAsia"/>
                      <w:color w:val="auto"/>
                      <w:lang w:val="en-US" w:eastAsia="zh-CN"/>
                    </w:rPr>
                    <w:t>焊接废气</w:t>
                  </w:r>
                </w:p>
              </w:tc>
              <w:tc>
                <w:tcPr>
                  <w:tcW w:w="869" w:type="pct"/>
                  <w:vAlign w:val="center"/>
                </w:tcPr>
                <w:p w14:paraId="2208DC47">
                  <w:pPr>
                    <w:pStyle w:val="50"/>
                    <w:jc w:val="center"/>
                    <w:rPr>
                      <w:rFonts w:hint="default" w:eastAsia="宋体"/>
                      <w:color w:val="auto"/>
                      <w:lang w:val="en-US" w:eastAsia="zh-CN"/>
                    </w:rPr>
                  </w:pPr>
                  <w:r>
                    <w:rPr>
                      <w:rFonts w:hint="eastAsia"/>
                      <w:color w:val="auto"/>
                      <w:lang w:val="en-US" w:eastAsia="zh-CN"/>
                    </w:rPr>
                    <w:t>颗粒物等</w:t>
                  </w:r>
                </w:p>
              </w:tc>
              <w:tc>
                <w:tcPr>
                  <w:tcW w:w="2111" w:type="pct"/>
                  <w:vAlign w:val="center"/>
                </w:tcPr>
                <w:p w14:paraId="3F1E303E">
                  <w:pPr>
                    <w:pStyle w:val="50"/>
                    <w:jc w:val="center"/>
                    <w:rPr>
                      <w:rFonts w:hint="default" w:eastAsia="宋体"/>
                      <w:color w:val="auto"/>
                      <w:lang w:val="en-US" w:eastAsia="zh-CN"/>
                    </w:rPr>
                  </w:pPr>
                  <w:r>
                    <w:rPr>
                      <w:rFonts w:hint="eastAsia"/>
                      <w:color w:val="auto"/>
                      <w:lang w:val="en-US" w:eastAsia="zh-CN"/>
                    </w:rPr>
                    <w:t>焊接烟尘净化器</w:t>
                  </w:r>
                </w:p>
              </w:tc>
            </w:tr>
            <w:tr w14:paraId="1571A3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2" w:type="pct"/>
                  <w:vAlign w:val="center"/>
                </w:tcPr>
                <w:p w14:paraId="1B254A77">
                  <w:pPr>
                    <w:pStyle w:val="50"/>
                    <w:jc w:val="center"/>
                    <w:rPr>
                      <w:color w:val="auto"/>
                    </w:rPr>
                  </w:pPr>
                  <w:r>
                    <w:rPr>
                      <w:color w:val="auto"/>
                    </w:rPr>
                    <w:t>废水</w:t>
                  </w:r>
                </w:p>
              </w:tc>
              <w:tc>
                <w:tcPr>
                  <w:tcW w:w="712" w:type="pct"/>
                  <w:shd w:val="clear" w:color="auto" w:fill="auto"/>
                  <w:vAlign w:val="center"/>
                </w:tcPr>
                <w:p w14:paraId="4F1C59BD">
                  <w:pPr>
                    <w:pStyle w:val="50"/>
                    <w:ind w:firstLine="0" w:firstLineChars="0"/>
                    <w:jc w:val="center"/>
                    <w:rPr>
                      <w:rFonts w:ascii="Times New Roman" w:hAnsi="Times New Roman" w:eastAsia="宋体" w:cs="Times New Roman"/>
                      <w:color w:val="auto"/>
                      <w:kern w:val="2"/>
                      <w:sz w:val="21"/>
                      <w:szCs w:val="24"/>
                      <w:lang w:val="en-US" w:eastAsia="zh-CN" w:bidi="ar-SA"/>
                    </w:rPr>
                  </w:pPr>
                  <w:r>
                    <w:rPr>
                      <w:color w:val="auto"/>
                    </w:rPr>
                    <w:t>员工日常</w:t>
                  </w:r>
                </w:p>
              </w:tc>
              <w:tc>
                <w:tcPr>
                  <w:tcW w:w="843" w:type="pct"/>
                  <w:shd w:val="clear" w:color="auto" w:fill="auto"/>
                  <w:vAlign w:val="center"/>
                </w:tcPr>
                <w:p w14:paraId="155684CC">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color w:val="auto"/>
                    </w:rPr>
                    <w:t>生活污水</w:t>
                  </w:r>
                </w:p>
              </w:tc>
              <w:tc>
                <w:tcPr>
                  <w:tcW w:w="869" w:type="pct"/>
                  <w:shd w:val="clear" w:color="auto" w:fill="auto"/>
                  <w:vAlign w:val="center"/>
                </w:tcPr>
                <w:p w14:paraId="1BDE6215">
                  <w:pPr>
                    <w:pStyle w:val="50"/>
                    <w:ind w:firstLine="0" w:firstLineChars="0"/>
                    <w:jc w:val="center"/>
                    <w:rPr>
                      <w:rFonts w:ascii="Times New Roman" w:hAnsi="Times New Roman" w:eastAsia="宋体" w:cs="Times New Roman"/>
                      <w:color w:val="auto"/>
                      <w:kern w:val="2"/>
                      <w:sz w:val="21"/>
                      <w:szCs w:val="24"/>
                      <w:lang w:val="en-US" w:eastAsia="zh-CN" w:bidi="ar-SA"/>
                    </w:rPr>
                  </w:pPr>
                  <w:r>
                    <w:rPr>
                      <w:color w:val="auto"/>
                    </w:rPr>
                    <w:t>pH、COD、BOD</w:t>
                  </w:r>
                  <w:r>
                    <w:rPr>
                      <w:color w:val="auto"/>
                      <w:vertAlign w:val="subscript"/>
                    </w:rPr>
                    <w:t>5</w:t>
                  </w:r>
                  <w:r>
                    <w:rPr>
                      <w:color w:val="auto"/>
                    </w:rPr>
                    <w:t>、SS、NH</w:t>
                  </w:r>
                  <w:r>
                    <w:rPr>
                      <w:color w:val="auto"/>
                      <w:vertAlign w:val="subscript"/>
                    </w:rPr>
                    <w:t>3</w:t>
                  </w:r>
                  <w:r>
                    <w:rPr>
                      <w:color w:val="auto"/>
                    </w:rPr>
                    <w:t>-N</w:t>
                  </w:r>
                </w:p>
              </w:tc>
              <w:tc>
                <w:tcPr>
                  <w:tcW w:w="2111" w:type="pct"/>
                  <w:shd w:val="clear" w:color="auto" w:fill="auto"/>
                  <w:vAlign w:val="center"/>
                </w:tcPr>
                <w:p w14:paraId="5A217214">
                  <w:pPr>
                    <w:pStyle w:val="50"/>
                    <w:ind w:firstLine="0" w:firstLineChars="0"/>
                    <w:jc w:val="center"/>
                    <w:rPr>
                      <w:rFonts w:ascii="Times New Roman" w:hAnsi="Times New Roman" w:eastAsia="宋体" w:cs="Times New Roman"/>
                      <w:color w:val="auto"/>
                      <w:kern w:val="2"/>
                      <w:sz w:val="21"/>
                      <w:szCs w:val="24"/>
                      <w:lang w:val="en-US" w:eastAsia="zh-CN" w:bidi="ar-SA"/>
                    </w:rPr>
                  </w:pPr>
                  <w:r>
                    <w:rPr>
                      <w:rFonts w:hint="eastAsia"/>
                      <w:color w:val="auto"/>
                      <w:lang w:val="en-US" w:eastAsia="zh-CN"/>
                    </w:rPr>
                    <w:t>本项目利用</w:t>
                  </w:r>
                  <w:r>
                    <w:rPr>
                      <w:rFonts w:hint="eastAsia"/>
                      <w:color w:val="auto"/>
                    </w:rPr>
                    <w:t>化粪池收集，收集后的生活污水</w:t>
                  </w:r>
                  <w:r>
                    <w:rPr>
                      <w:rFonts w:hint="eastAsia"/>
                      <w:color w:val="auto"/>
                      <w:lang w:val="en-US" w:eastAsia="zh-CN"/>
                    </w:rPr>
                    <w:t>委托环卫部门进行转运</w:t>
                  </w:r>
                  <w:r>
                    <w:rPr>
                      <w:color w:val="auto"/>
                    </w:rPr>
                    <w:t>。</w:t>
                  </w:r>
                </w:p>
              </w:tc>
            </w:tr>
            <w:tr w14:paraId="25C43F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restart"/>
                  <w:vAlign w:val="center"/>
                </w:tcPr>
                <w:p w14:paraId="27A9E99A">
                  <w:pPr>
                    <w:pStyle w:val="50"/>
                    <w:jc w:val="center"/>
                    <w:rPr>
                      <w:color w:val="auto"/>
                    </w:rPr>
                  </w:pPr>
                  <w:r>
                    <w:rPr>
                      <w:color w:val="auto"/>
                    </w:rPr>
                    <w:t>固废</w:t>
                  </w:r>
                </w:p>
              </w:tc>
              <w:tc>
                <w:tcPr>
                  <w:tcW w:w="712" w:type="pct"/>
                  <w:vAlign w:val="center"/>
                </w:tcPr>
                <w:p w14:paraId="75ADD2B6">
                  <w:pPr>
                    <w:pStyle w:val="50"/>
                    <w:jc w:val="center"/>
                    <w:rPr>
                      <w:color w:val="auto"/>
                    </w:rPr>
                  </w:pPr>
                  <w:r>
                    <w:rPr>
                      <w:color w:val="auto"/>
                    </w:rPr>
                    <w:t>出厂检验</w:t>
                  </w:r>
                </w:p>
              </w:tc>
              <w:tc>
                <w:tcPr>
                  <w:tcW w:w="843" w:type="pct"/>
                  <w:vAlign w:val="center"/>
                </w:tcPr>
                <w:p w14:paraId="13A12E41">
                  <w:pPr>
                    <w:pStyle w:val="50"/>
                    <w:jc w:val="center"/>
                    <w:rPr>
                      <w:color w:val="auto"/>
                    </w:rPr>
                  </w:pPr>
                  <w:r>
                    <w:rPr>
                      <w:color w:val="auto"/>
                    </w:rPr>
                    <w:t>成品残次品</w:t>
                  </w:r>
                </w:p>
              </w:tc>
              <w:tc>
                <w:tcPr>
                  <w:tcW w:w="869" w:type="pct"/>
                  <w:vAlign w:val="center"/>
                </w:tcPr>
                <w:p w14:paraId="7D349124">
                  <w:pPr>
                    <w:pStyle w:val="50"/>
                    <w:jc w:val="center"/>
                    <w:rPr>
                      <w:color w:val="auto"/>
                    </w:rPr>
                  </w:pPr>
                  <w:r>
                    <w:rPr>
                      <w:color w:val="auto"/>
                    </w:rPr>
                    <w:t>混凝土</w:t>
                  </w:r>
                </w:p>
              </w:tc>
              <w:tc>
                <w:tcPr>
                  <w:tcW w:w="2111" w:type="pct"/>
                  <w:vAlign w:val="center"/>
                </w:tcPr>
                <w:p w14:paraId="4BBAAF2B">
                  <w:pPr>
                    <w:pStyle w:val="50"/>
                    <w:jc w:val="center"/>
                    <w:rPr>
                      <w:color w:val="auto"/>
                    </w:rPr>
                  </w:pPr>
                  <w:r>
                    <w:rPr>
                      <w:color w:val="auto"/>
                    </w:rPr>
                    <w:t>集中收集暂存于成品堆场一侧</w:t>
                  </w:r>
                </w:p>
              </w:tc>
            </w:tr>
            <w:tr w14:paraId="53ABB8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vAlign w:val="center"/>
                </w:tcPr>
                <w:p w14:paraId="612F0186">
                  <w:pPr>
                    <w:pStyle w:val="50"/>
                    <w:jc w:val="center"/>
                    <w:rPr>
                      <w:color w:val="auto"/>
                    </w:rPr>
                  </w:pPr>
                </w:p>
              </w:tc>
              <w:tc>
                <w:tcPr>
                  <w:tcW w:w="712" w:type="pct"/>
                  <w:vAlign w:val="center"/>
                </w:tcPr>
                <w:p w14:paraId="65B7093F">
                  <w:pPr>
                    <w:pStyle w:val="50"/>
                    <w:jc w:val="center"/>
                    <w:rPr>
                      <w:color w:val="auto"/>
                    </w:rPr>
                  </w:pPr>
                  <w:r>
                    <w:rPr>
                      <w:color w:val="auto"/>
                    </w:rPr>
                    <w:t>粉料仓废气沉淀水箱</w:t>
                  </w:r>
                </w:p>
              </w:tc>
              <w:tc>
                <w:tcPr>
                  <w:tcW w:w="843" w:type="pct"/>
                  <w:vAlign w:val="center"/>
                </w:tcPr>
                <w:p w14:paraId="659F38C8">
                  <w:pPr>
                    <w:pStyle w:val="50"/>
                    <w:jc w:val="center"/>
                    <w:rPr>
                      <w:color w:val="auto"/>
                    </w:rPr>
                  </w:pPr>
                  <w:r>
                    <w:rPr>
                      <w:color w:val="auto"/>
                    </w:rPr>
                    <w:t>沉渣</w:t>
                  </w:r>
                </w:p>
              </w:tc>
              <w:tc>
                <w:tcPr>
                  <w:tcW w:w="869" w:type="pct"/>
                  <w:vAlign w:val="center"/>
                </w:tcPr>
                <w:p w14:paraId="17519BE4">
                  <w:pPr>
                    <w:pStyle w:val="50"/>
                    <w:jc w:val="center"/>
                    <w:rPr>
                      <w:color w:val="auto"/>
                    </w:rPr>
                  </w:pPr>
                  <w:r>
                    <w:rPr>
                      <w:color w:val="auto"/>
                    </w:rPr>
                    <w:t>沉渣</w:t>
                  </w:r>
                </w:p>
              </w:tc>
              <w:tc>
                <w:tcPr>
                  <w:tcW w:w="2111" w:type="pct"/>
                  <w:vAlign w:val="center"/>
                </w:tcPr>
                <w:p w14:paraId="56C2E858">
                  <w:pPr>
                    <w:pStyle w:val="50"/>
                    <w:jc w:val="center"/>
                    <w:rPr>
                      <w:color w:val="auto"/>
                    </w:rPr>
                  </w:pPr>
                  <w:r>
                    <w:rPr>
                      <w:color w:val="auto"/>
                    </w:rPr>
                    <w:t>定期清掏，外售附近砖厂</w:t>
                  </w:r>
                </w:p>
              </w:tc>
            </w:tr>
            <w:tr w14:paraId="431077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vAlign w:val="center"/>
                </w:tcPr>
                <w:p w14:paraId="7567312C">
                  <w:pPr>
                    <w:pStyle w:val="50"/>
                    <w:jc w:val="center"/>
                    <w:rPr>
                      <w:color w:val="auto"/>
                    </w:rPr>
                  </w:pPr>
                </w:p>
              </w:tc>
              <w:tc>
                <w:tcPr>
                  <w:tcW w:w="712" w:type="pct"/>
                  <w:vAlign w:val="center"/>
                </w:tcPr>
                <w:p w14:paraId="11D50628">
                  <w:pPr>
                    <w:pStyle w:val="50"/>
                    <w:jc w:val="center"/>
                    <w:rPr>
                      <w:color w:val="auto"/>
                    </w:rPr>
                  </w:pPr>
                  <w:r>
                    <w:rPr>
                      <w:color w:val="auto"/>
                    </w:rPr>
                    <w:t>员工日常</w:t>
                  </w:r>
                </w:p>
              </w:tc>
              <w:tc>
                <w:tcPr>
                  <w:tcW w:w="843" w:type="pct"/>
                  <w:vAlign w:val="center"/>
                </w:tcPr>
                <w:p w14:paraId="478C5BFE">
                  <w:pPr>
                    <w:pStyle w:val="50"/>
                    <w:jc w:val="center"/>
                    <w:rPr>
                      <w:color w:val="auto"/>
                    </w:rPr>
                  </w:pPr>
                  <w:r>
                    <w:rPr>
                      <w:color w:val="auto"/>
                    </w:rPr>
                    <w:t>生活垃圾</w:t>
                  </w:r>
                </w:p>
              </w:tc>
              <w:tc>
                <w:tcPr>
                  <w:tcW w:w="869" w:type="pct"/>
                  <w:vAlign w:val="center"/>
                </w:tcPr>
                <w:p w14:paraId="7C374356">
                  <w:pPr>
                    <w:pStyle w:val="50"/>
                    <w:jc w:val="center"/>
                    <w:rPr>
                      <w:color w:val="auto"/>
                    </w:rPr>
                  </w:pPr>
                  <w:r>
                    <w:rPr>
                      <w:color w:val="auto"/>
                    </w:rPr>
                    <w:t>果皮、食物残渣等</w:t>
                  </w:r>
                </w:p>
              </w:tc>
              <w:tc>
                <w:tcPr>
                  <w:tcW w:w="2111" w:type="pct"/>
                  <w:vAlign w:val="center"/>
                </w:tcPr>
                <w:p w14:paraId="459305B5">
                  <w:pPr>
                    <w:pStyle w:val="50"/>
                    <w:jc w:val="center"/>
                    <w:rPr>
                      <w:color w:val="auto"/>
                    </w:rPr>
                  </w:pPr>
                  <w:r>
                    <w:rPr>
                      <w:color w:val="auto"/>
                    </w:rPr>
                    <w:t>设垃圾桶收集，定期委托环卫部门清运处理</w:t>
                  </w:r>
                </w:p>
              </w:tc>
            </w:tr>
            <w:tr w14:paraId="34CC3F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restart"/>
                  <w:vAlign w:val="center"/>
                </w:tcPr>
                <w:p w14:paraId="1B4B6B38">
                  <w:pPr>
                    <w:pStyle w:val="50"/>
                    <w:jc w:val="center"/>
                    <w:rPr>
                      <w:rFonts w:hint="eastAsia" w:eastAsia="宋体"/>
                      <w:color w:val="auto"/>
                      <w:lang w:val="en-US" w:eastAsia="zh-CN"/>
                    </w:rPr>
                  </w:pPr>
                  <w:r>
                    <w:rPr>
                      <w:rFonts w:hint="eastAsia"/>
                      <w:color w:val="auto"/>
                      <w:lang w:val="en-US" w:eastAsia="zh-CN"/>
                    </w:rPr>
                    <w:t>危废</w:t>
                  </w:r>
                </w:p>
              </w:tc>
              <w:tc>
                <w:tcPr>
                  <w:tcW w:w="712" w:type="pct"/>
                  <w:vMerge w:val="restart"/>
                  <w:vAlign w:val="center"/>
                </w:tcPr>
                <w:p w14:paraId="13C6D7B7">
                  <w:pPr>
                    <w:pStyle w:val="50"/>
                    <w:jc w:val="center"/>
                    <w:rPr>
                      <w:rFonts w:hint="default" w:eastAsia="宋体"/>
                      <w:color w:val="auto"/>
                      <w:lang w:val="en-US" w:eastAsia="zh-CN"/>
                    </w:rPr>
                  </w:pPr>
                  <w:r>
                    <w:rPr>
                      <w:rFonts w:hint="eastAsia"/>
                      <w:color w:val="auto"/>
                      <w:lang w:val="en-US" w:eastAsia="zh-CN"/>
                    </w:rPr>
                    <w:t>生产设备</w:t>
                  </w:r>
                </w:p>
              </w:tc>
              <w:tc>
                <w:tcPr>
                  <w:tcW w:w="843" w:type="pct"/>
                  <w:vAlign w:val="center"/>
                </w:tcPr>
                <w:p w14:paraId="20162212">
                  <w:pPr>
                    <w:pStyle w:val="50"/>
                    <w:jc w:val="center"/>
                    <w:rPr>
                      <w:color w:val="auto"/>
                    </w:rPr>
                  </w:pPr>
                  <w:r>
                    <w:rPr>
                      <w:rFonts w:hint="eastAsia"/>
                      <w:color w:val="auto"/>
                      <w:lang w:val="en-US" w:eastAsia="zh-CN"/>
                    </w:rPr>
                    <w:t>废润滑油</w:t>
                  </w:r>
                </w:p>
              </w:tc>
              <w:tc>
                <w:tcPr>
                  <w:tcW w:w="869" w:type="pct"/>
                  <w:vAlign w:val="center"/>
                </w:tcPr>
                <w:p w14:paraId="18DA51C8">
                  <w:pPr>
                    <w:pStyle w:val="50"/>
                    <w:jc w:val="center"/>
                    <w:rPr>
                      <w:rFonts w:hint="eastAsia" w:eastAsia="宋体"/>
                      <w:color w:val="auto"/>
                      <w:lang w:val="en-US" w:eastAsia="zh-CN"/>
                    </w:rPr>
                  </w:pPr>
                  <w:r>
                    <w:rPr>
                      <w:rFonts w:hint="eastAsia"/>
                      <w:color w:val="auto"/>
                      <w:lang w:val="en-US" w:eastAsia="zh-CN"/>
                    </w:rPr>
                    <w:t>废润滑油</w:t>
                  </w:r>
                </w:p>
              </w:tc>
              <w:tc>
                <w:tcPr>
                  <w:tcW w:w="2111" w:type="pct"/>
                  <w:vAlign w:val="center"/>
                </w:tcPr>
                <w:p w14:paraId="1C51D39A">
                  <w:pPr>
                    <w:pStyle w:val="50"/>
                    <w:jc w:val="center"/>
                    <w:rPr>
                      <w:rFonts w:hint="default" w:eastAsia="宋体"/>
                      <w:color w:val="auto"/>
                      <w:lang w:val="en-US" w:eastAsia="zh-CN"/>
                    </w:rPr>
                  </w:pPr>
                  <w:r>
                    <w:rPr>
                      <w:rFonts w:hint="eastAsia"/>
                      <w:color w:val="auto"/>
                      <w:lang w:val="en-US" w:eastAsia="zh-CN"/>
                    </w:rPr>
                    <w:t>暂存于危废间，委托有资质单位进行处置</w:t>
                  </w:r>
                </w:p>
              </w:tc>
            </w:tr>
            <w:tr w14:paraId="4CFE11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vAlign w:val="center"/>
                </w:tcPr>
                <w:p w14:paraId="255A74BE">
                  <w:pPr>
                    <w:pStyle w:val="50"/>
                    <w:jc w:val="center"/>
                    <w:rPr>
                      <w:color w:val="auto"/>
                    </w:rPr>
                  </w:pPr>
                </w:p>
              </w:tc>
              <w:tc>
                <w:tcPr>
                  <w:tcW w:w="712" w:type="pct"/>
                  <w:vMerge w:val="continue"/>
                  <w:vAlign w:val="center"/>
                </w:tcPr>
                <w:p w14:paraId="7F08CBA7">
                  <w:pPr>
                    <w:pStyle w:val="50"/>
                    <w:jc w:val="center"/>
                    <w:rPr>
                      <w:rFonts w:hint="default" w:eastAsia="宋体"/>
                      <w:color w:val="auto"/>
                      <w:lang w:val="en-US" w:eastAsia="zh-CN"/>
                    </w:rPr>
                  </w:pPr>
                </w:p>
              </w:tc>
              <w:tc>
                <w:tcPr>
                  <w:tcW w:w="843" w:type="pct"/>
                  <w:vAlign w:val="center"/>
                </w:tcPr>
                <w:p w14:paraId="28AEB5C2">
                  <w:pPr>
                    <w:pStyle w:val="50"/>
                    <w:jc w:val="center"/>
                    <w:rPr>
                      <w:color w:val="auto"/>
                    </w:rPr>
                  </w:pPr>
                  <w:r>
                    <w:rPr>
                      <w:rFonts w:hint="eastAsia"/>
                      <w:color w:val="auto"/>
                      <w:lang w:val="en-US" w:eastAsia="zh-CN"/>
                    </w:rPr>
                    <w:t>废含油抹布</w:t>
                  </w:r>
                </w:p>
              </w:tc>
              <w:tc>
                <w:tcPr>
                  <w:tcW w:w="869" w:type="pct"/>
                  <w:vAlign w:val="center"/>
                </w:tcPr>
                <w:p w14:paraId="407805FC">
                  <w:pPr>
                    <w:pStyle w:val="50"/>
                    <w:jc w:val="center"/>
                    <w:rPr>
                      <w:rFonts w:hint="default" w:eastAsia="宋体"/>
                      <w:color w:val="auto"/>
                      <w:lang w:val="en-US" w:eastAsia="zh-CN"/>
                    </w:rPr>
                  </w:pPr>
                  <w:r>
                    <w:rPr>
                      <w:rFonts w:hint="eastAsia"/>
                      <w:color w:val="auto"/>
                      <w:lang w:val="en-US" w:eastAsia="zh-CN"/>
                    </w:rPr>
                    <w:t>废含油抹布</w:t>
                  </w:r>
                </w:p>
              </w:tc>
              <w:tc>
                <w:tcPr>
                  <w:tcW w:w="2111" w:type="pct"/>
                  <w:vAlign w:val="center"/>
                </w:tcPr>
                <w:p w14:paraId="69C3F6AF">
                  <w:pPr>
                    <w:pStyle w:val="50"/>
                    <w:jc w:val="center"/>
                    <w:rPr>
                      <w:rFonts w:hint="default" w:eastAsia="宋体"/>
                      <w:color w:val="auto"/>
                      <w:lang w:val="en-US" w:eastAsia="zh-CN"/>
                    </w:rPr>
                  </w:pPr>
                  <w:r>
                    <w:rPr>
                      <w:rFonts w:hint="eastAsia"/>
                      <w:color w:val="auto"/>
                      <w:lang w:val="en-US" w:eastAsia="zh-CN"/>
                    </w:rPr>
                    <w:t>与废润滑油一同暂存于危废间，委托有资质单位进行处置</w:t>
                  </w:r>
                </w:p>
              </w:tc>
            </w:tr>
            <w:tr w14:paraId="3FD326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14:paraId="589538CB">
                  <w:pPr>
                    <w:pStyle w:val="50"/>
                    <w:jc w:val="center"/>
                    <w:rPr>
                      <w:color w:val="auto"/>
                    </w:rPr>
                  </w:pPr>
                  <w:r>
                    <w:rPr>
                      <w:color w:val="auto"/>
                    </w:rPr>
                    <w:t>噪声</w:t>
                  </w:r>
                </w:p>
              </w:tc>
              <w:tc>
                <w:tcPr>
                  <w:tcW w:w="712" w:type="pct"/>
                  <w:vAlign w:val="center"/>
                </w:tcPr>
                <w:p w14:paraId="0DBFE6F1">
                  <w:pPr>
                    <w:pStyle w:val="50"/>
                    <w:jc w:val="center"/>
                    <w:rPr>
                      <w:color w:val="auto"/>
                    </w:rPr>
                  </w:pPr>
                  <w:r>
                    <w:rPr>
                      <w:color w:val="auto"/>
                    </w:rPr>
                    <w:t>生产设备</w:t>
                  </w:r>
                </w:p>
              </w:tc>
              <w:tc>
                <w:tcPr>
                  <w:tcW w:w="843" w:type="pct"/>
                  <w:vAlign w:val="center"/>
                </w:tcPr>
                <w:p w14:paraId="6B286717">
                  <w:pPr>
                    <w:pStyle w:val="50"/>
                    <w:jc w:val="center"/>
                    <w:rPr>
                      <w:color w:val="auto"/>
                    </w:rPr>
                  </w:pPr>
                  <w:r>
                    <w:rPr>
                      <w:color w:val="auto"/>
                    </w:rPr>
                    <w:t>设备噪声</w:t>
                  </w:r>
                </w:p>
              </w:tc>
              <w:tc>
                <w:tcPr>
                  <w:tcW w:w="869" w:type="pct"/>
                  <w:vAlign w:val="center"/>
                </w:tcPr>
                <w:p w14:paraId="375AB8FD">
                  <w:pPr>
                    <w:pStyle w:val="50"/>
                    <w:jc w:val="center"/>
                    <w:rPr>
                      <w:color w:val="auto"/>
                    </w:rPr>
                  </w:pPr>
                  <w:r>
                    <w:rPr>
                      <w:color w:val="auto"/>
                    </w:rPr>
                    <w:t>等效连续A声级</w:t>
                  </w:r>
                </w:p>
              </w:tc>
              <w:tc>
                <w:tcPr>
                  <w:tcW w:w="2111" w:type="pct"/>
                  <w:vAlign w:val="center"/>
                </w:tcPr>
                <w:p w14:paraId="07891220">
                  <w:pPr>
                    <w:pStyle w:val="50"/>
                    <w:jc w:val="center"/>
                    <w:rPr>
                      <w:color w:val="auto"/>
                    </w:rPr>
                  </w:pPr>
                  <w:r>
                    <w:rPr>
                      <w:color w:val="auto"/>
                    </w:rPr>
                    <w:t>选购低噪声设备，设备置于封闭厂房内，高噪声设备采取基础减振措施</w:t>
                  </w:r>
                </w:p>
              </w:tc>
            </w:tr>
          </w:tbl>
          <w:p w14:paraId="31480B93">
            <w:pPr>
              <w:ind w:firstLine="482"/>
              <w:rPr>
                <w:rFonts w:cs="Times New Roman"/>
                <w:color w:val="auto"/>
              </w:rPr>
            </w:pPr>
            <w:r>
              <w:rPr>
                <w:rFonts w:cs="Times New Roman"/>
                <w:b/>
                <w:bCs/>
                <w:color w:val="auto"/>
              </w:rPr>
              <w:t>3、物料平衡</w:t>
            </w:r>
          </w:p>
          <w:p w14:paraId="1A8CAAD8">
            <w:pPr>
              <w:ind w:firstLine="480"/>
              <w:rPr>
                <w:rFonts w:cs="Times New Roman"/>
                <w:color w:val="auto"/>
              </w:rPr>
            </w:pPr>
            <w:r>
              <w:rPr>
                <w:rFonts w:cs="Times New Roman"/>
                <w:color w:val="auto"/>
              </w:rPr>
              <w:t>本项目物料平衡见下表，物料平衡图见图2-3。</w:t>
            </w:r>
          </w:p>
          <w:p w14:paraId="1B69BFB2">
            <w:pPr>
              <w:pStyle w:val="36"/>
              <w:rPr>
                <w:rFonts w:cs="Times New Roman"/>
                <w:color w:val="auto"/>
              </w:rPr>
            </w:pPr>
            <w:r>
              <w:rPr>
                <w:rFonts w:cs="Times New Roman"/>
                <w:color w:val="auto"/>
              </w:rPr>
              <w:t>表2-7  项目物料平衡表</w:t>
            </w:r>
          </w:p>
          <w:tbl>
            <w:tblPr>
              <w:tblStyle w:val="28"/>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1869"/>
              <w:gridCol w:w="1868"/>
              <w:gridCol w:w="1873"/>
            </w:tblGrid>
            <w:tr w14:paraId="07E59B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97" w:type="pct"/>
                  <w:gridSpan w:val="2"/>
                  <w:tcBorders>
                    <w:tl2br w:val="nil"/>
                    <w:tr2bl w:val="nil"/>
                  </w:tcBorders>
                  <w:vAlign w:val="center"/>
                </w:tcPr>
                <w:p w14:paraId="129E2BD1">
                  <w:pPr>
                    <w:pStyle w:val="50"/>
                    <w:jc w:val="center"/>
                    <w:rPr>
                      <w:rFonts w:ascii="Arial" w:hAnsi="Arial" w:cs="Arial"/>
                      <w:color w:val="auto"/>
                    </w:rPr>
                  </w:pPr>
                  <w:r>
                    <w:rPr>
                      <w:rFonts w:ascii="Arial" w:hAnsi="Arial" w:cs="Arial"/>
                      <w:color w:val="auto"/>
                    </w:rPr>
                    <w:t>进料</w:t>
                  </w:r>
                </w:p>
              </w:tc>
              <w:tc>
                <w:tcPr>
                  <w:tcW w:w="2502" w:type="pct"/>
                  <w:gridSpan w:val="2"/>
                  <w:tcBorders>
                    <w:tl2br w:val="nil"/>
                    <w:tr2bl w:val="nil"/>
                  </w:tcBorders>
                  <w:vAlign w:val="center"/>
                </w:tcPr>
                <w:p w14:paraId="4D27A69F">
                  <w:pPr>
                    <w:pStyle w:val="50"/>
                    <w:jc w:val="center"/>
                    <w:rPr>
                      <w:rFonts w:ascii="Arial" w:hAnsi="Arial" w:cs="Arial"/>
                      <w:color w:val="auto"/>
                    </w:rPr>
                  </w:pPr>
                  <w:r>
                    <w:rPr>
                      <w:rFonts w:ascii="Arial" w:hAnsi="Arial" w:cs="Arial"/>
                      <w:color w:val="auto"/>
                    </w:rPr>
                    <w:t>出料</w:t>
                  </w:r>
                </w:p>
              </w:tc>
            </w:tr>
            <w:tr w14:paraId="62194C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47" w:type="pct"/>
                  <w:tcBorders>
                    <w:tl2br w:val="nil"/>
                    <w:tr2bl w:val="nil"/>
                  </w:tcBorders>
                  <w:vAlign w:val="center"/>
                </w:tcPr>
                <w:p w14:paraId="4BC087C6">
                  <w:pPr>
                    <w:pStyle w:val="50"/>
                    <w:jc w:val="center"/>
                    <w:rPr>
                      <w:rFonts w:ascii="Arial" w:hAnsi="Arial" w:cs="Arial"/>
                      <w:color w:val="auto"/>
                    </w:rPr>
                  </w:pPr>
                  <w:r>
                    <w:rPr>
                      <w:rFonts w:ascii="Arial" w:hAnsi="Arial" w:cs="Arial"/>
                      <w:color w:val="auto"/>
                    </w:rPr>
                    <w:t>名称</w:t>
                  </w:r>
                </w:p>
              </w:tc>
              <w:tc>
                <w:tcPr>
                  <w:tcW w:w="1250" w:type="pct"/>
                  <w:tcBorders>
                    <w:tl2br w:val="nil"/>
                    <w:tr2bl w:val="nil"/>
                  </w:tcBorders>
                  <w:vAlign w:val="center"/>
                </w:tcPr>
                <w:p w14:paraId="422DD1E3">
                  <w:pPr>
                    <w:pStyle w:val="50"/>
                    <w:jc w:val="center"/>
                    <w:rPr>
                      <w:rFonts w:ascii="Arial" w:hAnsi="Arial" w:cs="Arial"/>
                      <w:color w:val="auto"/>
                    </w:rPr>
                  </w:pPr>
                  <w:r>
                    <w:rPr>
                      <w:rFonts w:ascii="Arial" w:hAnsi="Arial" w:cs="Arial"/>
                      <w:color w:val="auto"/>
                    </w:rPr>
                    <w:t>年</w:t>
                  </w:r>
                  <w:r>
                    <w:rPr>
                      <w:rFonts w:hint="eastAsia" w:ascii="Arial" w:hAnsi="Arial" w:cs="Arial"/>
                      <w:color w:val="auto"/>
                    </w:rPr>
                    <w:t>用</w:t>
                  </w:r>
                  <w:r>
                    <w:rPr>
                      <w:rFonts w:ascii="Arial" w:hAnsi="Arial" w:cs="Arial"/>
                      <w:color w:val="auto"/>
                    </w:rPr>
                    <w:t>量（t/a）</w:t>
                  </w:r>
                </w:p>
              </w:tc>
              <w:tc>
                <w:tcPr>
                  <w:tcW w:w="1249" w:type="pct"/>
                  <w:tcBorders>
                    <w:tl2br w:val="nil"/>
                    <w:tr2bl w:val="nil"/>
                  </w:tcBorders>
                  <w:vAlign w:val="center"/>
                </w:tcPr>
                <w:p w14:paraId="6E377218">
                  <w:pPr>
                    <w:pStyle w:val="50"/>
                    <w:jc w:val="center"/>
                    <w:rPr>
                      <w:rFonts w:ascii="Arial" w:hAnsi="Arial" w:cs="Arial"/>
                      <w:color w:val="auto"/>
                    </w:rPr>
                  </w:pPr>
                  <w:r>
                    <w:rPr>
                      <w:rFonts w:ascii="Arial" w:hAnsi="Arial" w:cs="Arial"/>
                      <w:color w:val="auto"/>
                    </w:rPr>
                    <w:t>产出</w:t>
                  </w:r>
                </w:p>
              </w:tc>
              <w:tc>
                <w:tcPr>
                  <w:tcW w:w="1252" w:type="pct"/>
                  <w:tcBorders>
                    <w:tl2br w:val="nil"/>
                    <w:tr2bl w:val="nil"/>
                  </w:tcBorders>
                  <w:vAlign w:val="center"/>
                </w:tcPr>
                <w:p w14:paraId="4C04FF2A">
                  <w:pPr>
                    <w:pStyle w:val="50"/>
                    <w:jc w:val="center"/>
                    <w:rPr>
                      <w:rFonts w:ascii="Arial" w:hAnsi="Arial" w:cs="Arial"/>
                      <w:color w:val="auto"/>
                    </w:rPr>
                  </w:pPr>
                  <w:r>
                    <w:rPr>
                      <w:rFonts w:ascii="Arial" w:hAnsi="Arial" w:cs="Arial"/>
                      <w:color w:val="auto"/>
                    </w:rPr>
                    <w:t>产生量（t/a）</w:t>
                  </w:r>
                </w:p>
              </w:tc>
            </w:tr>
            <w:tr w14:paraId="10213F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000" w:type="pct"/>
                  <w:gridSpan w:val="4"/>
                  <w:tcBorders>
                    <w:tl2br w:val="nil"/>
                    <w:tr2bl w:val="nil"/>
                  </w:tcBorders>
                  <w:vAlign w:val="center"/>
                </w:tcPr>
                <w:p w14:paraId="11DE0E85">
                  <w:pPr>
                    <w:pStyle w:val="50"/>
                    <w:jc w:val="center"/>
                    <w:rPr>
                      <w:rFonts w:ascii="Arial" w:hAnsi="Arial" w:cs="Arial"/>
                      <w:color w:val="auto"/>
                    </w:rPr>
                  </w:pPr>
                  <w:r>
                    <w:rPr>
                      <w:rFonts w:ascii="Arial" w:hAnsi="Arial" w:cs="Arial"/>
                      <w:color w:val="auto"/>
                    </w:rPr>
                    <w:t>混凝土制备</w:t>
                  </w:r>
                </w:p>
              </w:tc>
            </w:tr>
            <w:tr w14:paraId="69D820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47" w:type="pct"/>
                  <w:tcBorders>
                    <w:tl2br w:val="nil"/>
                    <w:tr2bl w:val="nil"/>
                  </w:tcBorders>
                  <w:vAlign w:val="center"/>
                </w:tcPr>
                <w:p w14:paraId="0C9B59AA">
                  <w:pPr>
                    <w:pStyle w:val="50"/>
                    <w:jc w:val="center"/>
                    <w:rPr>
                      <w:rFonts w:ascii="Arial" w:hAnsi="Arial" w:cs="Arial"/>
                      <w:color w:val="auto"/>
                    </w:rPr>
                  </w:pPr>
                  <w:r>
                    <w:rPr>
                      <w:rFonts w:ascii="Arial" w:hAnsi="Arial" w:cs="Arial"/>
                      <w:color w:val="auto"/>
                    </w:rPr>
                    <w:t>水泥</w:t>
                  </w:r>
                </w:p>
              </w:tc>
              <w:tc>
                <w:tcPr>
                  <w:tcW w:w="1250" w:type="pct"/>
                  <w:tcBorders>
                    <w:tl2br w:val="nil"/>
                    <w:tr2bl w:val="nil"/>
                  </w:tcBorders>
                  <w:vAlign w:val="center"/>
                </w:tcPr>
                <w:p w14:paraId="1018DD1D">
                  <w:pPr>
                    <w:spacing w:line="240" w:lineRule="auto"/>
                    <w:ind w:firstLine="0" w:firstLineChars="0"/>
                    <w:jc w:val="center"/>
                    <w:textAlignment w:val="center"/>
                    <w:rPr>
                      <w:rFonts w:hint="default" w:ascii="Arial" w:hAnsi="Arial" w:eastAsia="宋体" w:cs="Arial"/>
                      <w:color w:val="auto"/>
                      <w:lang w:val="en-US" w:eastAsia="zh-CN"/>
                    </w:rPr>
                  </w:pPr>
                  <w:r>
                    <w:rPr>
                      <w:rFonts w:hint="eastAsia" w:ascii="Arial" w:hAnsi="Arial" w:cs="Arial"/>
                      <w:color w:val="auto"/>
                      <w:sz w:val="22"/>
                      <w:lang w:val="en-US" w:eastAsia="zh-CN" w:bidi="ar"/>
                    </w:rPr>
                    <w:t>3000</w:t>
                  </w:r>
                </w:p>
              </w:tc>
              <w:tc>
                <w:tcPr>
                  <w:tcW w:w="1249" w:type="pct"/>
                  <w:tcBorders>
                    <w:tl2br w:val="nil"/>
                    <w:tr2bl w:val="nil"/>
                  </w:tcBorders>
                  <w:vAlign w:val="center"/>
                </w:tcPr>
                <w:p w14:paraId="0D30FBBF">
                  <w:pPr>
                    <w:pStyle w:val="50"/>
                    <w:jc w:val="center"/>
                    <w:rPr>
                      <w:rFonts w:ascii="Arial" w:hAnsi="Arial" w:cs="Arial"/>
                      <w:color w:val="auto"/>
                    </w:rPr>
                  </w:pPr>
                  <w:r>
                    <w:rPr>
                      <w:rFonts w:ascii="Arial" w:hAnsi="Arial" w:cs="Arial"/>
                      <w:color w:val="auto"/>
                    </w:rPr>
                    <w:t>混凝土拌合物</w:t>
                  </w:r>
                </w:p>
              </w:tc>
              <w:tc>
                <w:tcPr>
                  <w:tcW w:w="1252" w:type="pct"/>
                  <w:tcBorders>
                    <w:tl2br w:val="nil"/>
                    <w:tr2bl w:val="nil"/>
                  </w:tcBorders>
                  <w:vAlign w:val="center"/>
                </w:tcPr>
                <w:p w14:paraId="2F1FC625">
                  <w:pPr>
                    <w:pStyle w:val="50"/>
                    <w:ind w:firstLine="0" w:firstLineChars="0"/>
                    <w:jc w:val="center"/>
                    <w:rPr>
                      <w:rFonts w:hint="default" w:ascii="Arial" w:hAnsi="Arial" w:eastAsia="宋体" w:cs="Arial"/>
                      <w:color w:val="auto"/>
                      <w:lang w:val="en-US" w:eastAsia="zh-CN"/>
                    </w:rPr>
                  </w:pPr>
                  <w:r>
                    <w:rPr>
                      <w:rFonts w:hint="eastAsia" w:ascii="Arial" w:hAnsi="Arial" w:cs="Arial"/>
                      <w:color w:val="auto"/>
                      <w:lang w:val="en-US" w:eastAsia="zh-CN"/>
                    </w:rPr>
                    <w:t>20850</w:t>
                  </w:r>
                </w:p>
              </w:tc>
            </w:tr>
            <w:tr w14:paraId="13918D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47" w:type="pct"/>
                  <w:tcBorders>
                    <w:tl2br w:val="nil"/>
                    <w:tr2bl w:val="nil"/>
                  </w:tcBorders>
                  <w:vAlign w:val="center"/>
                </w:tcPr>
                <w:p w14:paraId="0A86A4A7">
                  <w:pPr>
                    <w:pStyle w:val="50"/>
                    <w:jc w:val="center"/>
                    <w:rPr>
                      <w:rFonts w:ascii="Arial" w:hAnsi="Arial" w:cs="Arial"/>
                      <w:color w:val="auto"/>
                    </w:rPr>
                  </w:pPr>
                  <w:r>
                    <w:rPr>
                      <w:rFonts w:ascii="Arial" w:hAnsi="Arial" w:cs="Arial"/>
                      <w:color w:val="auto"/>
                    </w:rPr>
                    <w:t>砂</w:t>
                  </w:r>
                </w:p>
              </w:tc>
              <w:tc>
                <w:tcPr>
                  <w:tcW w:w="1250" w:type="pct"/>
                  <w:tcBorders>
                    <w:tl2br w:val="nil"/>
                    <w:tr2bl w:val="nil"/>
                  </w:tcBorders>
                  <w:vAlign w:val="center"/>
                </w:tcPr>
                <w:p w14:paraId="61D9550A">
                  <w:pPr>
                    <w:spacing w:line="240" w:lineRule="auto"/>
                    <w:ind w:firstLine="0" w:firstLineChars="0"/>
                    <w:jc w:val="center"/>
                    <w:textAlignment w:val="center"/>
                    <w:rPr>
                      <w:rFonts w:hint="default" w:ascii="Arial" w:hAnsi="Arial" w:eastAsia="宋体" w:cs="Arial"/>
                      <w:color w:val="auto"/>
                      <w:lang w:val="en-US" w:eastAsia="zh-CN"/>
                    </w:rPr>
                  </w:pPr>
                  <w:r>
                    <w:rPr>
                      <w:rFonts w:hint="eastAsia" w:ascii="Arial" w:hAnsi="Arial" w:cs="Arial"/>
                      <w:color w:val="auto"/>
                      <w:sz w:val="22"/>
                      <w:lang w:val="en-US" w:eastAsia="zh-CN" w:bidi="ar"/>
                    </w:rPr>
                    <w:t>6000</w:t>
                  </w:r>
                </w:p>
              </w:tc>
              <w:tc>
                <w:tcPr>
                  <w:tcW w:w="1249" w:type="pct"/>
                  <w:tcBorders>
                    <w:tl2br w:val="nil"/>
                    <w:tr2bl w:val="nil"/>
                  </w:tcBorders>
                  <w:vAlign w:val="center"/>
                </w:tcPr>
                <w:p w14:paraId="542AD074">
                  <w:pPr>
                    <w:pStyle w:val="50"/>
                    <w:jc w:val="center"/>
                    <w:rPr>
                      <w:rFonts w:ascii="Arial" w:hAnsi="Arial" w:cs="Arial"/>
                      <w:color w:val="auto"/>
                    </w:rPr>
                  </w:pPr>
                  <w:r>
                    <w:rPr>
                      <w:rFonts w:ascii="Arial" w:hAnsi="Arial" w:cs="Arial"/>
                      <w:color w:val="auto"/>
                    </w:rPr>
                    <w:t>除尘灰</w:t>
                  </w:r>
                </w:p>
              </w:tc>
              <w:tc>
                <w:tcPr>
                  <w:tcW w:w="1252" w:type="pct"/>
                  <w:tcBorders>
                    <w:tl2br w:val="nil"/>
                    <w:tr2bl w:val="nil"/>
                  </w:tcBorders>
                  <w:vAlign w:val="center"/>
                </w:tcPr>
                <w:p w14:paraId="64B987FD">
                  <w:pPr>
                    <w:pStyle w:val="50"/>
                    <w:ind w:firstLine="0" w:firstLineChars="0"/>
                    <w:jc w:val="center"/>
                    <w:rPr>
                      <w:rFonts w:hint="default" w:ascii="Arial" w:hAnsi="Arial" w:eastAsia="宋体" w:cs="Arial"/>
                      <w:color w:val="auto"/>
                      <w:lang w:val="en-US" w:eastAsia="zh-CN"/>
                    </w:rPr>
                  </w:pPr>
                  <w:r>
                    <w:rPr>
                      <w:rFonts w:hint="eastAsia" w:ascii="Arial" w:hAnsi="Arial" w:cs="Arial"/>
                      <w:color w:val="auto"/>
                      <w:lang w:val="en-US" w:eastAsia="zh-CN"/>
                    </w:rPr>
                    <w:t>0.0255</w:t>
                  </w:r>
                </w:p>
              </w:tc>
            </w:tr>
            <w:tr w14:paraId="2A1EDE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247" w:type="pct"/>
                  <w:tcBorders>
                    <w:tl2br w:val="nil"/>
                    <w:tr2bl w:val="nil"/>
                  </w:tcBorders>
                  <w:vAlign w:val="center"/>
                </w:tcPr>
                <w:p w14:paraId="71E66545">
                  <w:pPr>
                    <w:pStyle w:val="50"/>
                    <w:jc w:val="center"/>
                    <w:rPr>
                      <w:rFonts w:ascii="Arial" w:hAnsi="Arial" w:cs="Arial"/>
                      <w:color w:val="auto"/>
                    </w:rPr>
                  </w:pPr>
                  <w:r>
                    <w:rPr>
                      <w:rFonts w:ascii="Arial" w:hAnsi="Arial" w:cs="Arial"/>
                      <w:color w:val="auto"/>
                    </w:rPr>
                    <w:t>外加剂</w:t>
                  </w:r>
                </w:p>
              </w:tc>
              <w:tc>
                <w:tcPr>
                  <w:tcW w:w="1250" w:type="pct"/>
                  <w:tcBorders>
                    <w:tl2br w:val="nil"/>
                    <w:tr2bl w:val="nil"/>
                  </w:tcBorders>
                  <w:vAlign w:val="center"/>
                </w:tcPr>
                <w:p w14:paraId="5D53F3C5">
                  <w:pPr>
                    <w:spacing w:line="240" w:lineRule="auto"/>
                    <w:ind w:firstLine="0" w:firstLineChars="0"/>
                    <w:jc w:val="center"/>
                    <w:textAlignment w:val="center"/>
                    <w:rPr>
                      <w:rFonts w:hint="default" w:ascii="Arial" w:hAnsi="Arial" w:eastAsia="宋体" w:cs="Arial"/>
                      <w:color w:val="auto"/>
                      <w:lang w:val="en-US" w:eastAsia="zh-CN"/>
                    </w:rPr>
                  </w:pPr>
                  <w:r>
                    <w:rPr>
                      <w:rFonts w:hint="eastAsia" w:ascii="Arial" w:hAnsi="Arial" w:cs="Arial"/>
                      <w:color w:val="auto"/>
                      <w:sz w:val="22"/>
                      <w:lang w:val="en-US" w:eastAsia="zh-CN" w:bidi="ar"/>
                    </w:rPr>
                    <w:t>20</w:t>
                  </w:r>
                </w:p>
              </w:tc>
              <w:tc>
                <w:tcPr>
                  <w:tcW w:w="1249" w:type="pct"/>
                  <w:tcBorders>
                    <w:tl2br w:val="nil"/>
                    <w:tr2bl w:val="nil"/>
                  </w:tcBorders>
                  <w:shd w:val="clear" w:color="auto" w:fill="auto"/>
                  <w:vAlign w:val="center"/>
                </w:tcPr>
                <w:p w14:paraId="35E7B980">
                  <w:pPr>
                    <w:pStyle w:val="50"/>
                    <w:ind w:firstLine="0" w:firstLineChars="0"/>
                    <w:jc w:val="center"/>
                    <w:rPr>
                      <w:rFonts w:ascii="Arial" w:hAnsi="Arial" w:eastAsia="宋体" w:cs="Arial"/>
                      <w:color w:val="auto"/>
                      <w:kern w:val="2"/>
                      <w:sz w:val="21"/>
                      <w:szCs w:val="24"/>
                      <w:lang w:val="en-US" w:eastAsia="zh-CN" w:bidi="ar-SA"/>
                    </w:rPr>
                  </w:pPr>
                </w:p>
              </w:tc>
              <w:tc>
                <w:tcPr>
                  <w:tcW w:w="1252" w:type="pct"/>
                  <w:tcBorders>
                    <w:tl2br w:val="nil"/>
                    <w:tr2bl w:val="nil"/>
                  </w:tcBorders>
                  <w:shd w:val="clear" w:color="auto" w:fill="auto"/>
                  <w:vAlign w:val="center"/>
                </w:tcPr>
                <w:p w14:paraId="622CE060">
                  <w:pPr>
                    <w:pStyle w:val="50"/>
                    <w:ind w:firstLine="0" w:firstLineChars="0"/>
                    <w:jc w:val="center"/>
                    <w:rPr>
                      <w:rFonts w:hint="default" w:ascii="Arial" w:hAnsi="Arial" w:eastAsia="宋体" w:cs="Arial"/>
                      <w:color w:val="auto"/>
                      <w:kern w:val="2"/>
                      <w:sz w:val="21"/>
                      <w:szCs w:val="24"/>
                      <w:lang w:val="en-US" w:eastAsia="zh-CN" w:bidi="ar-SA"/>
                    </w:rPr>
                  </w:pPr>
                </w:p>
              </w:tc>
            </w:tr>
            <w:tr w14:paraId="5300C8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47" w:type="pct"/>
                  <w:tcBorders>
                    <w:tl2br w:val="nil"/>
                    <w:tr2bl w:val="nil"/>
                  </w:tcBorders>
                  <w:vAlign w:val="center"/>
                </w:tcPr>
                <w:p w14:paraId="7D93F7DB">
                  <w:pPr>
                    <w:pStyle w:val="50"/>
                    <w:jc w:val="center"/>
                    <w:rPr>
                      <w:rFonts w:hint="eastAsia" w:ascii="Arial" w:hAnsi="Arial" w:eastAsia="宋体" w:cs="Arial"/>
                      <w:color w:val="auto"/>
                      <w:lang w:val="en-US" w:eastAsia="zh-CN"/>
                    </w:rPr>
                  </w:pPr>
                  <w:r>
                    <w:rPr>
                      <w:rFonts w:hint="eastAsia" w:ascii="Arial" w:hAnsi="Arial" w:cs="Arial"/>
                      <w:color w:val="auto"/>
                      <w:lang w:val="en-US" w:eastAsia="zh-CN"/>
                    </w:rPr>
                    <w:t>粉煤灰</w:t>
                  </w:r>
                </w:p>
              </w:tc>
              <w:tc>
                <w:tcPr>
                  <w:tcW w:w="1250" w:type="pct"/>
                  <w:tcBorders>
                    <w:tl2br w:val="nil"/>
                    <w:tr2bl w:val="nil"/>
                  </w:tcBorders>
                  <w:vAlign w:val="center"/>
                </w:tcPr>
                <w:p w14:paraId="086EAF3D">
                  <w:pPr>
                    <w:spacing w:line="240" w:lineRule="auto"/>
                    <w:ind w:firstLine="0" w:firstLineChars="0"/>
                    <w:jc w:val="center"/>
                    <w:textAlignment w:val="center"/>
                    <w:rPr>
                      <w:rFonts w:hint="default" w:ascii="Arial" w:hAnsi="Arial" w:cs="Arial"/>
                      <w:color w:val="auto"/>
                      <w:sz w:val="22"/>
                      <w:lang w:val="en-US" w:eastAsia="zh-CN" w:bidi="ar"/>
                    </w:rPr>
                  </w:pPr>
                  <w:r>
                    <w:rPr>
                      <w:rFonts w:hint="eastAsia" w:ascii="Arial" w:hAnsi="Arial" w:cs="Arial"/>
                      <w:color w:val="auto"/>
                      <w:sz w:val="22"/>
                      <w:lang w:val="en-US" w:eastAsia="zh-CN" w:bidi="ar"/>
                    </w:rPr>
                    <w:t>300</w:t>
                  </w:r>
                </w:p>
              </w:tc>
              <w:tc>
                <w:tcPr>
                  <w:tcW w:w="1249" w:type="pct"/>
                  <w:tcBorders>
                    <w:tl2br w:val="nil"/>
                    <w:tr2bl w:val="nil"/>
                  </w:tcBorders>
                  <w:shd w:val="clear" w:color="auto" w:fill="auto"/>
                  <w:vAlign w:val="center"/>
                </w:tcPr>
                <w:p w14:paraId="4386B598">
                  <w:pPr>
                    <w:pStyle w:val="50"/>
                    <w:ind w:firstLine="0" w:firstLineChars="0"/>
                    <w:jc w:val="center"/>
                    <w:rPr>
                      <w:rFonts w:ascii="Arial" w:hAnsi="Arial" w:eastAsia="宋体" w:cs="Arial"/>
                      <w:color w:val="auto"/>
                      <w:kern w:val="2"/>
                      <w:sz w:val="21"/>
                      <w:szCs w:val="24"/>
                      <w:lang w:val="en-US" w:eastAsia="zh-CN" w:bidi="ar-SA"/>
                    </w:rPr>
                  </w:pPr>
                </w:p>
              </w:tc>
              <w:tc>
                <w:tcPr>
                  <w:tcW w:w="1252" w:type="pct"/>
                  <w:tcBorders>
                    <w:tl2br w:val="nil"/>
                    <w:tr2bl w:val="nil"/>
                  </w:tcBorders>
                  <w:shd w:val="clear" w:color="auto" w:fill="auto"/>
                  <w:vAlign w:val="center"/>
                </w:tcPr>
                <w:p w14:paraId="7CD0C905">
                  <w:pPr>
                    <w:pStyle w:val="50"/>
                    <w:ind w:firstLine="0" w:firstLineChars="0"/>
                    <w:jc w:val="center"/>
                    <w:rPr>
                      <w:rFonts w:hint="default" w:ascii="Arial" w:hAnsi="Arial" w:eastAsia="宋体" w:cs="Arial"/>
                      <w:color w:val="auto"/>
                      <w:kern w:val="2"/>
                      <w:sz w:val="21"/>
                      <w:szCs w:val="24"/>
                      <w:lang w:val="en-US" w:eastAsia="zh-CN" w:bidi="ar-SA"/>
                    </w:rPr>
                  </w:pPr>
                </w:p>
              </w:tc>
            </w:tr>
            <w:tr w14:paraId="6C74FA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47" w:type="pct"/>
                  <w:tcBorders>
                    <w:tl2br w:val="nil"/>
                    <w:tr2bl w:val="nil"/>
                  </w:tcBorders>
                  <w:vAlign w:val="center"/>
                </w:tcPr>
                <w:p w14:paraId="66935673">
                  <w:pPr>
                    <w:pStyle w:val="50"/>
                    <w:jc w:val="center"/>
                    <w:rPr>
                      <w:rFonts w:ascii="Arial" w:hAnsi="Arial" w:cs="Arial"/>
                      <w:color w:val="auto"/>
                    </w:rPr>
                  </w:pPr>
                  <w:r>
                    <w:rPr>
                      <w:rFonts w:ascii="Arial" w:hAnsi="Arial" w:cs="Arial"/>
                      <w:color w:val="auto"/>
                    </w:rPr>
                    <w:t>碎石</w:t>
                  </w:r>
                </w:p>
              </w:tc>
              <w:tc>
                <w:tcPr>
                  <w:tcW w:w="1250" w:type="pct"/>
                  <w:tcBorders>
                    <w:tl2br w:val="nil"/>
                    <w:tr2bl w:val="nil"/>
                  </w:tcBorders>
                  <w:vAlign w:val="center"/>
                </w:tcPr>
                <w:p w14:paraId="7EF0653E">
                  <w:pPr>
                    <w:spacing w:line="240" w:lineRule="auto"/>
                    <w:ind w:firstLine="0" w:firstLineChars="0"/>
                    <w:jc w:val="center"/>
                    <w:textAlignment w:val="center"/>
                    <w:rPr>
                      <w:rFonts w:hint="default" w:ascii="Arial" w:hAnsi="Arial" w:eastAsia="宋体" w:cs="Arial"/>
                      <w:color w:val="auto"/>
                      <w:lang w:val="en-US" w:eastAsia="zh-CN"/>
                    </w:rPr>
                  </w:pPr>
                  <w:r>
                    <w:rPr>
                      <w:rFonts w:hint="eastAsia" w:ascii="Arial" w:hAnsi="Arial" w:cs="Arial"/>
                      <w:color w:val="auto"/>
                      <w:sz w:val="22"/>
                      <w:lang w:val="en-US" w:eastAsia="zh-CN" w:bidi="ar"/>
                    </w:rPr>
                    <w:t>10000</w:t>
                  </w:r>
                </w:p>
              </w:tc>
              <w:tc>
                <w:tcPr>
                  <w:tcW w:w="1249" w:type="pct"/>
                  <w:tcBorders>
                    <w:tl2br w:val="nil"/>
                    <w:tr2bl w:val="nil"/>
                  </w:tcBorders>
                  <w:shd w:val="clear" w:color="auto" w:fill="auto"/>
                  <w:vAlign w:val="center"/>
                </w:tcPr>
                <w:p w14:paraId="019D5A8B">
                  <w:pPr>
                    <w:pStyle w:val="50"/>
                    <w:ind w:firstLine="0" w:firstLineChars="0"/>
                    <w:jc w:val="center"/>
                    <w:rPr>
                      <w:rFonts w:ascii="Arial" w:hAnsi="Arial" w:eastAsia="宋体" w:cs="Arial"/>
                      <w:color w:val="auto"/>
                      <w:kern w:val="2"/>
                      <w:sz w:val="21"/>
                      <w:szCs w:val="24"/>
                      <w:lang w:val="en-US" w:eastAsia="zh-CN" w:bidi="ar-SA"/>
                    </w:rPr>
                  </w:pPr>
                </w:p>
              </w:tc>
              <w:tc>
                <w:tcPr>
                  <w:tcW w:w="1252" w:type="pct"/>
                  <w:tcBorders>
                    <w:tl2br w:val="nil"/>
                    <w:tr2bl w:val="nil"/>
                  </w:tcBorders>
                  <w:shd w:val="clear" w:color="auto" w:fill="auto"/>
                  <w:vAlign w:val="center"/>
                </w:tcPr>
                <w:p w14:paraId="6533CA62">
                  <w:pPr>
                    <w:pStyle w:val="50"/>
                    <w:ind w:firstLine="0" w:firstLineChars="0"/>
                    <w:jc w:val="center"/>
                    <w:rPr>
                      <w:rFonts w:hint="default" w:ascii="Arial" w:hAnsi="Arial" w:eastAsia="宋体" w:cs="Arial"/>
                      <w:color w:val="auto"/>
                      <w:kern w:val="2"/>
                      <w:sz w:val="21"/>
                      <w:szCs w:val="24"/>
                      <w:lang w:val="en-US" w:eastAsia="zh-CN" w:bidi="ar-SA"/>
                    </w:rPr>
                  </w:pPr>
                </w:p>
              </w:tc>
            </w:tr>
            <w:tr w14:paraId="5F4E58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47" w:type="pct"/>
                  <w:tcBorders>
                    <w:tl2br w:val="nil"/>
                    <w:tr2bl w:val="nil"/>
                  </w:tcBorders>
                  <w:vAlign w:val="center"/>
                </w:tcPr>
                <w:p w14:paraId="5955B896">
                  <w:pPr>
                    <w:pStyle w:val="50"/>
                    <w:jc w:val="center"/>
                    <w:rPr>
                      <w:rFonts w:ascii="Arial" w:hAnsi="Arial" w:cs="Arial"/>
                      <w:color w:val="auto"/>
                    </w:rPr>
                  </w:pPr>
                  <w:r>
                    <w:rPr>
                      <w:rFonts w:ascii="Arial" w:hAnsi="Arial" w:cs="Arial"/>
                      <w:color w:val="auto"/>
                    </w:rPr>
                    <w:t>水</w:t>
                  </w:r>
                </w:p>
              </w:tc>
              <w:tc>
                <w:tcPr>
                  <w:tcW w:w="1250" w:type="pct"/>
                  <w:tcBorders>
                    <w:tl2br w:val="nil"/>
                    <w:tr2bl w:val="nil"/>
                  </w:tcBorders>
                  <w:vAlign w:val="center"/>
                </w:tcPr>
                <w:p w14:paraId="4980AD17">
                  <w:pPr>
                    <w:spacing w:line="240" w:lineRule="auto"/>
                    <w:ind w:firstLine="0" w:firstLineChars="0"/>
                    <w:jc w:val="center"/>
                    <w:textAlignment w:val="center"/>
                    <w:rPr>
                      <w:rFonts w:hint="default" w:ascii="Arial" w:hAnsi="Arial" w:eastAsia="宋体" w:cs="Arial"/>
                      <w:color w:val="auto"/>
                      <w:lang w:val="en-US" w:eastAsia="zh-CN"/>
                    </w:rPr>
                  </w:pPr>
                  <w:r>
                    <w:rPr>
                      <w:rFonts w:hint="eastAsia" w:ascii="Arial" w:hAnsi="Arial" w:cs="Arial"/>
                      <w:color w:val="auto"/>
                      <w:sz w:val="22"/>
                      <w:lang w:val="en-US" w:eastAsia="zh-CN" w:bidi="ar"/>
                    </w:rPr>
                    <w:t>1530</w:t>
                  </w:r>
                </w:p>
              </w:tc>
              <w:tc>
                <w:tcPr>
                  <w:tcW w:w="1249" w:type="pct"/>
                  <w:tcBorders>
                    <w:tl2br w:val="nil"/>
                    <w:tr2bl w:val="nil"/>
                  </w:tcBorders>
                  <w:vAlign w:val="center"/>
                </w:tcPr>
                <w:p w14:paraId="7BA51F3C">
                  <w:pPr>
                    <w:pStyle w:val="50"/>
                    <w:jc w:val="center"/>
                    <w:rPr>
                      <w:rFonts w:ascii="Arial" w:hAnsi="Arial" w:cs="Arial"/>
                      <w:color w:val="auto"/>
                    </w:rPr>
                  </w:pPr>
                </w:p>
              </w:tc>
              <w:tc>
                <w:tcPr>
                  <w:tcW w:w="1252" w:type="pct"/>
                  <w:tcBorders>
                    <w:tl2br w:val="nil"/>
                    <w:tr2bl w:val="nil"/>
                  </w:tcBorders>
                  <w:vAlign w:val="center"/>
                </w:tcPr>
                <w:p w14:paraId="4DF7689B">
                  <w:pPr>
                    <w:pStyle w:val="50"/>
                    <w:ind w:firstLine="0" w:firstLineChars="0"/>
                    <w:jc w:val="center"/>
                    <w:rPr>
                      <w:rFonts w:ascii="Arial" w:hAnsi="Arial" w:cs="Arial"/>
                      <w:color w:val="auto"/>
                    </w:rPr>
                  </w:pPr>
                </w:p>
              </w:tc>
            </w:tr>
            <w:tr w14:paraId="0C562C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47" w:type="pct"/>
                  <w:tcBorders>
                    <w:tl2br w:val="nil"/>
                    <w:tr2bl w:val="nil"/>
                  </w:tcBorders>
                  <w:vAlign w:val="center"/>
                </w:tcPr>
                <w:p w14:paraId="0DD588F8">
                  <w:pPr>
                    <w:pStyle w:val="50"/>
                    <w:jc w:val="center"/>
                    <w:rPr>
                      <w:rFonts w:ascii="Arial" w:hAnsi="Arial" w:cs="Arial"/>
                      <w:color w:val="auto"/>
                    </w:rPr>
                  </w:pPr>
                  <w:r>
                    <w:rPr>
                      <w:rFonts w:ascii="Arial" w:hAnsi="Arial" w:cs="Arial"/>
                      <w:color w:val="auto"/>
                    </w:rPr>
                    <w:t>除尘灰</w:t>
                  </w:r>
                </w:p>
              </w:tc>
              <w:tc>
                <w:tcPr>
                  <w:tcW w:w="1250" w:type="pct"/>
                  <w:tcBorders>
                    <w:tl2br w:val="nil"/>
                    <w:tr2bl w:val="nil"/>
                  </w:tcBorders>
                  <w:vAlign w:val="center"/>
                </w:tcPr>
                <w:p w14:paraId="0794BBC6">
                  <w:pPr>
                    <w:spacing w:line="240" w:lineRule="auto"/>
                    <w:ind w:firstLine="0" w:firstLineChars="0"/>
                    <w:jc w:val="center"/>
                    <w:textAlignment w:val="center"/>
                    <w:rPr>
                      <w:rFonts w:hint="default" w:ascii="Arial" w:hAnsi="Arial" w:eastAsia="宋体" w:cs="Arial"/>
                      <w:color w:val="auto"/>
                      <w:lang w:val="en-US" w:eastAsia="zh-CN"/>
                    </w:rPr>
                  </w:pPr>
                  <w:r>
                    <w:rPr>
                      <w:rFonts w:hint="eastAsia" w:ascii="Arial" w:hAnsi="Arial" w:cs="Arial"/>
                      <w:color w:val="auto"/>
                      <w:sz w:val="22"/>
                      <w:lang w:val="en-US" w:eastAsia="zh-CN" w:bidi="ar"/>
                    </w:rPr>
                    <w:t>0.0255</w:t>
                  </w:r>
                </w:p>
              </w:tc>
              <w:tc>
                <w:tcPr>
                  <w:tcW w:w="1249" w:type="pct"/>
                  <w:tcBorders>
                    <w:tl2br w:val="nil"/>
                    <w:tr2bl w:val="nil"/>
                  </w:tcBorders>
                  <w:vAlign w:val="center"/>
                </w:tcPr>
                <w:p w14:paraId="6175F9A0">
                  <w:pPr>
                    <w:pStyle w:val="50"/>
                    <w:jc w:val="center"/>
                    <w:rPr>
                      <w:rFonts w:ascii="Arial" w:hAnsi="Arial" w:cs="Arial"/>
                      <w:color w:val="auto"/>
                    </w:rPr>
                  </w:pPr>
                </w:p>
              </w:tc>
              <w:tc>
                <w:tcPr>
                  <w:tcW w:w="1252" w:type="pct"/>
                  <w:tcBorders>
                    <w:tl2br w:val="nil"/>
                    <w:tr2bl w:val="nil"/>
                  </w:tcBorders>
                  <w:vAlign w:val="center"/>
                </w:tcPr>
                <w:p w14:paraId="6DC3E078">
                  <w:pPr>
                    <w:pStyle w:val="50"/>
                    <w:ind w:firstLine="0" w:firstLineChars="0"/>
                    <w:jc w:val="center"/>
                    <w:rPr>
                      <w:rFonts w:ascii="Arial" w:hAnsi="Arial" w:cs="Arial"/>
                      <w:color w:val="auto"/>
                    </w:rPr>
                  </w:pPr>
                </w:p>
              </w:tc>
            </w:tr>
            <w:tr w14:paraId="074132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47" w:type="pct"/>
                  <w:tcBorders>
                    <w:tl2br w:val="nil"/>
                    <w:tr2bl w:val="nil"/>
                  </w:tcBorders>
                  <w:vAlign w:val="center"/>
                </w:tcPr>
                <w:p w14:paraId="647BF49D">
                  <w:pPr>
                    <w:pStyle w:val="50"/>
                    <w:jc w:val="center"/>
                    <w:rPr>
                      <w:rFonts w:ascii="Arial" w:hAnsi="Arial" w:cs="Arial"/>
                      <w:color w:val="auto"/>
                    </w:rPr>
                  </w:pPr>
                  <w:r>
                    <w:rPr>
                      <w:rFonts w:ascii="Arial" w:hAnsi="Arial" w:cs="Arial"/>
                      <w:color w:val="auto"/>
                    </w:rPr>
                    <w:t>合计</w:t>
                  </w:r>
                </w:p>
              </w:tc>
              <w:tc>
                <w:tcPr>
                  <w:tcW w:w="1250" w:type="pct"/>
                  <w:tcBorders>
                    <w:tl2br w:val="nil"/>
                    <w:tr2bl w:val="nil"/>
                  </w:tcBorders>
                  <w:vAlign w:val="center"/>
                </w:tcPr>
                <w:p w14:paraId="223E519C">
                  <w:pPr>
                    <w:spacing w:line="240" w:lineRule="auto"/>
                    <w:ind w:firstLine="0" w:firstLineChars="0"/>
                    <w:jc w:val="center"/>
                    <w:textAlignment w:val="center"/>
                    <w:rPr>
                      <w:rFonts w:hint="default" w:ascii="Arial" w:hAnsi="Arial" w:eastAsia="宋体" w:cs="Arial"/>
                      <w:color w:val="auto"/>
                      <w:lang w:val="en-US" w:eastAsia="zh-CN"/>
                    </w:rPr>
                  </w:pPr>
                  <w:r>
                    <w:rPr>
                      <w:rFonts w:hint="eastAsia" w:ascii="Arial" w:hAnsi="Arial" w:cs="Arial"/>
                      <w:color w:val="auto"/>
                      <w:sz w:val="22"/>
                      <w:lang w:val="en-US" w:eastAsia="zh-CN" w:bidi="ar"/>
                    </w:rPr>
                    <w:t>20850.0255</w:t>
                  </w:r>
                </w:p>
              </w:tc>
              <w:tc>
                <w:tcPr>
                  <w:tcW w:w="1249" w:type="pct"/>
                  <w:tcBorders>
                    <w:tl2br w:val="nil"/>
                    <w:tr2bl w:val="nil"/>
                  </w:tcBorders>
                  <w:vAlign w:val="center"/>
                </w:tcPr>
                <w:p w14:paraId="1E3387E3">
                  <w:pPr>
                    <w:pStyle w:val="50"/>
                    <w:jc w:val="center"/>
                    <w:rPr>
                      <w:rFonts w:ascii="Arial" w:hAnsi="Arial" w:cs="Arial"/>
                      <w:color w:val="auto"/>
                    </w:rPr>
                  </w:pPr>
                  <w:r>
                    <w:rPr>
                      <w:rFonts w:ascii="Arial" w:hAnsi="Arial" w:cs="Arial"/>
                      <w:color w:val="auto"/>
                    </w:rPr>
                    <w:t>合计</w:t>
                  </w:r>
                </w:p>
              </w:tc>
              <w:tc>
                <w:tcPr>
                  <w:tcW w:w="1252" w:type="pct"/>
                  <w:tcBorders>
                    <w:tl2br w:val="nil"/>
                    <w:tr2bl w:val="nil"/>
                  </w:tcBorders>
                  <w:vAlign w:val="center"/>
                </w:tcPr>
                <w:p w14:paraId="7A75B1FA">
                  <w:pPr>
                    <w:pStyle w:val="50"/>
                    <w:ind w:firstLine="0" w:firstLineChars="0"/>
                    <w:jc w:val="center"/>
                    <w:rPr>
                      <w:rFonts w:hint="default" w:ascii="Arial" w:hAnsi="Arial" w:eastAsia="宋体" w:cs="Arial"/>
                      <w:color w:val="auto"/>
                      <w:lang w:val="en-US" w:eastAsia="zh-CN"/>
                    </w:rPr>
                  </w:pPr>
                  <w:r>
                    <w:rPr>
                      <w:rFonts w:hint="eastAsia" w:ascii="Arial" w:hAnsi="Arial" w:cs="Arial"/>
                      <w:color w:val="auto"/>
                      <w:lang w:val="en-US" w:eastAsia="zh-CN"/>
                    </w:rPr>
                    <w:t>20850.0255</w:t>
                  </w:r>
                </w:p>
              </w:tc>
            </w:tr>
            <w:tr w14:paraId="3EDCC1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000" w:type="pct"/>
                  <w:gridSpan w:val="4"/>
                  <w:tcBorders>
                    <w:tl2br w:val="nil"/>
                    <w:tr2bl w:val="nil"/>
                  </w:tcBorders>
                  <w:vAlign w:val="center"/>
                </w:tcPr>
                <w:p w14:paraId="69F9DA31">
                  <w:pPr>
                    <w:pStyle w:val="50"/>
                    <w:jc w:val="center"/>
                    <w:rPr>
                      <w:rFonts w:ascii="Arial" w:hAnsi="Arial" w:cs="Arial"/>
                      <w:color w:val="auto"/>
                    </w:rPr>
                  </w:pPr>
                  <w:r>
                    <w:rPr>
                      <w:rFonts w:ascii="Arial" w:hAnsi="Arial" w:cs="Arial"/>
                      <w:color w:val="auto"/>
                    </w:rPr>
                    <w:t>入模浇筑</w:t>
                  </w:r>
                </w:p>
              </w:tc>
            </w:tr>
            <w:tr w14:paraId="0E412E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47" w:type="pct"/>
                  <w:tcBorders>
                    <w:tl2br w:val="nil"/>
                    <w:tr2bl w:val="nil"/>
                  </w:tcBorders>
                  <w:vAlign w:val="center"/>
                </w:tcPr>
                <w:p w14:paraId="16562D90">
                  <w:pPr>
                    <w:pStyle w:val="50"/>
                    <w:jc w:val="center"/>
                    <w:rPr>
                      <w:rFonts w:ascii="Arial" w:hAnsi="Arial" w:cs="Arial"/>
                      <w:color w:val="auto"/>
                    </w:rPr>
                  </w:pPr>
                  <w:r>
                    <w:rPr>
                      <w:rFonts w:ascii="Arial" w:hAnsi="Arial" w:cs="Arial"/>
                      <w:color w:val="auto"/>
                    </w:rPr>
                    <w:t>混凝土拌合物</w:t>
                  </w:r>
                </w:p>
              </w:tc>
              <w:tc>
                <w:tcPr>
                  <w:tcW w:w="1250" w:type="pct"/>
                  <w:tcBorders>
                    <w:tl2br w:val="nil"/>
                    <w:tr2bl w:val="nil"/>
                  </w:tcBorders>
                  <w:vAlign w:val="center"/>
                </w:tcPr>
                <w:p w14:paraId="2D4E78BD">
                  <w:pPr>
                    <w:pStyle w:val="50"/>
                    <w:ind w:firstLine="0" w:firstLineChars="0"/>
                    <w:jc w:val="center"/>
                    <w:rPr>
                      <w:rFonts w:hint="default" w:ascii="Arial" w:hAnsi="Arial" w:eastAsia="宋体" w:cs="Arial"/>
                      <w:color w:val="auto"/>
                      <w:lang w:val="en-US" w:eastAsia="zh-CN"/>
                    </w:rPr>
                  </w:pPr>
                  <w:r>
                    <w:rPr>
                      <w:rFonts w:hint="eastAsia" w:ascii="Arial" w:hAnsi="Arial" w:cs="Arial"/>
                      <w:color w:val="auto"/>
                      <w:lang w:val="en-US" w:eastAsia="zh-CN"/>
                    </w:rPr>
                    <w:t>20850</w:t>
                  </w:r>
                </w:p>
              </w:tc>
              <w:tc>
                <w:tcPr>
                  <w:tcW w:w="1249" w:type="pct"/>
                  <w:tcBorders>
                    <w:tl2br w:val="nil"/>
                    <w:tr2bl w:val="nil"/>
                  </w:tcBorders>
                  <w:vAlign w:val="center"/>
                </w:tcPr>
                <w:p w14:paraId="48B9BA33">
                  <w:pPr>
                    <w:pStyle w:val="50"/>
                    <w:jc w:val="center"/>
                    <w:rPr>
                      <w:rFonts w:hint="default" w:ascii="Arial" w:hAnsi="Arial" w:eastAsia="宋体" w:cs="Arial"/>
                      <w:color w:val="auto"/>
                      <w:lang w:val="en-US" w:eastAsia="zh-CN"/>
                    </w:rPr>
                  </w:pPr>
                  <w:r>
                    <w:rPr>
                      <w:rFonts w:hint="eastAsia" w:ascii="Arial" w:hAnsi="Arial" w:cs="Arial"/>
                      <w:color w:val="auto"/>
                      <w:lang w:val="en-US" w:eastAsia="zh-CN"/>
                    </w:rPr>
                    <w:t>半成品水泥房</w:t>
                  </w:r>
                </w:p>
              </w:tc>
              <w:tc>
                <w:tcPr>
                  <w:tcW w:w="1252" w:type="pct"/>
                  <w:tcBorders>
                    <w:tl2br w:val="nil"/>
                    <w:tr2bl w:val="nil"/>
                  </w:tcBorders>
                  <w:vAlign w:val="center"/>
                </w:tcPr>
                <w:p w14:paraId="3C4AD82F">
                  <w:pPr>
                    <w:pStyle w:val="50"/>
                    <w:ind w:firstLine="0" w:firstLineChars="0"/>
                    <w:jc w:val="center"/>
                    <w:rPr>
                      <w:rFonts w:hint="default" w:ascii="Arial" w:hAnsi="Arial" w:eastAsia="宋体" w:cs="Arial"/>
                      <w:color w:val="auto"/>
                      <w:lang w:val="en-US" w:eastAsia="zh-CN"/>
                    </w:rPr>
                  </w:pPr>
                  <w:r>
                    <w:rPr>
                      <w:rFonts w:hint="eastAsia" w:ascii="Arial" w:hAnsi="Arial" w:cs="Arial"/>
                      <w:color w:val="auto"/>
                      <w:lang w:val="en-US" w:eastAsia="zh-CN"/>
                    </w:rPr>
                    <w:t>21149.97</w:t>
                  </w:r>
                </w:p>
              </w:tc>
            </w:tr>
            <w:tr w14:paraId="0D9C05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47" w:type="pct"/>
                  <w:tcBorders>
                    <w:tl2br w:val="nil"/>
                    <w:tr2bl w:val="nil"/>
                  </w:tcBorders>
                  <w:vAlign w:val="center"/>
                </w:tcPr>
                <w:p w14:paraId="471BAAC3">
                  <w:pPr>
                    <w:pStyle w:val="50"/>
                    <w:jc w:val="center"/>
                    <w:rPr>
                      <w:rFonts w:ascii="Arial" w:hAnsi="Arial" w:cs="Arial"/>
                      <w:color w:val="auto"/>
                    </w:rPr>
                  </w:pPr>
                  <w:r>
                    <w:rPr>
                      <w:rFonts w:ascii="Arial" w:hAnsi="Arial" w:cs="Arial"/>
                      <w:color w:val="auto"/>
                    </w:rPr>
                    <w:t>钢筋笼</w:t>
                  </w:r>
                </w:p>
              </w:tc>
              <w:tc>
                <w:tcPr>
                  <w:tcW w:w="1250" w:type="pct"/>
                  <w:tcBorders>
                    <w:tl2br w:val="nil"/>
                    <w:tr2bl w:val="nil"/>
                  </w:tcBorders>
                  <w:vAlign w:val="center"/>
                </w:tcPr>
                <w:p w14:paraId="7A7D489A">
                  <w:pPr>
                    <w:pStyle w:val="50"/>
                    <w:ind w:firstLine="0" w:firstLineChars="0"/>
                    <w:jc w:val="center"/>
                    <w:rPr>
                      <w:rFonts w:hint="default" w:ascii="Arial" w:hAnsi="Arial" w:eastAsia="宋体" w:cs="Arial"/>
                      <w:color w:val="auto"/>
                      <w:lang w:val="en-US" w:eastAsia="zh-CN"/>
                    </w:rPr>
                  </w:pPr>
                  <w:r>
                    <w:rPr>
                      <w:rFonts w:hint="eastAsia" w:ascii="Arial" w:hAnsi="Arial" w:cs="Arial"/>
                      <w:color w:val="auto"/>
                      <w:lang w:val="en-US" w:eastAsia="zh-CN"/>
                    </w:rPr>
                    <w:t>299.97</w:t>
                  </w:r>
                </w:p>
              </w:tc>
              <w:tc>
                <w:tcPr>
                  <w:tcW w:w="1249" w:type="pct"/>
                  <w:tcBorders>
                    <w:tl2br w:val="nil"/>
                    <w:tr2bl w:val="nil"/>
                  </w:tcBorders>
                  <w:vAlign w:val="center"/>
                </w:tcPr>
                <w:p w14:paraId="56A602A3">
                  <w:pPr>
                    <w:pStyle w:val="50"/>
                    <w:jc w:val="center"/>
                    <w:rPr>
                      <w:rFonts w:ascii="Arial" w:hAnsi="Arial" w:cs="Arial"/>
                      <w:color w:val="auto"/>
                    </w:rPr>
                  </w:pPr>
                </w:p>
              </w:tc>
              <w:tc>
                <w:tcPr>
                  <w:tcW w:w="1252" w:type="pct"/>
                  <w:tcBorders>
                    <w:tl2br w:val="nil"/>
                    <w:tr2bl w:val="nil"/>
                  </w:tcBorders>
                  <w:vAlign w:val="center"/>
                </w:tcPr>
                <w:p w14:paraId="6019195F">
                  <w:pPr>
                    <w:pStyle w:val="50"/>
                    <w:ind w:firstLine="0" w:firstLineChars="0"/>
                    <w:jc w:val="center"/>
                    <w:rPr>
                      <w:rFonts w:ascii="Arial" w:hAnsi="Arial" w:cs="Arial"/>
                      <w:color w:val="auto"/>
                    </w:rPr>
                  </w:pPr>
                </w:p>
              </w:tc>
            </w:tr>
            <w:tr w14:paraId="37CEFB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47" w:type="pct"/>
                  <w:tcBorders>
                    <w:tl2br w:val="nil"/>
                    <w:tr2bl w:val="nil"/>
                  </w:tcBorders>
                  <w:vAlign w:val="center"/>
                </w:tcPr>
                <w:p w14:paraId="684B1F4B">
                  <w:pPr>
                    <w:pStyle w:val="50"/>
                    <w:jc w:val="center"/>
                    <w:rPr>
                      <w:rFonts w:ascii="Arial" w:hAnsi="Arial" w:cs="Arial"/>
                      <w:color w:val="auto"/>
                    </w:rPr>
                  </w:pPr>
                  <w:r>
                    <w:rPr>
                      <w:rFonts w:ascii="Arial" w:hAnsi="Arial" w:cs="Arial"/>
                      <w:color w:val="auto"/>
                    </w:rPr>
                    <w:t>合计</w:t>
                  </w:r>
                </w:p>
              </w:tc>
              <w:tc>
                <w:tcPr>
                  <w:tcW w:w="1250" w:type="pct"/>
                  <w:tcBorders>
                    <w:tl2br w:val="nil"/>
                    <w:tr2bl w:val="nil"/>
                  </w:tcBorders>
                  <w:vAlign w:val="center"/>
                </w:tcPr>
                <w:p w14:paraId="2427CE22">
                  <w:pPr>
                    <w:pStyle w:val="50"/>
                    <w:ind w:firstLine="0" w:firstLineChars="0"/>
                    <w:jc w:val="center"/>
                    <w:rPr>
                      <w:rFonts w:hint="default" w:ascii="Arial" w:hAnsi="Arial" w:eastAsia="宋体" w:cs="Arial"/>
                      <w:color w:val="auto"/>
                      <w:lang w:val="en-US" w:eastAsia="zh-CN"/>
                    </w:rPr>
                  </w:pPr>
                  <w:r>
                    <w:rPr>
                      <w:rFonts w:hint="eastAsia" w:ascii="Arial" w:hAnsi="Arial" w:cs="Arial"/>
                      <w:color w:val="auto"/>
                      <w:lang w:val="en-US" w:eastAsia="zh-CN"/>
                    </w:rPr>
                    <w:t>21149.97</w:t>
                  </w:r>
                </w:p>
              </w:tc>
              <w:tc>
                <w:tcPr>
                  <w:tcW w:w="1249" w:type="pct"/>
                  <w:tcBorders>
                    <w:tl2br w:val="nil"/>
                    <w:tr2bl w:val="nil"/>
                  </w:tcBorders>
                  <w:vAlign w:val="center"/>
                </w:tcPr>
                <w:p w14:paraId="3A24B684">
                  <w:pPr>
                    <w:pStyle w:val="50"/>
                    <w:jc w:val="center"/>
                    <w:rPr>
                      <w:rFonts w:ascii="Arial" w:hAnsi="Arial" w:cs="Arial"/>
                      <w:color w:val="auto"/>
                    </w:rPr>
                  </w:pPr>
                  <w:r>
                    <w:rPr>
                      <w:rFonts w:ascii="Arial" w:hAnsi="Arial" w:cs="Arial"/>
                      <w:color w:val="auto"/>
                    </w:rPr>
                    <w:t>合计</w:t>
                  </w:r>
                </w:p>
              </w:tc>
              <w:tc>
                <w:tcPr>
                  <w:tcW w:w="1252" w:type="pct"/>
                  <w:tcBorders>
                    <w:tl2br w:val="nil"/>
                    <w:tr2bl w:val="nil"/>
                  </w:tcBorders>
                  <w:vAlign w:val="center"/>
                </w:tcPr>
                <w:p w14:paraId="60558123">
                  <w:pPr>
                    <w:pStyle w:val="50"/>
                    <w:ind w:firstLine="0" w:firstLineChars="0"/>
                    <w:jc w:val="center"/>
                    <w:rPr>
                      <w:rFonts w:hint="default" w:ascii="Arial" w:hAnsi="Arial" w:eastAsia="宋体" w:cs="Arial"/>
                      <w:color w:val="auto"/>
                      <w:lang w:val="en-US" w:eastAsia="zh-CN"/>
                    </w:rPr>
                  </w:pPr>
                  <w:r>
                    <w:rPr>
                      <w:rFonts w:hint="eastAsia" w:ascii="Arial" w:hAnsi="Arial" w:cs="Arial"/>
                      <w:color w:val="auto"/>
                      <w:lang w:val="en-US" w:eastAsia="zh-CN"/>
                    </w:rPr>
                    <w:t>21149.97</w:t>
                  </w:r>
                </w:p>
              </w:tc>
            </w:tr>
            <w:tr w14:paraId="47EC9B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000" w:type="pct"/>
                  <w:gridSpan w:val="4"/>
                  <w:tcBorders>
                    <w:tl2br w:val="nil"/>
                    <w:tr2bl w:val="nil"/>
                  </w:tcBorders>
                  <w:vAlign w:val="center"/>
                </w:tcPr>
                <w:p w14:paraId="76C893EE">
                  <w:pPr>
                    <w:pStyle w:val="50"/>
                    <w:jc w:val="center"/>
                    <w:rPr>
                      <w:rFonts w:hint="eastAsia" w:ascii="Arial" w:hAnsi="Arial" w:eastAsia="宋体" w:cs="Arial"/>
                      <w:color w:val="auto"/>
                      <w:lang w:eastAsia="zh-CN"/>
                    </w:rPr>
                  </w:pPr>
                  <w:r>
                    <w:rPr>
                      <w:rFonts w:hint="eastAsia" w:ascii="Arial" w:hAnsi="Arial" w:cs="Arial"/>
                      <w:color w:val="auto"/>
                      <w:lang w:val="en-US" w:eastAsia="zh-CN"/>
                    </w:rPr>
                    <w:t>自然晾晒</w:t>
                  </w:r>
                </w:p>
              </w:tc>
            </w:tr>
            <w:tr w14:paraId="7F2722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47" w:type="pct"/>
                  <w:tcBorders>
                    <w:tl2br w:val="nil"/>
                    <w:tr2bl w:val="nil"/>
                  </w:tcBorders>
                  <w:vAlign w:val="center"/>
                </w:tcPr>
                <w:p w14:paraId="6BE49FE7">
                  <w:pPr>
                    <w:pStyle w:val="50"/>
                    <w:jc w:val="center"/>
                    <w:rPr>
                      <w:rFonts w:ascii="Arial" w:hAnsi="Arial" w:cs="Arial"/>
                      <w:color w:val="auto"/>
                    </w:rPr>
                  </w:pPr>
                  <w:r>
                    <w:rPr>
                      <w:rFonts w:ascii="Arial" w:hAnsi="Arial" w:cs="Arial"/>
                      <w:color w:val="auto"/>
                    </w:rPr>
                    <w:t>半成品</w:t>
                  </w:r>
                  <w:r>
                    <w:rPr>
                      <w:rFonts w:hint="eastAsia" w:ascii="Arial" w:hAnsi="Arial" w:cs="Arial"/>
                      <w:color w:val="auto"/>
                      <w:lang w:val="en-US" w:eastAsia="zh-CN"/>
                    </w:rPr>
                    <w:t>水泥房</w:t>
                  </w:r>
                </w:p>
              </w:tc>
              <w:tc>
                <w:tcPr>
                  <w:tcW w:w="1250" w:type="pct"/>
                  <w:tcBorders>
                    <w:tl2br w:val="nil"/>
                    <w:tr2bl w:val="nil"/>
                  </w:tcBorders>
                  <w:vAlign w:val="center"/>
                </w:tcPr>
                <w:p w14:paraId="34229B35">
                  <w:pPr>
                    <w:pStyle w:val="50"/>
                    <w:ind w:firstLine="0" w:firstLineChars="0"/>
                    <w:jc w:val="center"/>
                    <w:rPr>
                      <w:rFonts w:hint="default" w:ascii="Arial" w:hAnsi="Arial" w:eastAsia="宋体" w:cs="Arial"/>
                      <w:color w:val="auto"/>
                      <w:lang w:val="en-US" w:eastAsia="zh-CN"/>
                    </w:rPr>
                  </w:pPr>
                  <w:r>
                    <w:rPr>
                      <w:rFonts w:hint="eastAsia" w:ascii="Arial" w:hAnsi="Arial" w:cs="Arial"/>
                      <w:color w:val="auto"/>
                      <w:lang w:val="en-US" w:eastAsia="zh-CN"/>
                    </w:rPr>
                    <w:t>21149.97</w:t>
                  </w:r>
                </w:p>
              </w:tc>
              <w:tc>
                <w:tcPr>
                  <w:tcW w:w="1249" w:type="pct"/>
                  <w:tcBorders>
                    <w:tl2br w:val="nil"/>
                    <w:tr2bl w:val="nil"/>
                  </w:tcBorders>
                  <w:vAlign w:val="center"/>
                </w:tcPr>
                <w:p w14:paraId="1202CBBD">
                  <w:pPr>
                    <w:pStyle w:val="50"/>
                    <w:jc w:val="center"/>
                    <w:rPr>
                      <w:rFonts w:hint="default" w:ascii="Arial" w:hAnsi="Arial" w:eastAsia="宋体" w:cs="Arial"/>
                      <w:color w:val="auto"/>
                      <w:lang w:val="en-US" w:eastAsia="zh-CN"/>
                    </w:rPr>
                  </w:pPr>
                  <w:r>
                    <w:rPr>
                      <w:rFonts w:hint="eastAsia" w:ascii="Arial" w:hAnsi="Arial" w:cs="Arial"/>
                      <w:color w:val="auto"/>
                      <w:lang w:val="en-US" w:eastAsia="zh-CN"/>
                    </w:rPr>
                    <w:t>成品水泥房</w:t>
                  </w:r>
                </w:p>
              </w:tc>
              <w:tc>
                <w:tcPr>
                  <w:tcW w:w="1252" w:type="pct"/>
                  <w:tcBorders>
                    <w:tl2br w:val="nil"/>
                    <w:tr2bl w:val="nil"/>
                  </w:tcBorders>
                  <w:vAlign w:val="center"/>
                </w:tcPr>
                <w:p w14:paraId="20122760">
                  <w:pPr>
                    <w:pStyle w:val="50"/>
                    <w:jc w:val="center"/>
                    <w:rPr>
                      <w:rFonts w:hint="default" w:ascii="Arial" w:hAnsi="Arial" w:eastAsia="宋体" w:cs="Arial"/>
                      <w:color w:val="auto"/>
                      <w:lang w:val="en-US" w:eastAsia="zh-CN"/>
                    </w:rPr>
                  </w:pPr>
                  <w:r>
                    <w:rPr>
                      <w:rFonts w:hint="eastAsia" w:ascii="Arial" w:hAnsi="Arial" w:cs="Arial"/>
                      <w:color w:val="auto"/>
                      <w:lang w:val="en-US" w:eastAsia="zh-CN"/>
                    </w:rPr>
                    <w:t>20619.97</w:t>
                  </w:r>
                </w:p>
              </w:tc>
            </w:tr>
            <w:tr w14:paraId="70E804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47" w:type="pct"/>
                  <w:tcBorders>
                    <w:tl2br w:val="nil"/>
                    <w:tr2bl w:val="nil"/>
                  </w:tcBorders>
                  <w:vAlign w:val="center"/>
                </w:tcPr>
                <w:p w14:paraId="7D4715D3">
                  <w:pPr>
                    <w:pStyle w:val="50"/>
                    <w:jc w:val="center"/>
                    <w:rPr>
                      <w:rFonts w:ascii="Arial" w:hAnsi="Arial" w:cs="Arial"/>
                      <w:color w:val="auto"/>
                    </w:rPr>
                  </w:pPr>
                </w:p>
              </w:tc>
              <w:tc>
                <w:tcPr>
                  <w:tcW w:w="1250" w:type="pct"/>
                  <w:tcBorders>
                    <w:tl2br w:val="nil"/>
                    <w:tr2bl w:val="nil"/>
                  </w:tcBorders>
                  <w:vAlign w:val="center"/>
                </w:tcPr>
                <w:p w14:paraId="47849094">
                  <w:pPr>
                    <w:pStyle w:val="50"/>
                    <w:ind w:firstLine="0" w:firstLineChars="0"/>
                    <w:jc w:val="center"/>
                    <w:rPr>
                      <w:rFonts w:hint="default" w:ascii="Arial" w:hAnsi="Arial" w:eastAsia="宋体" w:cs="Arial"/>
                      <w:color w:val="auto"/>
                      <w:lang w:val="en-US" w:eastAsia="zh-CN"/>
                    </w:rPr>
                  </w:pPr>
                </w:p>
              </w:tc>
              <w:tc>
                <w:tcPr>
                  <w:tcW w:w="1249" w:type="pct"/>
                  <w:tcBorders>
                    <w:tl2br w:val="nil"/>
                    <w:tr2bl w:val="nil"/>
                  </w:tcBorders>
                  <w:vAlign w:val="center"/>
                </w:tcPr>
                <w:p w14:paraId="2F39A738">
                  <w:pPr>
                    <w:pStyle w:val="50"/>
                    <w:jc w:val="center"/>
                    <w:rPr>
                      <w:rFonts w:hint="eastAsia" w:ascii="Arial" w:hAnsi="Arial" w:eastAsia="宋体" w:cs="Arial"/>
                      <w:color w:val="auto"/>
                      <w:lang w:eastAsia="zh-CN"/>
                    </w:rPr>
                  </w:pPr>
                  <w:r>
                    <w:rPr>
                      <w:rFonts w:hint="eastAsia" w:ascii="Arial" w:hAnsi="Arial" w:cs="Arial"/>
                      <w:color w:val="auto"/>
                      <w:lang w:val="en-US" w:eastAsia="zh-CN"/>
                    </w:rPr>
                    <w:t>水蒸气</w:t>
                  </w:r>
                </w:p>
              </w:tc>
              <w:tc>
                <w:tcPr>
                  <w:tcW w:w="1252" w:type="pct"/>
                  <w:tcBorders>
                    <w:tl2br w:val="nil"/>
                    <w:tr2bl w:val="nil"/>
                  </w:tcBorders>
                  <w:vAlign w:val="center"/>
                </w:tcPr>
                <w:p w14:paraId="73617AAB">
                  <w:pPr>
                    <w:pStyle w:val="50"/>
                    <w:jc w:val="center"/>
                    <w:rPr>
                      <w:rFonts w:hint="default" w:ascii="Arial" w:hAnsi="Arial" w:eastAsia="宋体" w:cs="Arial"/>
                      <w:color w:val="auto"/>
                      <w:lang w:val="en-US" w:eastAsia="zh-CN"/>
                    </w:rPr>
                  </w:pPr>
                  <w:r>
                    <w:rPr>
                      <w:rFonts w:hint="eastAsia" w:ascii="Arial" w:hAnsi="Arial" w:cs="Arial"/>
                      <w:color w:val="auto"/>
                      <w:lang w:val="en-US" w:eastAsia="zh-CN"/>
                    </w:rPr>
                    <w:t>530</w:t>
                  </w:r>
                </w:p>
              </w:tc>
            </w:tr>
            <w:tr w14:paraId="26B2EF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47" w:type="pct"/>
                  <w:tcBorders>
                    <w:tl2br w:val="nil"/>
                    <w:tr2bl w:val="nil"/>
                  </w:tcBorders>
                  <w:vAlign w:val="center"/>
                </w:tcPr>
                <w:p w14:paraId="359D354B">
                  <w:pPr>
                    <w:pStyle w:val="50"/>
                    <w:jc w:val="center"/>
                    <w:rPr>
                      <w:rFonts w:ascii="Arial" w:hAnsi="Arial" w:cs="Arial"/>
                      <w:color w:val="auto"/>
                    </w:rPr>
                  </w:pPr>
                  <w:r>
                    <w:rPr>
                      <w:rFonts w:ascii="Arial" w:hAnsi="Arial" w:cs="Arial"/>
                      <w:color w:val="auto"/>
                    </w:rPr>
                    <w:t>合计</w:t>
                  </w:r>
                </w:p>
              </w:tc>
              <w:tc>
                <w:tcPr>
                  <w:tcW w:w="1250" w:type="pct"/>
                  <w:tcBorders>
                    <w:tl2br w:val="nil"/>
                    <w:tr2bl w:val="nil"/>
                  </w:tcBorders>
                  <w:vAlign w:val="center"/>
                </w:tcPr>
                <w:p w14:paraId="4CA0813C">
                  <w:pPr>
                    <w:pStyle w:val="50"/>
                    <w:ind w:firstLine="0" w:firstLineChars="0"/>
                    <w:jc w:val="center"/>
                    <w:rPr>
                      <w:rFonts w:hint="default" w:ascii="Arial" w:hAnsi="Arial" w:eastAsia="宋体" w:cs="Arial"/>
                      <w:color w:val="auto"/>
                      <w:lang w:val="en-US" w:eastAsia="zh-CN"/>
                    </w:rPr>
                  </w:pPr>
                  <w:r>
                    <w:rPr>
                      <w:rFonts w:hint="eastAsia" w:ascii="Arial" w:hAnsi="Arial" w:cs="Arial"/>
                      <w:color w:val="auto"/>
                      <w:lang w:val="en-US" w:eastAsia="zh-CN"/>
                    </w:rPr>
                    <w:t>21149.97</w:t>
                  </w:r>
                </w:p>
              </w:tc>
              <w:tc>
                <w:tcPr>
                  <w:tcW w:w="1249" w:type="pct"/>
                  <w:tcBorders>
                    <w:tl2br w:val="nil"/>
                    <w:tr2bl w:val="nil"/>
                  </w:tcBorders>
                  <w:vAlign w:val="center"/>
                </w:tcPr>
                <w:p w14:paraId="3E1C6B18">
                  <w:pPr>
                    <w:pStyle w:val="50"/>
                    <w:jc w:val="center"/>
                    <w:rPr>
                      <w:rFonts w:ascii="Arial" w:hAnsi="Arial" w:cs="Arial"/>
                      <w:color w:val="auto"/>
                    </w:rPr>
                  </w:pPr>
                  <w:r>
                    <w:rPr>
                      <w:rFonts w:ascii="Arial" w:hAnsi="Arial" w:cs="Arial"/>
                      <w:color w:val="auto"/>
                    </w:rPr>
                    <w:t>合计</w:t>
                  </w:r>
                </w:p>
              </w:tc>
              <w:tc>
                <w:tcPr>
                  <w:tcW w:w="1252" w:type="pct"/>
                  <w:tcBorders>
                    <w:tl2br w:val="nil"/>
                    <w:tr2bl w:val="nil"/>
                  </w:tcBorders>
                  <w:vAlign w:val="center"/>
                </w:tcPr>
                <w:p w14:paraId="2A97A4B1">
                  <w:pPr>
                    <w:pStyle w:val="50"/>
                    <w:jc w:val="center"/>
                    <w:rPr>
                      <w:rFonts w:hint="default" w:ascii="Arial" w:hAnsi="Arial" w:eastAsia="宋体" w:cs="Arial"/>
                      <w:color w:val="auto"/>
                      <w:lang w:val="en-US" w:eastAsia="zh-CN"/>
                    </w:rPr>
                  </w:pPr>
                  <w:r>
                    <w:rPr>
                      <w:rFonts w:hint="eastAsia" w:ascii="Arial" w:hAnsi="Arial" w:cs="Arial"/>
                      <w:color w:val="auto"/>
                      <w:lang w:val="en-US" w:eastAsia="zh-CN"/>
                    </w:rPr>
                    <w:t>21149.97</w:t>
                  </w:r>
                </w:p>
              </w:tc>
            </w:tr>
            <w:tr w14:paraId="35AA2D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000" w:type="pct"/>
                  <w:gridSpan w:val="4"/>
                  <w:tcBorders>
                    <w:tl2br w:val="nil"/>
                    <w:tr2bl w:val="nil"/>
                  </w:tcBorders>
                  <w:vAlign w:val="center"/>
                </w:tcPr>
                <w:p w14:paraId="7AC6541A">
                  <w:pPr>
                    <w:pStyle w:val="50"/>
                    <w:jc w:val="center"/>
                    <w:rPr>
                      <w:rFonts w:ascii="Arial" w:hAnsi="Arial" w:cs="Arial"/>
                      <w:color w:val="auto"/>
                    </w:rPr>
                  </w:pPr>
                  <w:r>
                    <w:rPr>
                      <w:rFonts w:ascii="Arial" w:hAnsi="Arial" w:cs="Arial"/>
                      <w:color w:val="auto"/>
                    </w:rPr>
                    <w:t>出厂检验</w:t>
                  </w:r>
                </w:p>
              </w:tc>
            </w:tr>
            <w:tr w14:paraId="5E19BA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47" w:type="pct"/>
                  <w:tcBorders>
                    <w:tl2br w:val="nil"/>
                    <w:tr2bl w:val="nil"/>
                  </w:tcBorders>
                  <w:vAlign w:val="center"/>
                </w:tcPr>
                <w:p w14:paraId="185B98B2">
                  <w:pPr>
                    <w:pStyle w:val="50"/>
                    <w:jc w:val="center"/>
                    <w:rPr>
                      <w:rFonts w:hint="default" w:ascii="Arial" w:hAnsi="Arial" w:eastAsia="宋体" w:cs="Arial"/>
                      <w:color w:val="auto"/>
                      <w:lang w:val="en-US" w:eastAsia="zh-CN"/>
                    </w:rPr>
                  </w:pPr>
                  <w:r>
                    <w:rPr>
                      <w:rFonts w:hint="eastAsia" w:ascii="Arial" w:hAnsi="Arial" w:cs="Arial"/>
                      <w:color w:val="auto"/>
                      <w:lang w:val="en-US" w:eastAsia="zh-CN"/>
                    </w:rPr>
                    <w:t>成品水泥房那个</w:t>
                  </w:r>
                </w:p>
              </w:tc>
              <w:tc>
                <w:tcPr>
                  <w:tcW w:w="1250" w:type="pct"/>
                  <w:tcBorders>
                    <w:tl2br w:val="nil"/>
                    <w:tr2bl w:val="nil"/>
                  </w:tcBorders>
                  <w:vAlign w:val="center"/>
                </w:tcPr>
                <w:p w14:paraId="00E28B8D">
                  <w:pPr>
                    <w:pStyle w:val="50"/>
                    <w:jc w:val="center"/>
                    <w:rPr>
                      <w:rFonts w:hint="default" w:ascii="Arial" w:hAnsi="Arial" w:eastAsia="宋体" w:cs="Arial"/>
                      <w:color w:val="auto"/>
                      <w:lang w:val="en-US" w:eastAsia="zh-CN"/>
                    </w:rPr>
                  </w:pPr>
                  <w:r>
                    <w:rPr>
                      <w:rFonts w:hint="eastAsia" w:ascii="Arial" w:hAnsi="Arial" w:cs="Arial"/>
                      <w:color w:val="auto"/>
                      <w:lang w:val="en-US" w:eastAsia="zh-CN"/>
                    </w:rPr>
                    <w:t>20619.97</w:t>
                  </w:r>
                </w:p>
              </w:tc>
              <w:tc>
                <w:tcPr>
                  <w:tcW w:w="1249" w:type="pct"/>
                  <w:tcBorders>
                    <w:tl2br w:val="nil"/>
                    <w:tr2bl w:val="nil"/>
                  </w:tcBorders>
                  <w:vAlign w:val="center"/>
                </w:tcPr>
                <w:p w14:paraId="42830D5D">
                  <w:pPr>
                    <w:pStyle w:val="50"/>
                    <w:jc w:val="center"/>
                    <w:rPr>
                      <w:rFonts w:hint="default" w:ascii="Arial" w:hAnsi="Arial" w:eastAsia="宋体" w:cs="Arial"/>
                      <w:color w:val="auto"/>
                      <w:lang w:val="en-US" w:eastAsia="zh-CN"/>
                    </w:rPr>
                  </w:pPr>
                  <w:r>
                    <w:rPr>
                      <w:rFonts w:ascii="Arial" w:hAnsi="Arial" w:cs="Arial"/>
                      <w:color w:val="auto"/>
                    </w:rPr>
                    <w:t>合格</w:t>
                  </w:r>
                  <w:r>
                    <w:rPr>
                      <w:rFonts w:hint="eastAsia" w:ascii="Arial" w:hAnsi="Arial" w:cs="Arial"/>
                      <w:color w:val="auto"/>
                      <w:lang w:val="en-US" w:eastAsia="zh-CN"/>
                    </w:rPr>
                    <w:t>成品水泥房</w:t>
                  </w:r>
                </w:p>
              </w:tc>
              <w:tc>
                <w:tcPr>
                  <w:tcW w:w="1252" w:type="pct"/>
                  <w:tcBorders>
                    <w:tl2br w:val="nil"/>
                    <w:tr2bl w:val="nil"/>
                  </w:tcBorders>
                  <w:vAlign w:val="center"/>
                </w:tcPr>
                <w:p w14:paraId="5242EBB4">
                  <w:pPr>
                    <w:pStyle w:val="50"/>
                    <w:jc w:val="center"/>
                    <w:rPr>
                      <w:rFonts w:hint="default" w:ascii="Arial" w:hAnsi="Arial" w:eastAsia="宋体" w:cs="Arial"/>
                      <w:color w:val="auto"/>
                      <w:lang w:val="en-US" w:eastAsia="zh-CN"/>
                    </w:rPr>
                  </w:pPr>
                  <w:r>
                    <w:rPr>
                      <w:rFonts w:hint="eastAsia" w:ascii="Arial" w:hAnsi="Arial" w:cs="Arial"/>
                      <w:color w:val="auto"/>
                      <w:lang w:val="en-US" w:eastAsia="zh-CN"/>
                    </w:rPr>
                    <w:t>20529.97</w:t>
                  </w:r>
                </w:p>
              </w:tc>
            </w:tr>
            <w:tr w14:paraId="007A42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47" w:type="pct"/>
                  <w:tcBorders>
                    <w:tl2br w:val="nil"/>
                    <w:tr2bl w:val="nil"/>
                  </w:tcBorders>
                  <w:vAlign w:val="center"/>
                </w:tcPr>
                <w:p w14:paraId="6EDEC214">
                  <w:pPr>
                    <w:pStyle w:val="50"/>
                    <w:jc w:val="center"/>
                    <w:rPr>
                      <w:rFonts w:ascii="Arial" w:hAnsi="Arial" w:cs="Arial"/>
                      <w:color w:val="auto"/>
                    </w:rPr>
                  </w:pPr>
                </w:p>
              </w:tc>
              <w:tc>
                <w:tcPr>
                  <w:tcW w:w="1250" w:type="pct"/>
                  <w:tcBorders>
                    <w:tl2br w:val="nil"/>
                    <w:tr2bl w:val="nil"/>
                  </w:tcBorders>
                  <w:vAlign w:val="center"/>
                </w:tcPr>
                <w:p w14:paraId="1535A768">
                  <w:pPr>
                    <w:pStyle w:val="50"/>
                    <w:jc w:val="center"/>
                    <w:rPr>
                      <w:rFonts w:ascii="Arial" w:hAnsi="Arial" w:cs="Arial"/>
                      <w:color w:val="auto"/>
                    </w:rPr>
                  </w:pPr>
                </w:p>
              </w:tc>
              <w:tc>
                <w:tcPr>
                  <w:tcW w:w="1249" w:type="pct"/>
                  <w:tcBorders>
                    <w:tl2br w:val="nil"/>
                    <w:tr2bl w:val="nil"/>
                  </w:tcBorders>
                  <w:vAlign w:val="center"/>
                </w:tcPr>
                <w:p w14:paraId="3E3F0304">
                  <w:pPr>
                    <w:pStyle w:val="50"/>
                    <w:jc w:val="center"/>
                    <w:rPr>
                      <w:rFonts w:ascii="Arial" w:hAnsi="Arial" w:cs="Arial"/>
                      <w:color w:val="auto"/>
                    </w:rPr>
                  </w:pPr>
                  <w:r>
                    <w:rPr>
                      <w:rFonts w:ascii="Arial" w:hAnsi="Arial" w:cs="Arial"/>
                      <w:color w:val="auto"/>
                    </w:rPr>
                    <w:t>残次品</w:t>
                  </w:r>
                </w:p>
              </w:tc>
              <w:tc>
                <w:tcPr>
                  <w:tcW w:w="1252" w:type="pct"/>
                  <w:tcBorders>
                    <w:tl2br w:val="nil"/>
                    <w:tr2bl w:val="nil"/>
                  </w:tcBorders>
                  <w:vAlign w:val="center"/>
                </w:tcPr>
                <w:p w14:paraId="032C2083">
                  <w:pPr>
                    <w:pStyle w:val="50"/>
                    <w:jc w:val="center"/>
                    <w:rPr>
                      <w:rFonts w:hint="default" w:ascii="Arial" w:hAnsi="Arial" w:eastAsia="宋体" w:cs="Arial"/>
                      <w:color w:val="auto"/>
                      <w:lang w:val="en-US" w:eastAsia="zh-CN"/>
                    </w:rPr>
                  </w:pPr>
                  <w:r>
                    <w:rPr>
                      <w:rFonts w:hint="eastAsia" w:ascii="Arial" w:hAnsi="Arial" w:cs="Arial"/>
                      <w:color w:val="auto"/>
                      <w:lang w:val="en-US" w:eastAsia="zh-CN"/>
                    </w:rPr>
                    <w:t>90</w:t>
                  </w:r>
                </w:p>
              </w:tc>
            </w:tr>
            <w:tr w14:paraId="521A96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47" w:type="pct"/>
                  <w:tcBorders>
                    <w:tl2br w:val="nil"/>
                    <w:tr2bl w:val="nil"/>
                  </w:tcBorders>
                  <w:vAlign w:val="center"/>
                </w:tcPr>
                <w:p w14:paraId="13260FAF">
                  <w:pPr>
                    <w:pStyle w:val="50"/>
                    <w:jc w:val="center"/>
                    <w:rPr>
                      <w:rFonts w:ascii="Arial" w:hAnsi="Arial" w:cs="Arial"/>
                      <w:color w:val="auto"/>
                    </w:rPr>
                  </w:pPr>
                  <w:r>
                    <w:rPr>
                      <w:rFonts w:ascii="Arial" w:hAnsi="Arial" w:cs="Arial"/>
                      <w:color w:val="auto"/>
                    </w:rPr>
                    <w:t>合计</w:t>
                  </w:r>
                </w:p>
              </w:tc>
              <w:tc>
                <w:tcPr>
                  <w:tcW w:w="1250" w:type="pct"/>
                  <w:tcBorders>
                    <w:tl2br w:val="nil"/>
                    <w:tr2bl w:val="nil"/>
                  </w:tcBorders>
                  <w:vAlign w:val="center"/>
                </w:tcPr>
                <w:p w14:paraId="551A4627">
                  <w:pPr>
                    <w:pStyle w:val="50"/>
                    <w:jc w:val="center"/>
                    <w:rPr>
                      <w:rFonts w:hint="default" w:ascii="Arial" w:hAnsi="Arial" w:eastAsia="宋体" w:cs="Arial"/>
                      <w:color w:val="auto"/>
                      <w:lang w:val="en-US" w:eastAsia="zh-CN"/>
                    </w:rPr>
                  </w:pPr>
                  <w:r>
                    <w:rPr>
                      <w:rFonts w:hint="eastAsia" w:ascii="Arial" w:hAnsi="Arial" w:cs="Arial"/>
                      <w:color w:val="auto"/>
                      <w:lang w:val="en-US" w:eastAsia="zh-CN"/>
                    </w:rPr>
                    <w:t>20619.97</w:t>
                  </w:r>
                </w:p>
              </w:tc>
              <w:tc>
                <w:tcPr>
                  <w:tcW w:w="1249" w:type="pct"/>
                  <w:tcBorders>
                    <w:tl2br w:val="nil"/>
                    <w:tr2bl w:val="nil"/>
                  </w:tcBorders>
                  <w:vAlign w:val="center"/>
                </w:tcPr>
                <w:p w14:paraId="6A529BCC">
                  <w:pPr>
                    <w:pStyle w:val="50"/>
                    <w:jc w:val="center"/>
                    <w:rPr>
                      <w:rFonts w:ascii="Arial" w:hAnsi="Arial" w:cs="Arial"/>
                      <w:color w:val="auto"/>
                    </w:rPr>
                  </w:pPr>
                  <w:r>
                    <w:rPr>
                      <w:rFonts w:ascii="Arial" w:hAnsi="Arial" w:cs="Arial"/>
                      <w:color w:val="auto"/>
                    </w:rPr>
                    <w:t>合计</w:t>
                  </w:r>
                </w:p>
              </w:tc>
              <w:tc>
                <w:tcPr>
                  <w:tcW w:w="1252" w:type="pct"/>
                  <w:tcBorders>
                    <w:tl2br w:val="nil"/>
                    <w:tr2bl w:val="nil"/>
                  </w:tcBorders>
                  <w:vAlign w:val="center"/>
                </w:tcPr>
                <w:p w14:paraId="79F9DFF1">
                  <w:pPr>
                    <w:pStyle w:val="50"/>
                    <w:jc w:val="center"/>
                    <w:rPr>
                      <w:rFonts w:hint="default" w:ascii="Arial" w:hAnsi="Arial" w:eastAsia="宋体" w:cs="Arial"/>
                      <w:color w:val="auto"/>
                      <w:lang w:val="en-US" w:eastAsia="zh-CN"/>
                    </w:rPr>
                  </w:pPr>
                  <w:r>
                    <w:rPr>
                      <w:rFonts w:hint="eastAsia" w:ascii="Arial" w:hAnsi="Arial" w:cs="Arial"/>
                      <w:color w:val="auto"/>
                      <w:lang w:val="en-US" w:eastAsia="zh-CN"/>
                    </w:rPr>
                    <w:t>20619.97</w:t>
                  </w:r>
                </w:p>
              </w:tc>
            </w:tr>
          </w:tbl>
          <w:p w14:paraId="24CFC874">
            <w:pPr>
              <w:ind w:firstLine="0" w:firstLineChars="0"/>
              <w:rPr>
                <w:rFonts w:cs="Times New Roman"/>
                <w:b/>
                <w:bCs/>
                <w:color w:val="auto"/>
              </w:rPr>
            </w:pPr>
            <w:r>
              <w:rPr>
                <w:rFonts w:cs="Times New Roman"/>
                <w:b/>
                <w:bCs/>
                <w:color w:val="auto"/>
              </w:rPr>
              <w:object>
                <v:shape id="_x0000_i1028" o:spt="75" type="#_x0000_t75" style="height:346.95pt;width:373.6pt;" o:ole="t" filled="f" o:preferrelative="t" stroked="f" coordsize="21600,21600">
                  <v:path/>
                  <v:fill on="f" focussize="0,0"/>
                  <v:stroke on="f"/>
                  <v:imagedata r:id="rId15" cropbottom="10294f" o:title=""/>
                  <o:lock v:ext="edit" aspectratio="f"/>
                  <w10:wrap type="none"/>
                  <w10:anchorlock/>
                </v:shape>
                <o:OLEObject Type="Embed" ProgID="Visio.Drawing.11" ShapeID="_x0000_i1028" DrawAspect="Content" ObjectID="_1468075728" r:id="rId14">
                  <o:LockedField>false</o:LockedField>
                </o:OLEObject>
              </w:object>
            </w:r>
          </w:p>
          <w:p w14:paraId="0F33EE8E">
            <w:pPr>
              <w:pStyle w:val="36"/>
              <w:rPr>
                <w:rFonts w:cs="Times New Roman"/>
                <w:color w:val="auto"/>
              </w:rPr>
            </w:pPr>
            <w:r>
              <w:rPr>
                <w:rFonts w:cs="Times New Roman"/>
                <w:color w:val="auto"/>
              </w:rPr>
              <w:t>图2-4  项目物料平衡图</w:t>
            </w:r>
          </w:p>
        </w:tc>
      </w:tr>
      <w:tr w14:paraId="4A9DB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7" w:hRule="atLeast"/>
          <w:jc w:val="center"/>
        </w:trPr>
        <w:tc>
          <w:tcPr>
            <w:tcW w:w="829" w:type="dxa"/>
            <w:vAlign w:val="center"/>
          </w:tcPr>
          <w:p w14:paraId="682A74A4">
            <w:pPr>
              <w:ind w:firstLine="0" w:firstLineChars="0"/>
              <w:jc w:val="center"/>
              <w:rPr>
                <w:rFonts w:cs="Times New Roman"/>
                <w:color w:val="auto"/>
              </w:rPr>
            </w:pPr>
            <w:r>
              <w:rPr>
                <w:rFonts w:cs="Times New Roman"/>
                <w:color w:val="auto"/>
              </w:rPr>
              <w:t>与项目有关的原有环境污染问题</w:t>
            </w:r>
          </w:p>
        </w:tc>
        <w:tc>
          <w:tcPr>
            <w:tcW w:w="7693" w:type="dxa"/>
          </w:tcPr>
          <w:p w14:paraId="7EA5AB9A">
            <w:pPr>
              <w:ind w:firstLine="480"/>
              <w:rPr>
                <w:rFonts w:cs="Times New Roman"/>
                <w:color w:val="auto"/>
              </w:rPr>
            </w:pPr>
            <w:r>
              <w:rPr>
                <w:rFonts w:cs="Times New Roman"/>
                <w:color w:val="auto"/>
              </w:rPr>
              <w:t>本项目</w:t>
            </w:r>
            <w:r>
              <w:rPr>
                <w:rFonts w:hint="eastAsia" w:cs="Times New Roman"/>
                <w:color w:val="auto"/>
                <w:lang w:val="en-US" w:eastAsia="zh-CN"/>
              </w:rPr>
              <w:t>建成后补办环保手续，原建设时原料露天堆放，在遭遇大风天气时产生大量扬尘，影响周边居民</w:t>
            </w:r>
            <w:r>
              <w:rPr>
                <w:rFonts w:cs="Times New Roman"/>
                <w:color w:val="auto"/>
              </w:rPr>
              <w:t>。</w:t>
            </w:r>
            <w:r>
              <w:rPr>
                <w:rFonts w:hint="eastAsia" w:cs="Times New Roman"/>
                <w:color w:val="auto"/>
                <w:lang w:val="en-US" w:eastAsia="zh-CN"/>
              </w:rPr>
              <w:t>无其他原有环境污染问题。</w:t>
            </w:r>
            <w:r>
              <w:rPr>
                <w:rFonts w:cs="Times New Roman"/>
                <w:color w:val="auto"/>
              </w:rPr>
              <w:t>项目所在区域内无历史文物遗址和风景名胜区等需要特别保护的文化遗产、自然遗产。区域内无珍稀野生动植物。</w:t>
            </w:r>
          </w:p>
        </w:tc>
      </w:tr>
    </w:tbl>
    <w:p w14:paraId="71048779">
      <w:pPr>
        <w:pStyle w:val="2"/>
        <w:rPr>
          <w:rFonts w:cs="Times New Roman"/>
          <w:snapToGrid w:val="0"/>
          <w:color w:val="auto"/>
        </w:rPr>
        <w:sectPr>
          <w:pgSz w:w="11906" w:h="16838"/>
          <w:pgMar w:top="1440" w:right="1800" w:bottom="1440" w:left="1800" w:header="992" w:footer="992" w:gutter="0"/>
          <w:pgBorders>
            <w:top w:val="none" w:sz="0" w:space="0"/>
            <w:left w:val="none" w:sz="0" w:space="0"/>
            <w:bottom w:val="none" w:sz="0" w:space="0"/>
            <w:right w:val="none" w:sz="0" w:space="0"/>
          </w:pgBorders>
          <w:cols w:space="425" w:num="1"/>
          <w:docGrid w:type="lines" w:linePitch="312" w:charSpace="0"/>
        </w:sectPr>
      </w:pPr>
    </w:p>
    <w:p w14:paraId="31CA3D64">
      <w:pPr>
        <w:pStyle w:val="2"/>
        <w:rPr>
          <w:rFonts w:cs="Times New Roman"/>
          <w:snapToGrid w:val="0"/>
          <w:color w:val="auto"/>
        </w:rPr>
      </w:pPr>
      <w:bookmarkStart w:id="3" w:name="_Toc30302"/>
      <w:r>
        <w:rPr>
          <w:rFonts w:cs="Times New Roman"/>
          <w:snapToGrid w:val="0"/>
          <w:color w:val="auto"/>
        </w:rPr>
        <w:t>三、区域环境质量现状、环境保护目标及评价标准</w:t>
      </w:r>
      <w:bookmarkEnd w:id="3"/>
    </w:p>
    <w:tbl>
      <w:tblPr>
        <w:tblStyle w:val="27"/>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698"/>
      </w:tblGrid>
      <w:tr w14:paraId="2FBA1A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1" w:hRule="atLeast"/>
          <w:jc w:val="center"/>
        </w:trPr>
        <w:tc>
          <w:tcPr>
            <w:tcW w:w="824" w:type="dxa"/>
            <w:vAlign w:val="center"/>
          </w:tcPr>
          <w:p w14:paraId="0190D98A">
            <w:pPr>
              <w:ind w:firstLine="0" w:firstLineChars="0"/>
              <w:jc w:val="center"/>
              <w:rPr>
                <w:rFonts w:cs="Times New Roman"/>
                <w:color w:val="auto"/>
              </w:rPr>
            </w:pPr>
            <w:r>
              <w:rPr>
                <w:rFonts w:cs="Times New Roman"/>
                <w:color w:val="auto"/>
              </w:rPr>
              <w:t>区域环境质量现状</w:t>
            </w:r>
          </w:p>
        </w:tc>
        <w:tc>
          <w:tcPr>
            <w:tcW w:w="7698" w:type="dxa"/>
            <w:vAlign w:val="center"/>
          </w:tcPr>
          <w:p w14:paraId="3F344957">
            <w:pPr>
              <w:ind w:left="0" w:leftChars="0" w:firstLine="0" w:firstLineChars="0"/>
              <w:rPr>
                <w:rFonts w:cs="Times New Roman"/>
                <w:b/>
                <w:bCs/>
                <w:color w:val="auto"/>
              </w:rPr>
            </w:pPr>
            <w:r>
              <w:rPr>
                <w:rFonts w:cs="Times New Roman"/>
                <w:b/>
                <w:bCs/>
                <w:color w:val="auto"/>
              </w:rPr>
              <w:t>一、区域环境质量现状</w:t>
            </w:r>
          </w:p>
          <w:p w14:paraId="16D68B9F">
            <w:pPr>
              <w:ind w:left="0" w:leftChars="0" w:firstLine="0" w:firstLineChars="0"/>
              <w:rPr>
                <w:rFonts w:cs="Times New Roman"/>
                <w:b/>
                <w:bCs/>
                <w:color w:val="auto"/>
              </w:rPr>
            </w:pPr>
            <w:r>
              <w:rPr>
                <w:rFonts w:cs="Times New Roman"/>
                <w:b/>
                <w:bCs/>
                <w:color w:val="auto"/>
              </w:rPr>
              <w:t>1、环境空气质量现状</w:t>
            </w:r>
          </w:p>
          <w:p w14:paraId="28D74B05">
            <w:pPr>
              <w:ind w:firstLine="482"/>
              <w:rPr>
                <w:rFonts w:cs="Times New Roman"/>
                <w:b/>
                <w:bCs/>
                <w:color w:val="auto"/>
              </w:rPr>
            </w:pPr>
            <w:r>
              <w:rPr>
                <w:rFonts w:cs="Times New Roman"/>
                <w:b/>
                <w:bCs/>
                <w:color w:val="auto"/>
              </w:rPr>
              <w:t>（1）项目所在区域环境质量达标情况</w:t>
            </w:r>
          </w:p>
          <w:p w14:paraId="33241017">
            <w:pPr>
              <w:ind w:firstLine="480"/>
              <w:rPr>
                <w:rFonts w:cs="Times New Roman"/>
                <w:color w:val="auto"/>
              </w:rPr>
            </w:pPr>
            <w:bookmarkStart w:id="4" w:name="_Hlk78372480"/>
            <w:r>
              <w:rPr>
                <w:rFonts w:cs="Times New Roman"/>
                <w:color w:val="auto"/>
              </w:rPr>
              <w:t>根据《环境影响评价技术导则大气环境》（HJ2.2-2018）中6.4.1.1中的内容“城市环境空气质量达标评价指标为SO</w:t>
            </w:r>
            <w:r>
              <w:rPr>
                <w:rFonts w:cs="Times New Roman"/>
                <w:color w:val="auto"/>
                <w:vertAlign w:val="subscript"/>
              </w:rPr>
              <w:t>2</w:t>
            </w:r>
            <w:r>
              <w:rPr>
                <w:rFonts w:cs="Times New Roman"/>
                <w:color w:val="auto"/>
              </w:rPr>
              <w:t>、NO</w:t>
            </w:r>
            <w:r>
              <w:rPr>
                <w:rFonts w:cs="Times New Roman"/>
                <w:color w:val="auto"/>
                <w:vertAlign w:val="subscript"/>
              </w:rPr>
              <w:t>2</w:t>
            </w:r>
            <w:r>
              <w:rPr>
                <w:rFonts w:cs="Times New Roman"/>
                <w:color w:val="auto"/>
              </w:rPr>
              <w:t>、PM</w:t>
            </w:r>
            <w:r>
              <w:rPr>
                <w:rFonts w:cs="Times New Roman"/>
                <w:color w:val="auto"/>
                <w:vertAlign w:val="subscript"/>
              </w:rPr>
              <w:t>10</w:t>
            </w:r>
            <w:r>
              <w:rPr>
                <w:rFonts w:cs="Times New Roman"/>
                <w:color w:val="auto"/>
              </w:rPr>
              <w:t>、PM</w:t>
            </w:r>
            <w:r>
              <w:rPr>
                <w:rFonts w:cs="Times New Roman"/>
                <w:color w:val="auto"/>
                <w:vertAlign w:val="subscript"/>
              </w:rPr>
              <w:t>2.5</w:t>
            </w:r>
            <w:r>
              <w:rPr>
                <w:rFonts w:cs="Times New Roman"/>
                <w:color w:val="auto"/>
              </w:rPr>
              <w:t>、CO和O</w:t>
            </w:r>
            <w:r>
              <w:rPr>
                <w:rFonts w:cs="Times New Roman"/>
                <w:color w:val="auto"/>
                <w:vertAlign w:val="subscript"/>
              </w:rPr>
              <w:t>3</w:t>
            </w:r>
            <w:r>
              <w:rPr>
                <w:rFonts w:cs="Times New Roman"/>
                <w:color w:val="auto"/>
              </w:rPr>
              <w:t>，六项污染物全部达标即为城市环境空气质量达标”。</w:t>
            </w:r>
          </w:p>
          <w:p w14:paraId="7DDC3731">
            <w:pPr>
              <w:widowControl w:val="0"/>
              <w:ind w:firstLine="480"/>
              <w:rPr>
                <w:rFonts w:cs="Times New Roman"/>
                <w:color w:val="auto"/>
                <w:szCs w:val="32"/>
              </w:rPr>
            </w:pPr>
            <w:r>
              <w:rPr>
                <w:rFonts w:cs="Times New Roman"/>
                <w:color w:val="auto"/>
                <w:szCs w:val="32"/>
              </w:rPr>
              <w:t>本项目环境质量现状数据来源于《巴彦淖尔市环境质量状况公报（20</w:t>
            </w:r>
            <w:r>
              <w:rPr>
                <w:rFonts w:hint="eastAsia" w:cs="Times New Roman"/>
                <w:color w:val="auto"/>
                <w:szCs w:val="32"/>
                <w:lang w:val="en-US" w:eastAsia="zh-CN"/>
              </w:rPr>
              <w:t>24</w:t>
            </w:r>
            <w:r>
              <w:rPr>
                <w:rFonts w:cs="Times New Roman"/>
                <w:color w:val="auto"/>
                <w:szCs w:val="32"/>
              </w:rPr>
              <w:t>年）》中的内容，内蒙古巴彦淖尔市</w:t>
            </w:r>
            <w:r>
              <w:rPr>
                <w:rFonts w:hint="eastAsia" w:cs="Times New Roman"/>
                <w:color w:val="auto"/>
                <w:szCs w:val="32"/>
                <w:lang w:val="en-US" w:eastAsia="zh-CN"/>
              </w:rPr>
              <w:t>巴彦高勒镇</w:t>
            </w:r>
            <w:r>
              <w:rPr>
                <w:rFonts w:hint="eastAsia" w:cs="Times New Roman"/>
                <w:color w:val="auto"/>
                <w:szCs w:val="32"/>
              </w:rPr>
              <w:t>202</w:t>
            </w:r>
            <w:r>
              <w:rPr>
                <w:rFonts w:hint="eastAsia" w:cs="Times New Roman"/>
                <w:color w:val="auto"/>
                <w:szCs w:val="32"/>
                <w:lang w:val="en-US" w:eastAsia="zh-CN"/>
              </w:rPr>
              <w:t>4</w:t>
            </w:r>
            <w:r>
              <w:rPr>
                <w:rFonts w:cs="Times New Roman"/>
                <w:color w:val="auto"/>
                <w:szCs w:val="32"/>
              </w:rPr>
              <w:t>年六项污染物环境质量数据见下表。</w:t>
            </w:r>
          </w:p>
          <w:p w14:paraId="550D1261">
            <w:pPr>
              <w:widowControl w:val="0"/>
              <w:adjustRightInd w:val="0"/>
              <w:spacing w:line="240" w:lineRule="auto"/>
              <w:ind w:firstLine="422"/>
              <w:jc w:val="center"/>
              <w:textAlignment w:val="bottom"/>
              <w:outlineLvl w:val="1"/>
              <w:rPr>
                <w:rFonts w:cs="Times New Roman"/>
                <w:b/>
                <w:color w:val="auto"/>
                <w:sz w:val="21"/>
              </w:rPr>
            </w:pPr>
            <w:r>
              <w:rPr>
                <w:rFonts w:cs="Times New Roman"/>
                <w:b/>
                <w:color w:val="auto"/>
                <w:sz w:val="21"/>
              </w:rPr>
              <w:t>表3-1大气环境质量现状与评价结果一览表</w:t>
            </w:r>
          </w:p>
          <w:tbl>
            <w:tblPr>
              <w:tblStyle w:val="27"/>
              <w:tblW w:w="4761"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69"/>
              <w:gridCol w:w="1681"/>
              <w:gridCol w:w="1247"/>
              <w:gridCol w:w="1097"/>
              <w:gridCol w:w="1038"/>
              <w:gridCol w:w="792"/>
            </w:tblGrid>
            <w:tr w14:paraId="72E1396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1268" w:type="dxa"/>
                  <w:tcBorders>
                    <w:top w:val="single" w:color="auto" w:sz="4" w:space="0"/>
                    <w:left w:val="single" w:color="auto" w:sz="0" w:space="0"/>
                    <w:bottom w:val="single" w:color="auto" w:sz="4" w:space="0"/>
                    <w:right w:val="single" w:color="auto" w:sz="4" w:space="0"/>
                  </w:tcBorders>
                  <w:vAlign w:val="center"/>
                </w:tcPr>
                <w:p w14:paraId="678648B2">
                  <w:pPr>
                    <w:widowControl w:val="0"/>
                    <w:spacing w:line="240" w:lineRule="auto"/>
                    <w:ind w:firstLine="0" w:firstLineChars="0"/>
                    <w:jc w:val="center"/>
                    <w:rPr>
                      <w:rFonts w:cs="Times New Roman"/>
                      <w:color w:val="auto"/>
                      <w:sz w:val="21"/>
                      <w:szCs w:val="21"/>
                    </w:rPr>
                  </w:pPr>
                  <w:r>
                    <w:rPr>
                      <w:rFonts w:cs="Times New Roman"/>
                      <w:color w:val="auto"/>
                      <w:sz w:val="21"/>
                      <w:szCs w:val="21"/>
                    </w:rPr>
                    <w:t>污染物</w:t>
                  </w:r>
                </w:p>
              </w:tc>
              <w:tc>
                <w:tcPr>
                  <w:tcW w:w="1680" w:type="dxa"/>
                  <w:tcBorders>
                    <w:top w:val="single" w:color="auto" w:sz="4" w:space="0"/>
                    <w:left w:val="single" w:color="auto" w:sz="4" w:space="0"/>
                    <w:bottom w:val="single" w:color="auto" w:sz="4" w:space="0"/>
                    <w:right w:val="single" w:color="auto" w:sz="4" w:space="0"/>
                  </w:tcBorders>
                  <w:vAlign w:val="center"/>
                </w:tcPr>
                <w:p w14:paraId="497245F1">
                  <w:pPr>
                    <w:widowControl w:val="0"/>
                    <w:spacing w:line="240" w:lineRule="auto"/>
                    <w:ind w:firstLine="0" w:firstLineChars="0"/>
                    <w:jc w:val="center"/>
                    <w:rPr>
                      <w:rFonts w:cs="Times New Roman"/>
                      <w:color w:val="auto"/>
                      <w:sz w:val="21"/>
                      <w:szCs w:val="21"/>
                    </w:rPr>
                  </w:pPr>
                  <w:r>
                    <w:rPr>
                      <w:rFonts w:cs="Times New Roman"/>
                      <w:color w:val="auto"/>
                      <w:sz w:val="21"/>
                      <w:szCs w:val="21"/>
                    </w:rPr>
                    <w:t>年评价指标</w:t>
                  </w:r>
                </w:p>
              </w:tc>
              <w:tc>
                <w:tcPr>
                  <w:tcW w:w="1246" w:type="dxa"/>
                  <w:tcBorders>
                    <w:top w:val="single" w:color="auto" w:sz="4" w:space="0"/>
                    <w:left w:val="single" w:color="auto" w:sz="4" w:space="0"/>
                    <w:bottom w:val="single" w:color="auto" w:sz="4" w:space="0"/>
                    <w:right w:val="single" w:color="auto" w:sz="4" w:space="0"/>
                  </w:tcBorders>
                  <w:vAlign w:val="center"/>
                </w:tcPr>
                <w:p w14:paraId="24FDCEA6">
                  <w:pPr>
                    <w:widowControl w:val="0"/>
                    <w:spacing w:line="240" w:lineRule="auto"/>
                    <w:ind w:firstLine="0" w:firstLineChars="0"/>
                    <w:jc w:val="center"/>
                    <w:rPr>
                      <w:rFonts w:cs="Times New Roman"/>
                      <w:color w:val="auto"/>
                      <w:sz w:val="21"/>
                      <w:szCs w:val="21"/>
                    </w:rPr>
                  </w:pPr>
                  <w:r>
                    <w:rPr>
                      <w:rFonts w:cs="Times New Roman"/>
                      <w:color w:val="auto"/>
                      <w:sz w:val="21"/>
                      <w:szCs w:val="21"/>
                    </w:rPr>
                    <w:t>现状浓度（μg/m</w:t>
                  </w:r>
                  <w:r>
                    <w:rPr>
                      <w:rFonts w:cs="Times New Roman"/>
                      <w:color w:val="auto"/>
                      <w:sz w:val="21"/>
                      <w:szCs w:val="21"/>
                      <w:vertAlign w:val="superscript"/>
                    </w:rPr>
                    <w:t>3</w:t>
                  </w:r>
                  <w:r>
                    <w:rPr>
                      <w:rFonts w:cs="Times New Roman"/>
                      <w:color w:val="auto"/>
                      <w:sz w:val="21"/>
                      <w:szCs w:val="21"/>
                    </w:rPr>
                    <w:t>）</w:t>
                  </w:r>
                </w:p>
              </w:tc>
              <w:tc>
                <w:tcPr>
                  <w:tcW w:w="1097" w:type="dxa"/>
                  <w:tcBorders>
                    <w:top w:val="single" w:color="auto" w:sz="4" w:space="0"/>
                    <w:left w:val="single" w:color="auto" w:sz="4" w:space="0"/>
                    <w:bottom w:val="single" w:color="auto" w:sz="4" w:space="0"/>
                    <w:right w:val="single" w:color="auto" w:sz="4" w:space="0"/>
                  </w:tcBorders>
                  <w:vAlign w:val="center"/>
                </w:tcPr>
                <w:p w14:paraId="5FF88426">
                  <w:pPr>
                    <w:widowControl w:val="0"/>
                    <w:spacing w:line="240" w:lineRule="auto"/>
                    <w:ind w:firstLine="0" w:firstLineChars="0"/>
                    <w:jc w:val="center"/>
                    <w:rPr>
                      <w:rFonts w:cs="Times New Roman"/>
                      <w:color w:val="auto"/>
                      <w:sz w:val="21"/>
                      <w:szCs w:val="21"/>
                    </w:rPr>
                  </w:pPr>
                  <w:r>
                    <w:rPr>
                      <w:rFonts w:cs="Times New Roman"/>
                      <w:color w:val="auto"/>
                      <w:sz w:val="21"/>
                      <w:szCs w:val="21"/>
                    </w:rPr>
                    <w:t>标准值（μg/m</w:t>
                  </w:r>
                  <w:r>
                    <w:rPr>
                      <w:rFonts w:cs="Times New Roman"/>
                      <w:color w:val="auto"/>
                      <w:sz w:val="21"/>
                      <w:szCs w:val="21"/>
                      <w:vertAlign w:val="superscript"/>
                    </w:rPr>
                    <w:t>3</w:t>
                  </w:r>
                  <w:r>
                    <w:rPr>
                      <w:rFonts w:cs="Times New Roman"/>
                      <w:color w:val="auto"/>
                      <w:sz w:val="21"/>
                      <w:szCs w:val="21"/>
                    </w:rPr>
                    <w:t>）</w:t>
                  </w:r>
                </w:p>
              </w:tc>
              <w:tc>
                <w:tcPr>
                  <w:tcW w:w="1038" w:type="dxa"/>
                  <w:tcBorders>
                    <w:top w:val="single" w:color="auto" w:sz="4" w:space="0"/>
                    <w:left w:val="single" w:color="auto" w:sz="4" w:space="0"/>
                    <w:bottom w:val="single" w:color="auto" w:sz="4" w:space="0"/>
                    <w:right w:val="single" w:color="auto" w:sz="4" w:space="0"/>
                  </w:tcBorders>
                  <w:vAlign w:val="center"/>
                </w:tcPr>
                <w:p w14:paraId="59C12D71">
                  <w:pPr>
                    <w:widowControl w:val="0"/>
                    <w:spacing w:line="240" w:lineRule="auto"/>
                    <w:ind w:firstLine="0" w:firstLineChars="0"/>
                    <w:jc w:val="center"/>
                    <w:rPr>
                      <w:rFonts w:cs="Times New Roman"/>
                      <w:color w:val="auto"/>
                      <w:sz w:val="21"/>
                      <w:szCs w:val="21"/>
                    </w:rPr>
                  </w:pPr>
                  <w:r>
                    <w:rPr>
                      <w:rFonts w:cs="Times New Roman"/>
                      <w:color w:val="auto"/>
                      <w:sz w:val="21"/>
                      <w:szCs w:val="21"/>
                    </w:rPr>
                    <w:t>占标率%</w:t>
                  </w:r>
                </w:p>
              </w:tc>
              <w:tc>
                <w:tcPr>
                  <w:tcW w:w="792" w:type="dxa"/>
                  <w:tcBorders>
                    <w:top w:val="single" w:color="auto" w:sz="4" w:space="0"/>
                    <w:left w:val="single" w:color="auto" w:sz="4" w:space="0"/>
                    <w:bottom w:val="single" w:color="auto" w:sz="4" w:space="0"/>
                    <w:right w:val="single" w:color="auto" w:sz="4" w:space="0"/>
                  </w:tcBorders>
                  <w:vAlign w:val="center"/>
                </w:tcPr>
                <w:p w14:paraId="7167FEA5">
                  <w:pPr>
                    <w:widowControl w:val="0"/>
                    <w:spacing w:line="240" w:lineRule="auto"/>
                    <w:ind w:firstLine="0" w:firstLineChars="0"/>
                    <w:jc w:val="center"/>
                    <w:rPr>
                      <w:rFonts w:cs="Times New Roman"/>
                      <w:color w:val="auto"/>
                      <w:sz w:val="21"/>
                      <w:szCs w:val="21"/>
                    </w:rPr>
                  </w:pPr>
                  <w:r>
                    <w:rPr>
                      <w:rFonts w:cs="Times New Roman"/>
                      <w:color w:val="auto"/>
                      <w:sz w:val="21"/>
                      <w:szCs w:val="21"/>
                    </w:rPr>
                    <w:t>达标情况</w:t>
                  </w:r>
                </w:p>
              </w:tc>
            </w:tr>
            <w:tr w14:paraId="45115E7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14:paraId="383C66DC">
                  <w:pPr>
                    <w:widowControl w:val="0"/>
                    <w:spacing w:line="240" w:lineRule="auto"/>
                    <w:ind w:firstLine="0" w:firstLineChars="0"/>
                    <w:jc w:val="center"/>
                    <w:rPr>
                      <w:rFonts w:cs="Times New Roman"/>
                      <w:color w:val="auto"/>
                      <w:sz w:val="21"/>
                      <w:szCs w:val="21"/>
                    </w:rPr>
                  </w:pPr>
                  <w:r>
                    <w:rPr>
                      <w:rFonts w:cs="Times New Roman"/>
                      <w:color w:val="auto"/>
                      <w:sz w:val="21"/>
                      <w:szCs w:val="21"/>
                    </w:rPr>
                    <w:t>细颗粒物（PM</w:t>
                  </w:r>
                  <w:r>
                    <w:rPr>
                      <w:rFonts w:cs="Times New Roman"/>
                      <w:color w:val="auto"/>
                      <w:sz w:val="21"/>
                      <w:szCs w:val="21"/>
                      <w:vertAlign w:val="subscript"/>
                    </w:rPr>
                    <w:t>2.5</w:t>
                  </w:r>
                  <w:r>
                    <w:rPr>
                      <w:rFonts w:cs="Times New Roman"/>
                      <w:color w:val="auto"/>
                      <w:sz w:val="21"/>
                      <w:szCs w:val="21"/>
                    </w:rPr>
                    <w:t>）</w:t>
                  </w:r>
                </w:p>
              </w:tc>
              <w:tc>
                <w:tcPr>
                  <w:tcW w:w="1680" w:type="dxa"/>
                  <w:tcBorders>
                    <w:top w:val="single" w:color="auto" w:sz="4" w:space="0"/>
                    <w:left w:val="single" w:color="auto" w:sz="4" w:space="0"/>
                    <w:bottom w:val="single" w:color="auto" w:sz="4" w:space="0"/>
                    <w:right w:val="single" w:color="auto" w:sz="4" w:space="0"/>
                  </w:tcBorders>
                  <w:vAlign w:val="center"/>
                </w:tcPr>
                <w:p w14:paraId="5E269C10">
                  <w:pPr>
                    <w:widowControl w:val="0"/>
                    <w:spacing w:line="240" w:lineRule="auto"/>
                    <w:ind w:firstLine="0" w:firstLineChars="0"/>
                    <w:jc w:val="center"/>
                    <w:rPr>
                      <w:rFonts w:cs="Times New Roman"/>
                      <w:color w:val="auto"/>
                      <w:sz w:val="21"/>
                      <w:szCs w:val="21"/>
                    </w:rPr>
                  </w:pPr>
                  <w:r>
                    <w:rPr>
                      <w:rFonts w:cs="Times New Roman"/>
                      <w:color w:val="auto"/>
                      <w:sz w:val="21"/>
                      <w:szCs w:val="21"/>
                    </w:rPr>
                    <w:t>年平均质量</w:t>
                  </w:r>
                </w:p>
              </w:tc>
              <w:tc>
                <w:tcPr>
                  <w:tcW w:w="1246" w:type="dxa"/>
                  <w:tcBorders>
                    <w:top w:val="single" w:color="auto" w:sz="4" w:space="0"/>
                    <w:left w:val="single" w:color="auto" w:sz="4" w:space="0"/>
                    <w:bottom w:val="single" w:color="auto" w:sz="4" w:space="0"/>
                    <w:right w:val="single" w:color="auto" w:sz="4" w:space="0"/>
                  </w:tcBorders>
                  <w:vAlign w:val="center"/>
                </w:tcPr>
                <w:p w14:paraId="2D1D43A8">
                  <w:pPr>
                    <w:widowControl w:val="0"/>
                    <w:spacing w:line="240" w:lineRule="auto"/>
                    <w:ind w:firstLine="0" w:firstLineChars="0"/>
                    <w:jc w:val="center"/>
                    <w:rPr>
                      <w:rFonts w:hint="default" w:eastAsia="宋体" w:cs="Times New Roman"/>
                      <w:color w:val="auto"/>
                      <w:kern w:val="2"/>
                      <w:sz w:val="21"/>
                      <w:szCs w:val="21"/>
                      <w:lang w:val="en-US" w:eastAsia="zh-CN"/>
                    </w:rPr>
                  </w:pPr>
                  <w:r>
                    <w:rPr>
                      <w:rFonts w:hint="eastAsia" w:cs="Times New Roman"/>
                      <w:color w:val="auto"/>
                      <w:kern w:val="2"/>
                      <w:sz w:val="21"/>
                      <w:szCs w:val="21"/>
                      <w:lang w:val="en-US" w:eastAsia="zh-CN"/>
                    </w:rPr>
                    <w:t>16</w:t>
                  </w:r>
                </w:p>
              </w:tc>
              <w:tc>
                <w:tcPr>
                  <w:tcW w:w="1097" w:type="dxa"/>
                  <w:tcBorders>
                    <w:top w:val="single" w:color="auto" w:sz="4" w:space="0"/>
                    <w:left w:val="single" w:color="auto" w:sz="4" w:space="0"/>
                    <w:bottom w:val="single" w:color="auto" w:sz="4" w:space="0"/>
                    <w:right w:val="single" w:color="auto" w:sz="4" w:space="0"/>
                  </w:tcBorders>
                  <w:vAlign w:val="center"/>
                </w:tcPr>
                <w:p w14:paraId="6EE0EDD2">
                  <w:pPr>
                    <w:widowControl w:val="0"/>
                    <w:spacing w:line="240" w:lineRule="auto"/>
                    <w:ind w:firstLine="0" w:firstLineChars="0"/>
                    <w:jc w:val="center"/>
                    <w:rPr>
                      <w:rFonts w:cs="Times New Roman"/>
                      <w:color w:val="auto"/>
                      <w:kern w:val="2"/>
                      <w:sz w:val="21"/>
                      <w:szCs w:val="21"/>
                    </w:rPr>
                  </w:pPr>
                  <w:r>
                    <w:rPr>
                      <w:rFonts w:cs="Times New Roman"/>
                      <w:color w:val="auto"/>
                      <w:sz w:val="21"/>
                      <w:szCs w:val="21"/>
                    </w:rPr>
                    <w:t>35</w:t>
                  </w:r>
                </w:p>
              </w:tc>
              <w:tc>
                <w:tcPr>
                  <w:tcW w:w="1038" w:type="dxa"/>
                  <w:tcBorders>
                    <w:top w:val="single" w:color="auto" w:sz="4" w:space="0"/>
                    <w:left w:val="single" w:color="auto" w:sz="4" w:space="0"/>
                    <w:bottom w:val="single" w:color="auto" w:sz="4" w:space="0"/>
                    <w:right w:val="single" w:color="auto" w:sz="4" w:space="0"/>
                  </w:tcBorders>
                  <w:vAlign w:val="center"/>
                </w:tcPr>
                <w:p w14:paraId="794755C1">
                  <w:pPr>
                    <w:widowControl w:val="0"/>
                    <w:spacing w:line="240" w:lineRule="auto"/>
                    <w:ind w:firstLine="0" w:firstLineChars="0"/>
                    <w:jc w:val="center"/>
                    <w:rPr>
                      <w:rFonts w:hint="default" w:eastAsia="宋体" w:cs="Times New Roman"/>
                      <w:color w:val="auto"/>
                      <w:kern w:val="2"/>
                      <w:sz w:val="21"/>
                      <w:szCs w:val="21"/>
                      <w:lang w:val="en-US" w:eastAsia="zh-CN"/>
                    </w:rPr>
                  </w:pPr>
                  <w:r>
                    <w:rPr>
                      <w:rFonts w:hint="eastAsia" w:cs="Times New Roman"/>
                      <w:color w:val="auto"/>
                      <w:kern w:val="2"/>
                      <w:sz w:val="21"/>
                      <w:szCs w:val="21"/>
                      <w:lang w:val="en-US" w:eastAsia="zh-CN"/>
                    </w:rPr>
                    <w:t>45.71</w:t>
                  </w:r>
                </w:p>
              </w:tc>
              <w:tc>
                <w:tcPr>
                  <w:tcW w:w="792" w:type="dxa"/>
                  <w:tcBorders>
                    <w:top w:val="single" w:color="auto" w:sz="4" w:space="0"/>
                    <w:left w:val="single" w:color="auto" w:sz="4" w:space="0"/>
                    <w:bottom w:val="single" w:color="auto" w:sz="4" w:space="0"/>
                    <w:right w:val="single" w:color="auto" w:sz="4" w:space="0"/>
                  </w:tcBorders>
                  <w:vAlign w:val="center"/>
                </w:tcPr>
                <w:p w14:paraId="47CBB676">
                  <w:pPr>
                    <w:widowControl w:val="0"/>
                    <w:spacing w:line="240" w:lineRule="auto"/>
                    <w:ind w:firstLine="0" w:firstLineChars="0"/>
                    <w:jc w:val="center"/>
                    <w:rPr>
                      <w:rFonts w:cs="Times New Roman"/>
                      <w:color w:val="auto"/>
                      <w:sz w:val="21"/>
                      <w:szCs w:val="21"/>
                    </w:rPr>
                  </w:pPr>
                  <w:r>
                    <w:rPr>
                      <w:rFonts w:cs="Times New Roman"/>
                      <w:color w:val="auto"/>
                      <w:sz w:val="21"/>
                      <w:szCs w:val="21"/>
                    </w:rPr>
                    <w:t>达标</w:t>
                  </w:r>
                </w:p>
              </w:tc>
            </w:tr>
            <w:tr w14:paraId="40880D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14:paraId="329BD768">
                  <w:pPr>
                    <w:widowControl w:val="0"/>
                    <w:spacing w:line="240" w:lineRule="auto"/>
                    <w:ind w:firstLine="0" w:firstLineChars="0"/>
                    <w:jc w:val="center"/>
                    <w:rPr>
                      <w:rFonts w:cs="Times New Roman"/>
                      <w:color w:val="auto"/>
                      <w:sz w:val="21"/>
                      <w:szCs w:val="21"/>
                    </w:rPr>
                  </w:pPr>
                  <w:r>
                    <w:rPr>
                      <w:rFonts w:cs="Times New Roman"/>
                      <w:color w:val="auto"/>
                      <w:sz w:val="21"/>
                      <w:szCs w:val="21"/>
                    </w:rPr>
                    <w:t>可吸入颗粒物（PM</w:t>
                  </w:r>
                  <w:r>
                    <w:rPr>
                      <w:rFonts w:cs="Times New Roman"/>
                      <w:color w:val="auto"/>
                      <w:sz w:val="21"/>
                      <w:szCs w:val="21"/>
                      <w:vertAlign w:val="subscript"/>
                    </w:rPr>
                    <w:t>10</w:t>
                  </w:r>
                  <w:r>
                    <w:rPr>
                      <w:rFonts w:cs="Times New Roman"/>
                      <w:color w:val="auto"/>
                      <w:sz w:val="21"/>
                      <w:szCs w:val="21"/>
                    </w:rPr>
                    <w:t>）</w:t>
                  </w:r>
                </w:p>
              </w:tc>
              <w:tc>
                <w:tcPr>
                  <w:tcW w:w="1680" w:type="dxa"/>
                  <w:tcBorders>
                    <w:top w:val="single" w:color="auto" w:sz="4" w:space="0"/>
                    <w:left w:val="single" w:color="auto" w:sz="4" w:space="0"/>
                    <w:bottom w:val="single" w:color="auto" w:sz="4" w:space="0"/>
                    <w:right w:val="single" w:color="auto" w:sz="4" w:space="0"/>
                  </w:tcBorders>
                  <w:vAlign w:val="center"/>
                </w:tcPr>
                <w:p w14:paraId="061A98C2">
                  <w:pPr>
                    <w:widowControl w:val="0"/>
                    <w:spacing w:line="240" w:lineRule="auto"/>
                    <w:ind w:firstLine="0" w:firstLineChars="0"/>
                    <w:jc w:val="center"/>
                    <w:rPr>
                      <w:rFonts w:cs="Times New Roman"/>
                      <w:color w:val="auto"/>
                      <w:sz w:val="21"/>
                      <w:szCs w:val="21"/>
                    </w:rPr>
                  </w:pPr>
                  <w:r>
                    <w:rPr>
                      <w:rFonts w:cs="Times New Roman"/>
                      <w:color w:val="auto"/>
                      <w:sz w:val="21"/>
                      <w:szCs w:val="21"/>
                    </w:rPr>
                    <w:t>年平均质量</w:t>
                  </w:r>
                </w:p>
              </w:tc>
              <w:tc>
                <w:tcPr>
                  <w:tcW w:w="1246" w:type="dxa"/>
                  <w:tcBorders>
                    <w:top w:val="single" w:color="auto" w:sz="4" w:space="0"/>
                    <w:left w:val="single" w:color="auto" w:sz="4" w:space="0"/>
                    <w:bottom w:val="single" w:color="auto" w:sz="4" w:space="0"/>
                    <w:right w:val="single" w:color="auto" w:sz="4" w:space="0"/>
                  </w:tcBorders>
                  <w:vAlign w:val="center"/>
                </w:tcPr>
                <w:p w14:paraId="158D29D9">
                  <w:pPr>
                    <w:widowControl w:val="0"/>
                    <w:spacing w:line="240" w:lineRule="auto"/>
                    <w:ind w:firstLine="0" w:firstLineChars="0"/>
                    <w:jc w:val="center"/>
                    <w:rPr>
                      <w:rFonts w:hint="default" w:eastAsia="宋体" w:cs="Times New Roman"/>
                      <w:color w:val="auto"/>
                      <w:kern w:val="2"/>
                      <w:sz w:val="21"/>
                      <w:szCs w:val="21"/>
                      <w:lang w:val="en-US" w:eastAsia="zh-CN"/>
                    </w:rPr>
                  </w:pPr>
                  <w:r>
                    <w:rPr>
                      <w:rFonts w:hint="eastAsia" w:cs="Times New Roman"/>
                      <w:color w:val="auto"/>
                      <w:kern w:val="2"/>
                      <w:sz w:val="21"/>
                      <w:szCs w:val="21"/>
                      <w:lang w:val="en-US" w:eastAsia="zh-CN"/>
                    </w:rPr>
                    <w:t>57</w:t>
                  </w:r>
                </w:p>
              </w:tc>
              <w:tc>
                <w:tcPr>
                  <w:tcW w:w="1097" w:type="dxa"/>
                  <w:tcBorders>
                    <w:top w:val="single" w:color="auto" w:sz="4" w:space="0"/>
                    <w:left w:val="single" w:color="auto" w:sz="4" w:space="0"/>
                    <w:bottom w:val="single" w:color="auto" w:sz="4" w:space="0"/>
                    <w:right w:val="single" w:color="auto" w:sz="4" w:space="0"/>
                  </w:tcBorders>
                  <w:vAlign w:val="center"/>
                </w:tcPr>
                <w:p w14:paraId="252BDD0A">
                  <w:pPr>
                    <w:widowControl w:val="0"/>
                    <w:spacing w:line="240" w:lineRule="auto"/>
                    <w:ind w:firstLine="0" w:firstLineChars="0"/>
                    <w:jc w:val="center"/>
                    <w:rPr>
                      <w:rFonts w:cs="Times New Roman"/>
                      <w:color w:val="auto"/>
                      <w:kern w:val="2"/>
                      <w:sz w:val="21"/>
                      <w:szCs w:val="21"/>
                    </w:rPr>
                  </w:pPr>
                  <w:r>
                    <w:rPr>
                      <w:rFonts w:cs="Times New Roman"/>
                      <w:color w:val="auto"/>
                      <w:sz w:val="21"/>
                      <w:szCs w:val="21"/>
                    </w:rPr>
                    <w:t>70</w:t>
                  </w:r>
                </w:p>
              </w:tc>
              <w:tc>
                <w:tcPr>
                  <w:tcW w:w="1038" w:type="dxa"/>
                  <w:tcBorders>
                    <w:top w:val="single" w:color="auto" w:sz="4" w:space="0"/>
                    <w:left w:val="single" w:color="auto" w:sz="4" w:space="0"/>
                    <w:bottom w:val="single" w:color="auto" w:sz="4" w:space="0"/>
                    <w:right w:val="single" w:color="auto" w:sz="4" w:space="0"/>
                  </w:tcBorders>
                  <w:vAlign w:val="center"/>
                </w:tcPr>
                <w:p w14:paraId="64AE9D34">
                  <w:pPr>
                    <w:widowControl w:val="0"/>
                    <w:spacing w:line="240" w:lineRule="auto"/>
                    <w:ind w:firstLine="0" w:firstLineChars="0"/>
                    <w:jc w:val="center"/>
                    <w:rPr>
                      <w:rFonts w:hint="default" w:eastAsia="宋体" w:cs="Times New Roman"/>
                      <w:color w:val="auto"/>
                      <w:kern w:val="2"/>
                      <w:sz w:val="21"/>
                      <w:szCs w:val="21"/>
                      <w:lang w:val="en-US" w:eastAsia="zh-CN"/>
                    </w:rPr>
                  </w:pPr>
                  <w:r>
                    <w:rPr>
                      <w:rFonts w:hint="eastAsia" w:cs="Times New Roman"/>
                      <w:color w:val="auto"/>
                      <w:kern w:val="2"/>
                      <w:sz w:val="21"/>
                      <w:szCs w:val="21"/>
                      <w:lang w:val="en-US" w:eastAsia="zh-CN"/>
                    </w:rPr>
                    <w:t>81.43</w:t>
                  </w:r>
                </w:p>
              </w:tc>
              <w:tc>
                <w:tcPr>
                  <w:tcW w:w="792" w:type="dxa"/>
                  <w:tcBorders>
                    <w:top w:val="single" w:color="auto" w:sz="4" w:space="0"/>
                    <w:left w:val="single" w:color="auto" w:sz="4" w:space="0"/>
                    <w:bottom w:val="single" w:color="auto" w:sz="4" w:space="0"/>
                    <w:right w:val="single" w:color="auto" w:sz="4" w:space="0"/>
                  </w:tcBorders>
                  <w:vAlign w:val="center"/>
                </w:tcPr>
                <w:p w14:paraId="1834FD69">
                  <w:pPr>
                    <w:widowControl w:val="0"/>
                    <w:spacing w:line="240" w:lineRule="auto"/>
                    <w:ind w:firstLine="0" w:firstLineChars="0"/>
                    <w:jc w:val="center"/>
                    <w:rPr>
                      <w:rFonts w:cs="Times New Roman"/>
                      <w:color w:val="auto"/>
                      <w:sz w:val="21"/>
                      <w:szCs w:val="21"/>
                    </w:rPr>
                  </w:pPr>
                  <w:r>
                    <w:rPr>
                      <w:rFonts w:cs="Times New Roman"/>
                      <w:color w:val="auto"/>
                      <w:sz w:val="21"/>
                      <w:szCs w:val="21"/>
                    </w:rPr>
                    <w:t>达标</w:t>
                  </w:r>
                </w:p>
              </w:tc>
            </w:tr>
            <w:tr w14:paraId="7C2FA8D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14:paraId="29D980A1">
                  <w:pPr>
                    <w:widowControl w:val="0"/>
                    <w:spacing w:line="240" w:lineRule="auto"/>
                    <w:ind w:firstLine="0" w:firstLineChars="0"/>
                    <w:jc w:val="center"/>
                    <w:rPr>
                      <w:rFonts w:cs="Times New Roman"/>
                      <w:color w:val="auto"/>
                      <w:sz w:val="21"/>
                      <w:szCs w:val="21"/>
                    </w:rPr>
                  </w:pPr>
                  <w:r>
                    <w:rPr>
                      <w:rFonts w:cs="Times New Roman"/>
                      <w:color w:val="auto"/>
                      <w:sz w:val="21"/>
                      <w:szCs w:val="21"/>
                    </w:rPr>
                    <w:t>二氧化硫</w:t>
                  </w:r>
                </w:p>
              </w:tc>
              <w:tc>
                <w:tcPr>
                  <w:tcW w:w="1680" w:type="dxa"/>
                  <w:tcBorders>
                    <w:top w:val="single" w:color="auto" w:sz="4" w:space="0"/>
                    <w:left w:val="single" w:color="auto" w:sz="4" w:space="0"/>
                    <w:bottom w:val="single" w:color="auto" w:sz="4" w:space="0"/>
                    <w:right w:val="single" w:color="auto" w:sz="4" w:space="0"/>
                  </w:tcBorders>
                  <w:vAlign w:val="center"/>
                </w:tcPr>
                <w:p w14:paraId="31FF48BF">
                  <w:pPr>
                    <w:widowControl w:val="0"/>
                    <w:spacing w:line="240" w:lineRule="auto"/>
                    <w:ind w:firstLine="0" w:firstLineChars="0"/>
                    <w:jc w:val="center"/>
                    <w:rPr>
                      <w:rFonts w:cs="Times New Roman"/>
                      <w:color w:val="auto"/>
                      <w:sz w:val="21"/>
                      <w:szCs w:val="21"/>
                    </w:rPr>
                  </w:pPr>
                  <w:r>
                    <w:rPr>
                      <w:rFonts w:cs="Times New Roman"/>
                      <w:color w:val="auto"/>
                      <w:sz w:val="21"/>
                      <w:szCs w:val="21"/>
                    </w:rPr>
                    <w:t>年平均质量</w:t>
                  </w:r>
                </w:p>
              </w:tc>
              <w:tc>
                <w:tcPr>
                  <w:tcW w:w="1246" w:type="dxa"/>
                  <w:tcBorders>
                    <w:top w:val="single" w:color="auto" w:sz="4" w:space="0"/>
                    <w:left w:val="single" w:color="auto" w:sz="4" w:space="0"/>
                    <w:bottom w:val="single" w:color="auto" w:sz="4" w:space="0"/>
                    <w:right w:val="single" w:color="auto" w:sz="4" w:space="0"/>
                  </w:tcBorders>
                  <w:vAlign w:val="center"/>
                </w:tcPr>
                <w:p w14:paraId="65B99B78">
                  <w:pPr>
                    <w:widowControl w:val="0"/>
                    <w:spacing w:line="240" w:lineRule="auto"/>
                    <w:ind w:firstLine="0" w:firstLineChars="0"/>
                    <w:jc w:val="center"/>
                    <w:rPr>
                      <w:rFonts w:hint="default" w:eastAsia="宋体" w:cs="Times New Roman"/>
                      <w:color w:val="auto"/>
                      <w:kern w:val="2"/>
                      <w:sz w:val="21"/>
                      <w:szCs w:val="21"/>
                      <w:lang w:val="en-US" w:eastAsia="zh-CN"/>
                    </w:rPr>
                  </w:pPr>
                  <w:r>
                    <w:rPr>
                      <w:rFonts w:hint="eastAsia" w:cs="Times New Roman"/>
                      <w:color w:val="auto"/>
                      <w:sz w:val="21"/>
                      <w:szCs w:val="21"/>
                      <w:lang w:val="en-US" w:eastAsia="zh-CN"/>
                    </w:rPr>
                    <w:t>10</w:t>
                  </w:r>
                </w:p>
              </w:tc>
              <w:tc>
                <w:tcPr>
                  <w:tcW w:w="1097" w:type="dxa"/>
                  <w:tcBorders>
                    <w:top w:val="single" w:color="auto" w:sz="4" w:space="0"/>
                    <w:left w:val="single" w:color="auto" w:sz="4" w:space="0"/>
                    <w:bottom w:val="single" w:color="auto" w:sz="4" w:space="0"/>
                    <w:right w:val="single" w:color="auto" w:sz="4" w:space="0"/>
                  </w:tcBorders>
                  <w:vAlign w:val="center"/>
                </w:tcPr>
                <w:p w14:paraId="677DCB45">
                  <w:pPr>
                    <w:widowControl w:val="0"/>
                    <w:spacing w:line="240" w:lineRule="auto"/>
                    <w:ind w:firstLine="0" w:firstLineChars="0"/>
                    <w:jc w:val="center"/>
                    <w:rPr>
                      <w:rFonts w:cs="Times New Roman"/>
                      <w:color w:val="auto"/>
                      <w:kern w:val="2"/>
                      <w:sz w:val="21"/>
                      <w:szCs w:val="21"/>
                    </w:rPr>
                  </w:pPr>
                  <w:r>
                    <w:rPr>
                      <w:rFonts w:cs="Times New Roman"/>
                      <w:color w:val="auto"/>
                      <w:sz w:val="21"/>
                      <w:szCs w:val="21"/>
                    </w:rPr>
                    <w:t>60</w:t>
                  </w:r>
                </w:p>
              </w:tc>
              <w:tc>
                <w:tcPr>
                  <w:tcW w:w="1038" w:type="dxa"/>
                  <w:tcBorders>
                    <w:top w:val="single" w:color="auto" w:sz="4" w:space="0"/>
                    <w:left w:val="single" w:color="auto" w:sz="4" w:space="0"/>
                    <w:bottom w:val="single" w:color="auto" w:sz="4" w:space="0"/>
                    <w:right w:val="single" w:color="auto" w:sz="4" w:space="0"/>
                  </w:tcBorders>
                  <w:vAlign w:val="center"/>
                </w:tcPr>
                <w:p w14:paraId="03CAC7C7">
                  <w:pPr>
                    <w:widowControl w:val="0"/>
                    <w:spacing w:line="240" w:lineRule="auto"/>
                    <w:ind w:firstLine="0" w:firstLineChars="0"/>
                    <w:jc w:val="center"/>
                    <w:rPr>
                      <w:rFonts w:hint="default" w:eastAsia="宋体" w:cs="Times New Roman"/>
                      <w:color w:val="auto"/>
                      <w:kern w:val="2"/>
                      <w:sz w:val="21"/>
                      <w:szCs w:val="21"/>
                      <w:lang w:val="en-US" w:eastAsia="zh-CN"/>
                    </w:rPr>
                  </w:pPr>
                  <w:r>
                    <w:rPr>
                      <w:rFonts w:hint="eastAsia" w:cs="Times New Roman"/>
                      <w:color w:val="auto"/>
                      <w:kern w:val="2"/>
                      <w:sz w:val="21"/>
                      <w:szCs w:val="21"/>
                      <w:lang w:val="en-US" w:eastAsia="zh-CN"/>
                    </w:rPr>
                    <w:t>16.67</w:t>
                  </w:r>
                </w:p>
              </w:tc>
              <w:tc>
                <w:tcPr>
                  <w:tcW w:w="792" w:type="dxa"/>
                  <w:tcBorders>
                    <w:top w:val="single" w:color="auto" w:sz="4" w:space="0"/>
                    <w:left w:val="single" w:color="auto" w:sz="4" w:space="0"/>
                    <w:bottom w:val="single" w:color="auto" w:sz="4" w:space="0"/>
                    <w:right w:val="single" w:color="auto" w:sz="4" w:space="0"/>
                  </w:tcBorders>
                  <w:vAlign w:val="center"/>
                </w:tcPr>
                <w:p w14:paraId="6BB174CA">
                  <w:pPr>
                    <w:widowControl w:val="0"/>
                    <w:spacing w:line="240" w:lineRule="auto"/>
                    <w:ind w:firstLine="0" w:firstLineChars="0"/>
                    <w:jc w:val="center"/>
                    <w:rPr>
                      <w:rFonts w:cs="Times New Roman"/>
                      <w:color w:val="auto"/>
                      <w:sz w:val="21"/>
                      <w:szCs w:val="21"/>
                    </w:rPr>
                  </w:pPr>
                  <w:r>
                    <w:rPr>
                      <w:rFonts w:cs="Times New Roman"/>
                      <w:color w:val="auto"/>
                      <w:sz w:val="21"/>
                      <w:szCs w:val="21"/>
                    </w:rPr>
                    <w:t>达标</w:t>
                  </w:r>
                </w:p>
              </w:tc>
            </w:tr>
            <w:tr w14:paraId="2693989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14:paraId="091A8426">
                  <w:pPr>
                    <w:widowControl w:val="0"/>
                    <w:spacing w:line="240" w:lineRule="auto"/>
                    <w:ind w:firstLine="0" w:firstLineChars="0"/>
                    <w:jc w:val="center"/>
                    <w:rPr>
                      <w:rFonts w:cs="Times New Roman"/>
                      <w:color w:val="auto"/>
                      <w:sz w:val="21"/>
                      <w:szCs w:val="21"/>
                    </w:rPr>
                  </w:pPr>
                  <w:r>
                    <w:rPr>
                      <w:rFonts w:cs="Times New Roman"/>
                      <w:color w:val="auto"/>
                      <w:sz w:val="21"/>
                      <w:szCs w:val="21"/>
                    </w:rPr>
                    <w:t>二氧化氮</w:t>
                  </w:r>
                </w:p>
              </w:tc>
              <w:tc>
                <w:tcPr>
                  <w:tcW w:w="1680" w:type="dxa"/>
                  <w:tcBorders>
                    <w:top w:val="single" w:color="auto" w:sz="4" w:space="0"/>
                    <w:left w:val="single" w:color="auto" w:sz="4" w:space="0"/>
                    <w:bottom w:val="single" w:color="auto" w:sz="4" w:space="0"/>
                    <w:right w:val="single" w:color="auto" w:sz="4" w:space="0"/>
                  </w:tcBorders>
                  <w:vAlign w:val="center"/>
                </w:tcPr>
                <w:p w14:paraId="6A8F3180">
                  <w:pPr>
                    <w:widowControl w:val="0"/>
                    <w:spacing w:line="240" w:lineRule="auto"/>
                    <w:ind w:firstLine="0" w:firstLineChars="0"/>
                    <w:jc w:val="center"/>
                    <w:rPr>
                      <w:rFonts w:cs="Times New Roman"/>
                      <w:color w:val="auto"/>
                      <w:sz w:val="21"/>
                      <w:szCs w:val="21"/>
                    </w:rPr>
                  </w:pPr>
                  <w:r>
                    <w:rPr>
                      <w:rFonts w:cs="Times New Roman"/>
                      <w:color w:val="auto"/>
                      <w:sz w:val="21"/>
                      <w:szCs w:val="21"/>
                    </w:rPr>
                    <w:t>年平均质量</w:t>
                  </w:r>
                </w:p>
              </w:tc>
              <w:tc>
                <w:tcPr>
                  <w:tcW w:w="1246" w:type="dxa"/>
                  <w:tcBorders>
                    <w:top w:val="single" w:color="auto" w:sz="4" w:space="0"/>
                    <w:left w:val="single" w:color="auto" w:sz="4" w:space="0"/>
                    <w:bottom w:val="single" w:color="auto" w:sz="4" w:space="0"/>
                    <w:right w:val="single" w:color="auto" w:sz="4" w:space="0"/>
                  </w:tcBorders>
                  <w:vAlign w:val="center"/>
                </w:tcPr>
                <w:p w14:paraId="34A0965B">
                  <w:pPr>
                    <w:widowControl w:val="0"/>
                    <w:spacing w:line="240" w:lineRule="auto"/>
                    <w:ind w:firstLine="0" w:firstLineChars="0"/>
                    <w:jc w:val="center"/>
                    <w:rPr>
                      <w:rFonts w:hint="default" w:eastAsia="宋体" w:cs="Times New Roman"/>
                      <w:color w:val="auto"/>
                      <w:kern w:val="2"/>
                      <w:sz w:val="21"/>
                      <w:szCs w:val="21"/>
                      <w:lang w:val="en-US" w:eastAsia="zh-CN"/>
                    </w:rPr>
                  </w:pPr>
                  <w:r>
                    <w:rPr>
                      <w:rFonts w:hint="eastAsia" w:cs="Times New Roman"/>
                      <w:color w:val="auto"/>
                      <w:kern w:val="2"/>
                      <w:sz w:val="21"/>
                      <w:szCs w:val="21"/>
                      <w:lang w:val="en-US" w:eastAsia="zh-CN"/>
                    </w:rPr>
                    <w:t>18</w:t>
                  </w:r>
                </w:p>
              </w:tc>
              <w:tc>
                <w:tcPr>
                  <w:tcW w:w="1097" w:type="dxa"/>
                  <w:tcBorders>
                    <w:top w:val="single" w:color="auto" w:sz="4" w:space="0"/>
                    <w:left w:val="single" w:color="auto" w:sz="4" w:space="0"/>
                    <w:bottom w:val="single" w:color="auto" w:sz="4" w:space="0"/>
                    <w:right w:val="single" w:color="auto" w:sz="4" w:space="0"/>
                  </w:tcBorders>
                  <w:vAlign w:val="center"/>
                </w:tcPr>
                <w:p w14:paraId="4887C61E">
                  <w:pPr>
                    <w:widowControl w:val="0"/>
                    <w:spacing w:line="240" w:lineRule="auto"/>
                    <w:ind w:firstLine="0" w:firstLineChars="0"/>
                    <w:jc w:val="center"/>
                    <w:rPr>
                      <w:rFonts w:cs="Times New Roman"/>
                      <w:color w:val="auto"/>
                      <w:kern w:val="2"/>
                      <w:sz w:val="21"/>
                      <w:szCs w:val="21"/>
                    </w:rPr>
                  </w:pPr>
                  <w:r>
                    <w:rPr>
                      <w:rFonts w:cs="Times New Roman"/>
                      <w:color w:val="auto"/>
                      <w:sz w:val="21"/>
                      <w:szCs w:val="21"/>
                    </w:rPr>
                    <w:t>40</w:t>
                  </w:r>
                </w:p>
              </w:tc>
              <w:tc>
                <w:tcPr>
                  <w:tcW w:w="1038" w:type="dxa"/>
                  <w:tcBorders>
                    <w:top w:val="single" w:color="auto" w:sz="4" w:space="0"/>
                    <w:left w:val="single" w:color="auto" w:sz="4" w:space="0"/>
                    <w:bottom w:val="single" w:color="auto" w:sz="4" w:space="0"/>
                    <w:right w:val="single" w:color="auto" w:sz="4" w:space="0"/>
                  </w:tcBorders>
                  <w:vAlign w:val="center"/>
                </w:tcPr>
                <w:p w14:paraId="62932979">
                  <w:pPr>
                    <w:widowControl w:val="0"/>
                    <w:spacing w:line="240" w:lineRule="auto"/>
                    <w:ind w:firstLine="0" w:firstLineChars="0"/>
                    <w:jc w:val="center"/>
                    <w:rPr>
                      <w:rFonts w:hint="default" w:eastAsia="宋体" w:cs="Times New Roman"/>
                      <w:color w:val="auto"/>
                      <w:kern w:val="2"/>
                      <w:sz w:val="21"/>
                      <w:szCs w:val="21"/>
                      <w:lang w:val="en-US" w:eastAsia="zh-CN"/>
                    </w:rPr>
                  </w:pPr>
                  <w:r>
                    <w:rPr>
                      <w:rFonts w:hint="eastAsia" w:cs="Times New Roman"/>
                      <w:color w:val="auto"/>
                      <w:kern w:val="2"/>
                      <w:sz w:val="21"/>
                      <w:szCs w:val="21"/>
                      <w:lang w:val="en-US" w:eastAsia="zh-CN"/>
                    </w:rPr>
                    <w:t>45</w:t>
                  </w:r>
                </w:p>
              </w:tc>
              <w:tc>
                <w:tcPr>
                  <w:tcW w:w="792" w:type="dxa"/>
                  <w:tcBorders>
                    <w:top w:val="single" w:color="auto" w:sz="4" w:space="0"/>
                    <w:left w:val="single" w:color="auto" w:sz="4" w:space="0"/>
                    <w:bottom w:val="single" w:color="auto" w:sz="4" w:space="0"/>
                    <w:right w:val="single" w:color="auto" w:sz="4" w:space="0"/>
                  </w:tcBorders>
                  <w:vAlign w:val="center"/>
                </w:tcPr>
                <w:p w14:paraId="501A2BB4">
                  <w:pPr>
                    <w:widowControl w:val="0"/>
                    <w:spacing w:line="240" w:lineRule="auto"/>
                    <w:ind w:firstLine="0" w:firstLineChars="0"/>
                    <w:jc w:val="center"/>
                    <w:rPr>
                      <w:rFonts w:cs="Times New Roman"/>
                      <w:color w:val="auto"/>
                      <w:sz w:val="21"/>
                      <w:szCs w:val="21"/>
                    </w:rPr>
                  </w:pPr>
                  <w:r>
                    <w:rPr>
                      <w:rFonts w:cs="Times New Roman"/>
                      <w:color w:val="auto"/>
                      <w:sz w:val="21"/>
                      <w:szCs w:val="21"/>
                    </w:rPr>
                    <w:t>达标</w:t>
                  </w:r>
                </w:p>
              </w:tc>
            </w:tr>
            <w:tr w14:paraId="664BEB2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14:paraId="68476F58">
                  <w:pPr>
                    <w:widowControl w:val="0"/>
                    <w:spacing w:line="240" w:lineRule="auto"/>
                    <w:ind w:firstLine="0" w:firstLineChars="0"/>
                    <w:jc w:val="center"/>
                    <w:rPr>
                      <w:rFonts w:cs="Times New Roman"/>
                      <w:color w:val="auto"/>
                      <w:sz w:val="21"/>
                      <w:szCs w:val="21"/>
                    </w:rPr>
                  </w:pPr>
                  <w:r>
                    <w:rPr>
                      <w:rFonts w:cs="Times New Roman"/>
                      <w:color w:val="auto"/>
                      <w:sz w:val="21"/>
                      <w:szCs w:val="21"/>
                    </w:rPr>
                    <w:t>一氧化碳</w:t>
                  </w:r>
                </w:p>
              </w:tc>
              <w:tc>
                <w:tcPr>
                  <w:tcW w:w="1680" w:type="dxa"/>
                  <w:tcBorders>
                    <w:top w:val="single" w:color="auto" w:sz="4" w:space="0"/>
                    <w:left w:val="single" w:color="auto" w:sz="4" w:space="0"/>
                    <w:bottom w:val="single" w:color="auto" w:sz="4" w:space="0"/>
                    <w:right w:val="single" w:color="auto" w:sz="4" w:space="0"/>
                  </w:tcBorders>
                  <w:vAlign w:val="center"/>
                </w:tcPr>
                <w:p w14:paraId="56C3944B">
                  <w:pPr>
                    <w:widowControl w:val="0"/>
                    <w:spacing w:line="240" w:lineRule="auto"/>
                    <w:ind w:firstLine="0" w:firstLineChars="0"/>
                    <w:jc w:val="center"/>
                    <w:rPr>
                      <w:rFonts w:cs="Times New Roman"/>
                      <w:color w:val="auto"/>
                      <w:sz w:val="21"/>
                      <w:szCs w:val="21"/>
                    </w:rPr>
                  </w:pPr>
                  <w:r>
                    <w:rPr>
                      <w:rFonts w:cs="Times New Roman"/>
                      <w:color w:val="auto"/>
                      <w:sz w:val="21"/>
                      <w:szCs w:val="21"/>
                    </w:rPr>
                    <w:t>日平均浓度</w:t>
                  </w:r>
                </w:p>
              </w:tc>
              <w:tc>
                <w:tcPr>
                  <w:tcW w:w="1246" w:type="dxa"/>
                  <w:tcBorders>
                    <w:top w:val="single" w:color="auto" w:sz="4" w:space="0"/>
                    <w:left w:val="single" w:color="auto" w:sz="4" w:space="0"/>
                    <w:bottom w:val="single" w:color="auto" w:sz="4" w:space="0"/>
                    <w:right w:val="single" w:color="auto" w:sz="4" w:space="0"/>
                  </w:tcBorders>
                  <w:vAlign w:val="center"/>
                </w:tcPr>
                <w:p w14:paraId="64607EC1">
                  <w:pPr>
                    <w:widowControl w:val="0"/>
                    <w:spacing w:line="240" w:lineRule="auto"/>
                    <w:ind w:firstLine="0" w:firstLineChars="0"/>
                    <w:jc w:val="center"/>
                    <w:rPr>
                      <w:rFonts w:hint="default" w:eastAsia="宋体" w:cs="Times New Roman"/>
                      <w:color w:val="auto"/>
                      <w:kern w:val="2"/>
                      <w:sz w:val="21"/>
                      <w:szCs w:val="21"/>
                      <w:lang w:val="en-US" w:eastAsia="zh-CN"/>
                    </w:rPr>
                  </w:pPr>
                  <w:r>
                    <w:rPr>
                      <w:rFonts w:hint="eastAsia" w:cs="Times New Roman"/>
                      <w:color w:val="auto"/>
                      <w:sz w:val="21"/>
                      <w:szCs w:val="21"/>
                      <w:lang w:val="en-US" w:eastAsia="zh-CN"/>
                    </w:rPr>
                    <w:t>1100</w:t>
                  </w:r>
                </w:p>
              </w:tc>
              <w:tc>
                <w:tcPr>
                  <w:tcW w:w="1097" w:type="dxa"/>
                  <w:tcBorders>
                    <w:top w:val="single" w:color="auto" w:sz="4" w:space="0"/>
                    <w:left w:val="single" w:color="auto" w:sz="4" w:space="0"/>
                    <w:bottom w:val="single" w:color="auto" w:sz="4" w:space="0"/>
                    <w:right w:val="single" w:color="auto" w:sz="4" w:space="0"/>
                  </w:tcBorders>
                  <w:vAlign w:val="center"/>
                </w:tcPr>
                <w:p w14:paraId="708C7499">
                  <w:pPr>
                    <w:widowControl w:val="0"/>
                    <w:spacing w:line="240" w:lineRule="auto"/>
                    <w:ind w:firstLine="0" w:firstLineChars="0"/>
                    <w:jc w:val="center"/>
                    <w:rPr>
                      <w:rFonts w:cs="Times New Roman"/>
                      <w:color w:val="auto"/>
                      <w:kern w:val="2"/>
                      <w:sz w:val="21"/>
                      <w:szCs w:val="21"/>
                    </w:rPr>
                  </w:pPr>
                  <w:r>
                    <w:rPr>
                      <w:rFonts w:cs="Times New Roman"/>
                      <w:color w:val="auto"/>
                      <w:sz w:val="21"/>
                      <w:szCs w:val="21"/>
                    </w:rPr>
                    <w:t>4000</w:t>
                  </w:r>
                </w:p>
              </w:tc>
              <w:tc>
                <w:tcPr>
                  <w:tcW w:w="1038" w:type="dxa"/>
                  <w:tcBorders>
                    <w:top w:val="single" w:color="auto" w:sz="4" w:space="0"/>
                    <w:left w:val="single" w:color="auto" w:sz="4" w:space="0"/>
                    <w:bottom w:val="single" w:color="auto" w:sz="4" w:space="0"/>
                    <w:right w:val="single" w:color="auto" w:sz="4" w:space="0"/>
                  </w:tcBorders>
                  <w:vAlign w:val="center"/>
                </w:tcPr>
                <w:p w14:paraId="3EBFD6F2">
                  <w:pPr>
                    <w:widowControl w:val="0"/>
                    <w:spacing w:line="240" w:lineRule="auto"/>
                    <w:ind w:firstLine="0" w:firstLineChars="0"/>
                    <w:jc w:val="center"/>
                    <w:rPr>
                      <w:rFonts w:hint="default" w:eastAsia="宋体" w:cs="Times New Roman"/>
                      <w:color w:val="auto"/>
                      <w:sz w:val="21"/>
                      <w:szCs w:val="21"/>
                      <w:lang w:val="en-US" w:eastAsia="zh-CN"/>
                    </w:rPr>
                  </w:pPr>
                  <w:r>
                    <w:rPr>
                      <w:rFonts w:hint="eastAsia" w:cs="Times New Roman"/>
                      <w:color w:val="auto"/>
                      <w:sz w:val="21"/>
                      <w:szCs w:val="21"/>
                      <w:lang w:val="en-US" w:eastAsia="zh-CN"/>
                    </w:rPr>
                    <w:t>27.5</w:t>
                  </w:r>
                </w:p>
              </w:tc>
              <w:tc>
                <w:tcPr>
                  <w:tcW w:w="792" w:type="dxa"/>
                  <w:tcBorders>
                    <w:top w:val="single" w:color="auto" w:sz="4" w:space="0"/>
                    <w:left w:val="single" w:color="auto" w:sz="4" w:space="0"/>
                    <w:bottom w:val="single" w:color="auto" w:sz="4" w:space="0"/>
                    <w:right w:val="single" w:color="auto" w:sz="4" w:space="0"/>
                  </w:tcBorders>
                  <w:vAlign w:val="center"/>
                </w:tcPr>
                <w:p w14:paraId="06789973">
                  <w:pPr>
                    <w:widowControl w:val="0"/>
                    <w:spacing w:line="240" w:lineRule="auto"/>
                    <w:ind w:firstLine="0" w:firstLineChars="0"/>
                    <w:jc w:val="center"/>
                    <w:rPr>
                      <w:rFonts w:cs="Times New Roman"/>
                      <w:color w:val="auto"/>
                      <w:sz w:val="21"/>
                      <w:szCs w:val="21"/>
                    </w:rPr>
                  </w:pPr>
                  <w:r>
                    <w:rPr>
                      <w:rFonts w:cs="Times New Roman"/>
                      <w:color w:val="auto"/>
                      <w:sz w:val="21"/>
                      <w:szCs w:val="21"/>
                    </w:rPr>
                    <w:t>达标</w:t>
                  </w:r>
                </w:p>
              </w:tc>
            </w:tr>
            <w:tr w14:paraId="4CA9A5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14:paraId="5D7E71D7">
                  <w:pPr>
                    <w:widowControl w:val="0"/>
                    <w:spacing w:line="240" w:lineRule="auto"/>
                    <w:ind w:firstLine="0" w:firstLineChars="0"/>
                    <w:jc w:val="center"/>
                    <w:rPr>
                      <w:rFonts w:cs="Times New Roman"/>
                      <w:color w:val="auto"/>
                      <w:sz w:val="21"/>
                      <w:szCs w:val="21"/>
                    </w:rPr>
                  </w:pPr>
                  <w:r>
                    <w:rPr>
                      <w:rFonts w:cs="Times New Roman"/>
                      <w:color w:val="auto"/>
                      <w:sz w:val="21"/>
                      <w:szCs w:val="21"/>
                    </w:rPr>
                    <w:t>臭氧</w:t>
                  </w:r>
                </w:p>
              </w:tc>
              <w:tc>
                <w:tcPr>
                  <w:tcW w:w="1680" w:type="dxa"/>
                  <w:tcBorders>
                    <w:top w:val="single" w:color="auto" w:sz="4" w:space="0"/>
                    <w:left w:val="single" w:color="auto" w:sz="4" w:space="0"/>
                    <w:bottom w:val="single" w:color="auto" w:sz="4" w:space="0"/>
                    <w:right w:val="single" w:color="auto" w:sz="4" w:space="0"/>
                  </w:tcBorders>
                  <w:vAlign w:val="center"/>
                </w:tcPr>
                <w:p w14:paraId="440E243E">
                  <w:pPr>
                    <w:widowControl w:val="0"/>
                    <w:spacing w:line="240" w:lineRule="auto"/>
                    <w:ind w:firstLine="0" w:firstLineChars="0"/>
                    <w:jc w:val="center"/>
                    <w:rPr>
                      <w:rFonts w:cs="Times New Roman"/>
                      <w:color w:val="auto"/>
                      <w:sz w:val="21"/>
                      <w:szCs w:val="21"/>
                    </w:rPr>
                  </w:pPr>
                  <w:r>
                    <w:rPr>
                      <w:rFonts w:cs="Times New Roman"/>
                      <w:color w:val="auto"/>
                      <w:sz w:val="21"/>
                      <w:szCs w:val="21"/>
                    </w:rPr>
                    <w:t>8小时平均浓度</w:t>
                  </w:r>
                </w:p>
              </w:tc>
              <w:tc>
                <w:tcPr>
                  <w:tcW w:w="1246" w:type="dxa"/>
                  <w:tcBorders>
                    <w:top w:val="single" w:color="auto" w:sz="4" w:space="0"/>
                    <w:left w:val="single" w:color="auto" w:sz="4" w:space="0"/>
                    <w:bottom w:val="single" w:color="auto" w:sz="4" w:space="0"/>
                    <w:right w:val="single" w:color="auto" w:sz="4" w:space="0"/>
                  </w:tcBorders>
                  <w:vAlign w:val="center"/>
                </w:tcPr>
                <w:p w14:paraId="15389F3C">
                  <w:pPr>
                    <w:widowControl w:val="0"/>
                    <w:spacing w:line="240" w:lineRule="auto"/>
                    <w:ind w:firstLine="0" w:firstLineChars="0"/>
                    <w:jc w:val="center"/>
                    <w:rPr>
                      <w:rFonts w:hint="default" w:eastAsia="宋体" w:cs="Times New Roman"/>
                      <w:color w:val="auto"/>
                      <w:kern w:val="2"/>
                      <w:sz w:val="21"/>
                      <w:szCs w:val="21"/>
                      <w:lang w:val="en-US" w:eastAsia="zh-CN"/>
                    </w:rPr>
                  </w:pPr>
                  <w:r>
                    <w:rPr>
                      <w:rFonts w:hint="eastAsia" w:cs="Times New Roman"/>
                      <w:color w:val="auto"/>
                      <w:sz w:val="21"/>
                      <w:szCs w:val="21"/>
                      <w:lang w:val="en-US" w:eastAsia="zh-CN"/>
                    </w:rPr>
                    <w:t>132</w:t>
                  </w:r>
                </w:p>
              </w:tc>
              <w:tc>
                <w:tcPr>
                  <w:tcW w:w="1097" w:type="dxa"/>
                  <w:tcBorders>
                    <w:top w:val="single" w:color="auto" w:sz="4" w:space="0"/>
                    <w:left w:val="single" w:color="auto" w:sz="4" w:space="0"/>
                    <w:bottom w:val="single" w:color="auto" w:sz="4" w:space="0"/>
                    <w:right w:val="single" w:color="auto" w:sz="4" w:space="0"/>
                  </w:tcBorders>
                  <w:vAlign w:val="center"/>
                </w:tcPr>
                <w:p w14:paraId="4BE10FA1">
                  <w:pPr>
                    <w:widowControl w:val="0"/>
                    <w:spacing w:line="240" w:lineRule="auto"/>
                    <w:ind w:firstLine="0" w:firstLineChars="0"/>
                    <w:jc w:val="center"/>
                    <w:rPr>
                      <w:rFonts w:cs="Times New Roman"/>
                      <w:color w:val="auto"/>
                      <w:kern w:val="2"/>
                      <w:sz w:val="21"/>
                      <w:szCs w:val="21"/>
                    </w:rPr>
                  </w:pPr>
                  <w:r>
                    <w:rPr>
                      <w:rFonts w:cs="Times New Roman"/>
                      <w:color w:val="auto"/>
                      <w:sz w:val="21"/>
                      <w:szCs w:val="21"/>
                    </w:rPr>
                    <w:t>160</w:t>
                  </w:r>
                </w:p>
              </w:tc>
              <w:tc>
                <w:tcPr>
                  <w:tcW w:w="1038" w:type="dxa"/>
                  <w:tcBorders>
                    <w:top w:val="single" w:color="auto" w:sz="4" w:space="0"/>
                    <w:left w:val="single" w:color="auto" w:sz="4" w:space="0"/>
                    <w:bottom w:val="single" w:color="auto" w:sz="4" w:space="0"/>
                    <w:right w:val="single" w:color="auto" w:sz="4" w:space="0"/>
                  </w:tcBorders>
                  <w:vAlign w:val="center"/>
                </w:tcPr>
                <w:p w14:paraId="642D9E92">
                  <w:pPr>
                    <w:widowControl w:val="0"/>
                    <w:spacing w:line="240" w:lineRule="auto"/>
                    <w:ind w:firstLine="0" w:firstLineChars="0"/>
                    <w:jc w:val="center"/>
                    <w:rPr>
                      <w:rFonts w:hint="default" w:eastAsia="宋体" w:cs="Times New Roman"/>
                      <w:color w:val="auto"/>
                      <w:kern w:val="2"/>
                      <w:sz w:val="21"/>
                      <w:szCs w:val="21"/>
                      <w:lang w:val="en-US" w:eastAsia="zh-CN"/>
                    </w:rPr>
                  </w:pPr>
                  <w:r>
                    <w:rPr>
                      <w:rFonts w:hint="eastAsia" w:cs="Times New Roman"/>
                      <w:color w:val="auto"/>
                      <w:kern w:val="2"/>
                      <w:sz w:val="21"/>
                      <w:szCs w:val="21"/>
                      <w:lang w:val="en-US" w:eastAsia="zh-CN"/>
                    </w:rPr>
                    <w:t>82.5</w:t>
                  </w:r>
                </w:p>
              </w:tc>
              <w:tc>
                <w:tcPr>
                  <w:tcW w:w="792" w:type="dxa"/>
                  <w:tcBorders>
                    <w:top w:val="single" w:color="auto" w:sz="4" w:space="0"/>
                    <w:left w:val="single" w:color="auto" w:sz="4" w:space="0"/>
                    <w:bottom w:val="single" w:color="auto" w:sz="4" w:space="0"/>
                    <w:right w:val="single" w:color="auto" w:sz="4" w:space="0"/>
                  </w:tcBorders>
                  <w:vAlign w:val="center"/>
                </w:tcPr>
                <w:p w14:paraId="4001A64F">
                  <w:pPr>
                    <w:widowControl w:val="0"/>
                    <w:spacing w:line="240" w:lineRule="auto"/>
                    <w:ind w:firstLine="0" w:firstLineChars="0"/>
                    <w:jc w:val="center"/>
                    <w:rPr>
                      <w:rFonts w:cs="Times New Roman"/>
                      <w:color w:val="auto"/>
                      <w:sz w:val="21"/>
                      <w:szCs w:val="21"/>
                    </w:rPr>
                  </w:pPr>
                  <w:r>
                    <w:rPr>
                      <w:rFonts w:cs="Times New Roman"/>
                      <w:color w:val="auto"/>
                      <w:sz w:val="21"/>
                      <w:szCs w:val="21"/>
                    </w:rPr>
                    <w:t>达标</w:t>
                  </w:r>
                </w:p>
              </w:tc>
            </w:tr>
          </w:tbl>
          <w:p w14:paraId="7D06E7D0">
            <w:pPr>
              <w:ind w:firstLine="480"/>
              <w:rPr>
                <w:rFonts w:cs="Times New Roman"/>
                <w:color w:val="auto"/>
              </w:rPr>
            </w:pPr>
            <w:r>
              <w:rPr>
                <w:rFonts w:cs="Times New Roman"/>
                <w:color w:val="auto"/>
              </w:rPr>
              <w:t>从上表可以看出，巴彦淖尔市</w:t>
            </w:r>
            <w:r>
              <w:rPr>
                <w:rFonts w:hint="eastAsia" w:cs="Times New Roman"/>
                <w:color w:val="auto"/>
                <w:lang w:val="en-US" w:eastAsia="zh-CN"/>
              </w:rPr>
              <w:t>巴彦高勒镇</w:t>
            </w:r>
            <w:r>
              <w:rPr>
                <w:rFonts w:cs="Times New Roman"/>
                <w:color w:val="auto"/>
              </w:rPr>
              <w:t>20</w:t>
            </w:r>
            <w:r>
              <w:rPr>
                <w:rFonts w:hint="eastAsia" w:cs="Times New Roman"/>
                <w:color w:val="auto"/>
                <w:lang w:val="en-US" w:eastAsia="zh-CN"/>
              </w:rPr>
              <w:t>24</w:t>
            </w:r>
            <w:r>
              <w:rPr>
                <w:rFonts w:cs="Times New Roman"/>
                <w:color w:val="auto"/>
              </w:rPr>
              <w:t>年大气环境中6项污染物中SO</w:t>
            </w:r>
            <w:r>
              <w:rPr>
                <w:rFonts w:cs="Times New Roman"/>
                <w:color w:val="auto"/>
                <w:vertAlign w:val="subscript"/>
              </w:rPr>
              <w:t>2</w:t>
            </w:r>
            <w:r>
              <w:rPr>
                <w:rFonts w:cs="Times New Roman"/>
                <w:color w:val="auto"/>
              </w:rPr>
              <w:t>、NO</w:t>
            </w:r>
            <w:r>
              <w:rPr>
                <w:rFonts w:cs="Times New Roman"/>
                <w:color w:val="auto"/>
                <w:vertAlign w:val="subscript"/>
              </w:rPr>
              <w:t>2</w:t>
            </w:r>
            <w:r>
              <w:rPr>
                <w:rFonts w:cs="Times New Roman"/>
                <w:color w:val="auto"/>
              </w:rPr>
              <w:t>、PM</w:t>
            </w:r>
            <w:r>
              <w:rPr>
                <w:rFonts w:cs="Times New Roman"/>
                <w:color w:val="auto"/>
                <w:vertAlign w:val="subscript"/>
              </w:rPr>
              <w:t>10</w:t>
            </w:r>
            <w:r>
              <w:rPr>
                <w:rFonts w:cs="Times New Roman"/>
                <w:color w:val="auto"/>
              </w:rPr>
              <w:t>、PM</w:t>
            </w:r>
            <w:r>
              <w:rPr>
                <w:rFonts w:cs="Times New Roman"/>
                <w:color w:val="auto"/>
                <w:vertAlign w:val="subscript"/>
              </w:rPr>
              <w:t>2.5</w:t>
            </w:r>
            <w:r>
              <w:rPr>
                <w:rFonts w:cs="Times New Roman"/>
                <w:color w:val="auto"/>
              </w:rPr>
              <w:t>、CO和O</w:t>
            </w:r>
            <w:r>
              <w:rPr>
                <w:rFonts w:cs="Times New Roman"/>
                <w:color w:val="auto"/>
                <w:vertAlign w:val="subscript"/>
              </w:rPr>
              <w:t>3</w:t>
            </w:r>
            <w:r>
              <w:rPr>
                <w:rFonts w:cs="Times New Roman"/>
                <w:color w:val="auto"/>
              </w:rPr>
              <w:t>质量浓度均满足《环境空气质量标准》（GB3095-2012）二级标准限值，由此可判断</w:t>
            </w:r>
            <w:r>
              <w:rPr>
                <w:rFonts w:hint="eastAsia" w:cs="Times New Roman"/>
                <w:color w:val="auto"/>
                <w:lang w:val="en-US" w:eastAsia="zh-CN"/>
              </w:rPr>
              <w:t>巴彦高勒镇</w:t>
            </w:r>
            <w:r>
              <w:rPr>
                <w:rFonts w:cs="Times New Roman"/>
                <w:color w:val="auto"/>
              </w:rPr>
              <w:t>为达标区。</w:t>
            </w:r>
          </w:p>
          <w:p w14:paraId="2729E3FC">
            <w:pPr>
              <w:ind w:firstLine="480"/>
              <w:rPr>
                <w:rFonts w:cs="Times New Roman"/>
                <w:color w:val="auto"/>
              </w:rPr>
            </w:pPr>
            <w:r>
              <w:rPr>
                <w:rFonts w:cs="Times New Roman"/>
                <w:color w:val="auto"/>
              </w:rPr>
              <w:t>（2）其他污染物环境质量现状</w:t>
            </w:r>
          </w:p>
          <w:p w14:paraId="2738E746">
            <w:pPr>
              <w:ind w:firstLine="480"/>
              <w:rPr>
                <w:rFonts w:hint="eastAsia" w:cs="Times New Roman"/>
                <w:color w:val="auto"/>
                <w:lang w:val="en-US" w:eastAsia="zh-CN"/>
              </w:rPr>
            </w:pPr>
            <w:r>
              <w:rPr>
                <w:rFonts w:cs="Times New Roman"/>
                <w:color w:val="auto"/>
              </w:rPr>
              <w:t>本项目评价的其他污染物为TSP，为掌握评价区环境空气质量现状，并为影响评价提供基础资料和数据，</w:t>
            </w:r>
            <w:r>
              <w:rPr>
                <w:rFonts w:hint="eastAsia" w:cs="Times New Roman"/>
                <w:color w:val="auto"/>
                <w:lang w:val="en-US" w:eastAsia="zh-CN"/>
              </w:rPr>
              <w:t>在环评报告编制期间委托内蒙古泽铭技术检测有限公司对TSP现状进行了检测，检测结构见下表3-2。</w:t>
            </w:r>
          </w:p>
          <w:p w14:paraId="5A1ED08A">
            <w:pPr>
              <w:ind w:firstLine="480"/>
              <w:jc w:val="center"/>
              <w:rPr>
                <w:rFonts w:hint="eastAsia" w:cs="Times New Roman"/>
                <w:b/>
                <w:bCs/>
                <w:color w:val="auto"/>
                <w:lang w:val="en-US" w:eastAsia="zh-CN"/>
              </w:rPr>
            </w:pPr>
            <w:r>
              <w:rPr>
                <w:rFonts w:hint="eastAsia" w:cs="Times New Roman"/>
                <w:b/>
                <w:bCs/>
                <w:color w:val="auto"/>
                <w:lang w:val="en-US" w:eastAsia="zh-CN"/>
              </w:rPr>
              <w:t>表3-2现状检测结果</w:t>
            </w:r>
          </w:p>
          <w:tbl>
            <w:tblPr>
              <w:tblStyle w:val="28"/>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168"/>
              <w:gridCol w:w="1650"/>
              <w:gridCol w:w="1275"/>
              <w:gridCol w:w="795"/>
              <w:gridCol w:w="894"/>
            </w:tblGrid>
            <w:tr w14:paraId="3C52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6" w:type="dxa"/>
                  <w:vAlign w:val="center"/>
                </w:tcPr>
                <w:p w14:paraId="1D918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采样日期</w:t>
                  </w:r>
                </w:p>
              </w:tc>
              <w:tc>
                <w:tcPr>
                  <w:tcW w:w="1168" w:type="dxa"/>
                  <w:vAlign w:val="center"/>
                </w:tcPr>
                <w:p w14:paraId="11696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监测点位</w:t>
                  </w:r>
                </w:p>
              </w:tc>
              <w:tc>
                <w:tcPr>
                  <w:tcW w:w="1650" w:type="dxa"/>
                  <w:vAlign w:val="center"/>
                </w:tcPr>
                <w:p w14:paraId="33D7D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检测项目</w:t>
                  </w:r>
                </w:p>
              </w:tc>
              <w:tc>
                <w:tcPr>
                  <w:tcW w:w="1275" w:type="dxa"/>
                  <w:vAlign w:val="center"/>
                </w:tcPr>
                <w:p w14:paraId="3502D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分析结果</w:t>
                  </w:r>
                </w:p>
              </w:tc>
              <w:tc>
                <w:tcPr>
                  <w:tcW w:w="795" w:type="dxa"/>
                  <w:vAlign w:val="center"/>
                </w:tcPr>
                <w:p w14:paraId="08991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限值</w:t>
                  </w:r>
                </w:p>
              </w:tc>
              <w:tc>
                <w:tcPr>
                  <w:tcW w:w="894" w:type="dxa"/>
                  <w:vAlign w:val="center"/>
                </w:tcPr>
                <w:p w14:paraId="0E765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单位</w:t>
                  </w:r>
                </w:p>
              </w:tc>
            </w:tr>
            <w:tr w14:paraId="4AD7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6" w:type="dxa"/>
                  <w:vAlign w:val="center"/>
                </w:tcPr>
                <w:p w14:paraId="70E913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2025.05.25</w:t>
                  </w:r>
                </w:p>
              </w:tc>
              <w:tc>
                <w:tcPr>
                  <w:tcW w:w="1168" w:type="dxa"/>
                  <w:vMerge w:val="restart"/>
                  <w:vAlign w:val="center"/>
                </w:tcPr>
                <w:p w14:paraId="21E3F0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bCs/>
                      <w:color w:val="auto"/>
                      <w:sz w:val="21"/>
                      <w:szCs w:val="21"/>
                      <w:highlight w:val="none"/>
                      <w:lang w:val="en-US" w:eastAsia="zh-CN"/>
                    </w:rPr>
                    <w:t>厂界外</w:t>
                  </w:r>
                </w:p>
              </w:tc>
              <w:tc>
                <w:tcPr>
                  <w:tcW w:w="1650" w:type="dxa"/>
                  <w:vAlign w:val="center"/>
                </w:tcPr>
                <w:p w14:paraId="2B763AD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Arial" w:hAnsi="Arial" w:eastAsia="宋体" w:cs="Arial"/>
                      <w:snapToGrid w:val="0"/>
                      <w:color w:val="auto"/>
                      <w:kern w:val="0"/>
                      <w:sz w:val="21"/>
                      <w:szCs w:val="21"/>
                      <w:highlight w:val="none"/>
                      <w:lang w:val="en-US" w:eastAsia="zh-CN" w:bidi="ar-SA"/>
                    </w:rPr>
                  </w:pPr>
                  <w:r>
                    <w:rPr>
                      <w:rFonts w:hint="default" w:ascii="Arial" w:hAnsi="Arial" w:eastAsia="宋体" w:cs="Arial"/>
                      <w:snapToGrid w:val="0"/>
                      <w:color w:val="auto"/>
                      <w:kern w:val="0"/>
                      <w:sz w:val="21"/>
                      <w:szCs w:val="21"/>
                      <w:highlight w:val="none"/>
                      <w:lang w:val="en-US" w:eastAsia="zh-CN" w:bidi="ar-SA"/>
                    </w:rPr>
                    <w:t>总悬浮颗粒物</w:t>
                  </w:r>
                </w:p>
              </w:tc>
              <w:tc>
                <w:tcPr>
                  <w:tcW w:w="1275" w:type="dxa"/>
                  <w:vAlign w:val="center"/>
                </w:tcPr>
                <w:p w14:paraId="297A4D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eastAsia" w:ascii="Times New Roman" w:hAnsi="Times New Roman" w:cs="Times New Roman"/>
                      <w:color w:val="auto"/>
                      <w:position w:val="-10"/>
                      <w:szCs w:val="21"/>
                      <w:highlight w:val="none"/>
                      <w:lang w:val="en-US" w:eastAsia="zh-CN"/>
                    </w:rPr>
                    <w:t>0.107</w:t>
                  </w:r>
                </w:p>
              </w:tc>
              <w:tc>
                <w:tcPr>
                  <w:tcW w:w="795" w:type="dxa"/>
                  <w:vAlign w:val="center"/>
                </w:tcPr>
                <w:p w14:paraId="4EB43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0.3</w:t>
                  </w:r>
                </w:p>
              </w:tc>
              <w:tc>
                <w:tcPr>
                  <w:tcW w:w="894" w:type="dxa"/>
                  <w:vAlign w:val="center"/>
                </w:tcPr>
                <w:p w14:paraId="57E65D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mg/m</w:t>
                  </w:r>
                  <w:r>
                    <w:rPr>
                      <w:rFonts w:hint="default" w:ascii="Arial" w:hAnsi="Arial" w:eastAsia="宋体" w:cs="Arial"/>
                      <w:color w:val="auto"/>
                      <w:position w:val="-10"/>
                      <w:sz w:val="21"/>
                      <w:szCs w:val="21"/>
                      <w:highlight w:val="none"/>
                      <w:vertAlign w:val="superscript"/>
                      <w:lang w:val="en-US" w:eastAsia="zh-CN"/>
                    </w:rPr>
                    <w:t>3</w:t>
                  </w:r>
                </w:p>
              </w:tc>
            </w:tr>
            <w:tr w14:paraId="7346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6" w:type="dxa"/>
                  <w:vAlign w:val="center"/>
                </w:tcPr>
                <w:p w14:paraId="71FF9E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2025.05.26</w:t>
                  </w:r>
                </w:p>
              </w:tc>
              <w:tc>
                <w:tcPr>
                  <w:tcW w:w="1168" w:type="dxa"/>
                  <w:vMerge w:val="continue"/>
                  <w:vAlign w:val="center"/>
                </w:tcPr>
                <w:p w14:paraId="360E35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Arial" w:hAnsi="Arial" w:eastAsia="宋体" w:cs="Arial"/>
                      <w:color w:val="auto"/>
                      <w:sz w:val="21"/>
                      <w:szCs w:val="21"/>
                      <w:highlight w:val="none"/>
                      <w:lang w:val="en-US" w:eastAsia="zh-CN"/>
                    </w:rPr>
                  </w:pPr>
                </w:p>
              </w:tc>
              <w:tc>
                <w:tcPr>
                  <w:tcW w:w="1650" w:type="dxa"/>
                  <w:vAlign w:val="center"/>
                </w:tcPr>
                <w:p w14:paraId="1B2A1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Arial" w:hAnsi="Arial" w:eastAsia="宋体" w:cs="Arial"/>
                      <w:snapToGrid w:val="0"/>
                      <w:color w:val="auto"/>
                      <w:kern w:val="0"/>
                      <w:sz w:val="21"/>
                      <w:szCs w:val="21"/>
                      <w:highlight w:val="none"/>
                      <w:lang w:val="en-US" w:eastAsia="zh-CN" w:bidi="ar-SA"/>
                    </w:rPr>
                  </w:pPr>
                  <w:r>
                    <w:rPr>
                      <w:rFonts w:hint="default" w:ascii="Arial" w:hAnsi="Arial" w:eastAsia="宋体" w:cs="Arial"/>
                      <w:snapToGrid w:val="0"/>
                      <w:color w:val="auto"/>
                      <w:kern w:val="0"/>
                      <w:sz w:val="21"/>
                      <w:szCs w:val="21"/>
                      <w:highlight w:val="none"/>
                      <w:lang w:val="en-US" w:eastAsia="zh-CN" w:bidi="ar-SA"/>
                    </w:rPr>
                    <w:t>总悬浮颗粒物</w:t>
                  </w:r>
                </w:p>
              </w:tc>
              <w:tc>
                <w:tcPr>
                  <w:tcW w:w="1275" w:type="dxa"/>
                  <w:vAlign w:val="center"/>
                </w:tcPr>
                <w:p w14:paraId="4B6F71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eastAsia" w:ascii="Times New Roman" w:hAnsi="Times New Roman" w:cs="Times New Roman"/>
                      <w:color w:val="auto"/>
                      <w:kern w:val="2"/>
                      <w:position w:val="-10"/>
                      <w:sz w:val="21"/>
                      <w:szCs w:val="21"/>
                      <w:highlight w:val="none"/>
                      <w:lang w:val="en-US" w:eastAsia="zh-CN" w:bidi="ar-SA"/>
                    </w:rPr>
                    <w:t>0.104</w:t>
                  </w:r>
                </w:p>
              </w:tc>
              <w:tc>
                <w:tcPr>
                  <w:tcW w:w="795" w:type="dxa"/>
                  <w:vAlign w:val="center"/>
                </w:tcPr>
                <w:p w14:paraId="4764FE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0.3</w:t>
                  </w:r>
                </w:p>
              </w:tc>
              <w:tc>
                <w:tcPr>
                  <w:tcW w:w="894" w:type="dxa"/>
                  <w:vAlign w:val="center"/>
                </w:tcPr>
                <w:p w14:paraId="74D9D9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mg/m</w:t>
                  </w:r>
                  <w:r>
                    <w:rPr>
                      <w:rFonts w:hint="default" w:ascii="Arial" w:hAnsi="Arial" w:eastAsia="宋体" w:cs="Arial"/>
                      <w:color w:val="auto"/>
                      <w:position w:val="-10"/>
                      <w:sz w:val="21"/>
                      <w:szCs w:val="21"/>
                      <w:highlight w:val="none"/>
                      <w:vertAlign w:val="superscript"/>
                      <w:lang w:val="en-US" w:eastAsia="zh-CN"/>
                    </w:rPr>
                    <w:t>3</w:t>
                  </w:r>
                </w:p>
              </w:tc>
            </w:tr>
            <w:tr w14:paraId="66C9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6" w:type="dxa"/>
                  <w:vAlign w:val="center"/>
                </w:tcPr>
                <w:p w14:paraId="33BF32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2025.05.27</w:t>
                  </w:r>
                </w:p>
              </w:tc>
              <w:tc>
                <w:tcPr>
                  <w:tcW w:w="1168" w:type="dxa"/>
                  <w:vMerge w:val="continue"/>
                  <w:vAlign w:val="center"/>
                </w:tcPr>
                <w:p w14:paraId="632553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Arial" w:hAnsi="Arial" w:eastAsia="宋体" w:cs="Arial"/>
                      <w:color w:val="auto"/>
                      <w:sz w:val="21"/>
                      <w:szCs w:val="21"/>
                      <w:highlight w:val="none"/>
                      <w:lang w:val="en-US" w:eastAsia="zh-CN"/>
                    </w:rPr>
                  </w:pPr>
                </w:p>
              </w:tc>
              <w:tc>
                <w:tcPr>
                  <w:tcW w:w="1650" w:type="dxa"/>
                  <w:vAlign w:val="center"/>
                </w:tcPr>
                <w:p w14:paraId="655C7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Arial" w:hAnsi="Arial" w:eastAsia="宋体" w:cs="Arial"/>
                      <w:snapToGrid w:val="0"/>
                      <w:color w:val="auto"/>
                      <w:kern w:val="0"/>
                      <w:sz w:val="21"/>
                      <w:szCs w:val="21"/>
                      <w:highlight w:val="none"/>
                      <w:lang w:val="en-US" w:eastAsia="zh-CN" w:bidi="ar-SA"/>
                    </w:rPr>
                  </w:pPr>
                  <w:r>
                    <w:rPr>
                      <w:rFonts w:hint="default" w:ascii="Arial" w:hAnsi="Arial" w:eastAsia="宋体" w:cs="Arial"/>
                      <w:snapToGrid w:val="0"/>
                      <w:color w:val="auto"/>
                      <w:kern w:val="0"/>
                      <w:sz w:val="21"/>
                      <w:szCs w:val="21"/>
                      <w:highlight w:val="none"/>
                      <w:lang w:val="en-US" w:eastAsia="zh-CN" w:bidi="ar-SA"/>
                    </w:rPr>
                    <w:t>总悬浮颗粒物</w:t>
                  </w:r>
                </w:p>
              </w:tc>
              <w:tc>
                <w:tcPr>
                  <w:tcW w:w="1275" w:type="dxa"/>
                  <w:vAlign w:val="center"/>
                </w:tcPr>
                <w:p w14:paraId="24684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eastAsia" w:ascii="Times New Roman" w:hAnsi="Times New Roman" w:cs="Times New Roman"/>
                      <w:color w:val="auto"/>
                      <w:kern w:val="2"/>
                      <w:position w:val="-10"/>
                      <w:sz w:val="21"/>
                      <w:szCs w:val="21"/>
                      <w:highlight w:val="none"/>
                      <w:lang w:val="en-US" w:eastAsia="zh-CN" w:bidi="ar-SA"/>
                    </w:rPr>
                    <w:t>0.105</w:t>
                  </w:r>
                </w:p>
              </w:tc>
              <w:tc>
                <w:tcPr>
                  <w:tcW w:w="795" w:type="dxa"/>
                  <w:vAlign w:val="center"/>
                </w:tcPr>
                <w:p w14:paraId="070C1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0.3</w:t>
                  </w:r>
                </w:p>
              </w:tc>
              <w:tc>
                <w:tcPr>
                  <w:tcW w:w="894" w:type="dxa"/>
                  <w:vAlign w:val="center"/>
                </w:tcPr>
                <w:p w14:paraId="17DCE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mg/m</w:t>
                  </w:r>
                  <w:r>
                    <w:rPr>
                      <w:rFonts w:hint="default" w:ascii="Arial" w:hAnsi="Arial" w:eastAsia="宋体" w:cs="Arial"/>
                      <w:color w:val="auto"/>
                      <w:position w:val="-10"/>
                      <w:sz w:val="21"/>
                      <w:szCs w:val="21"/>
                      <w:highlight w:val="none"/>
                      <w:vertAlign w:val="superscript"/>
                      <w:lang w:val="en-US" w:eastAsia="zh-CN"/>
                    </w:rPr>
                    <w:t>3</w:t>
                  </w:r>
                </w:p>
              </w:tc>
            </w:tr>
            <w:tr w14:paraId="32BF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6" w:type="dxa"/>
                  <w:vAlign w:val="center"/>
                </w:tcPr>
                <w:p w14:paraId="0A373A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2025.05.28</w:t>
                  </w:r>
                </w:p>
              </w:tc>
              <w:tc>
                <w:tcPr>
                  <w:tcW w:w="1168" w:type="dxa"/>
                  <w:vMerge w:val="continue"/>
                  <w:vAlign w:val="center"/>
                </w:tcPr>
                <w:p w14:paraId="086920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Arial" w:hAnsi="Arial" w:eastAsia="宋体" w:cs="Arial"/>
                      <w:color w:val="auto"/>
                      <w:sz w:val="21"/>
                      <w:szCs w:val="21"/>
                      <w:highlight w:val="none"/>
                      <w:lang w:val="en-US" w:eastAsia="zh-CN"/>
                    </w:rPr>
                  </w:pPr>
                </w:p>
              </w:tc>
              <w:tc>
                <w:tcPr>
                  <w:tcW w:w="1650" w:type="dxa"/>
                  <w:vAlign w:val="center"/>
                </w:tcPr>
                <w:p w14:paraId="357A4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Arial" w:hAnsi="Arial" w:eastAsia="宋体" w:cs="Arial"/>
                      <w:snapToGrid w:val="0"/>
                      <w:color w:val="auto"/>
                      <w:kern w:val="0"/>
                      <w:sz w:val="21"/>
                      <w:szCs w:val="21"/>
                      <w:highlight w:val="none"/>
                      <w:lang w:val="en-US" w:eastAsia="zh-CN" w:bidi="ar-SA"/>
                    </w:rPr>
                  </w:pPr>
                  <w:r>
                    <w:rPr>
                      <w:rFonts w:hint="default" w:ascii="Arial" w:hAnsi="Arial" w:eastAsia="宋体" w:cs="Arial"/>
                      <w:snapToGrid w:val="0"/>
                      <w:color w:val="auto"/>
                      <w:kern w:val="0"/>
                      <w:sz w:val="21"/>
                      <w:szCs w:val="21"/>
                      <w:highlight w:val="none"/>
                      <w:lang w:val="en-US" w:eastAsia="zh-CN" w:bidi="ar-SA"/>
                    </w:rPr>
                    <w:t>总悬浮颗粒物</w:t>
                  </w:r>
                </w:p>
              </w:tc>
              <w:tc>
                <w:tcPr>
                  <w:tcW w:w="1275" w:type="dxa"/>
                  <w:vAlign w:val="center"/>
                </w:tcPr>
                <w:p w14:paraId="5CFCF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eastAsia" w:ascii="Times New Roman" w:hAnsi="Times New Roman" w:cs="Times New Roman"/>
                      <w:color w:val="auto"/>
                      <w:kern w:val="2"/>
                      <w:position w:val="-10"/>
                      <w:sz w:val="21"/>
                      <w:szCs w:val="21"/>
                      <w:highlight w:val="none"/>
                      <w:lang w:val="en-US" w:eastAsia="zh-CN" w:bidi="ar-SA"/>
                    </w:rPr>
                    <w:t>0.103</w:t>
                  </w:r>
                </w:p>
              </w:tc>
              <w:tc>
                <w:tcPr>
                  <w:tcW w:w="795" w:type="dxa"/>
                  <w:vAlign w:val="center"/>
                </w:tcPr>
                <w:p w14:paraId="4CFF9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0.3</w:t>
                  </w:r>
                </w:p>
              </w:tc>
              <w:tc>
                <w:tcPr>
                  <w:tcW w:w="894" w:type="dxa"/>
                  <w:vAlign w:val="center"/>
                </w:tcPr>
                <w:p w14:paraId="5D712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mg/m</w:t>
                  </w:r>
                  <w:r>
                    <w:rPr>
                      <w:rFonts w:hint="default" w:ascii="Arial" w:hAnsi="Arial" w:eastAsia="宋体" w:cs="Arial"/>
                      <w:color w:val="auto"/>
                      <w:position w:val="-10"/>
                      <w:sz w:val="21"/>
                      <w:szCs w:val="21"/>
                      <w:highlight w:val="none"/>
                      <w:vertAlign w:val="superscript"/>
                      <w:lang w:val="en-US" w:eastAsia="zh-CN"/>
                    </w:rPr>
                    <w:t>3</w:t>
                  </w:r>
                </w:p>
              </w:tc>
            </w:tr>
            <w:tr w14:paraId="7AEE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6" w:type="dxa"/>
                  <w:vAlign w:val="center"/>
                </w:tcPr>
                <w:p w14:paraId="17C6B6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2025.05.29</w:t>
                  </w:r>
                </w:p>
              </w:tc>
              <w:tc>
                <w:tcPr>
                  <w:tcW w:w="1168" w:type="dxa"/>
                  <w:vMerge w:val="continue"/>
                  <w:vAlign w:val="center"/>
                </w:tcPr>
                <w:p w14:paraId="349527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Arial" w:hAnsi="Arial" w:eastAsia="宋体" w:cs="Arial"/>
                      <w:color w:val="auto"/>
                      <w:sz w:val="21"/>
                      <w:szCs w:val="21"/>
                      <w:highlight w:val="none"/>
                      <w:lang w:val="en-US" w:eastAsia="zh-CN"/>
                    </w:rPr>
                  </w:pPr>
                </w:p>
              </w:tc>
              <w:tc>
                <w:tcPr>
                  <w:tcW w:w="1650" w:type="dxa"/>
                  <w:vAlign w:val="center"/>
                </w:tcPr>
                <w:p w14:paraId="4FC71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Arial" w:hAnsi="Arial" w:eastAsia="宋体" w:cs="Arial"/>
                      <w:snapToGrid w:val="0"/>
                      <w:color w:val="auto"/>
                      <w:kern w:val="0"/>
                      <w:sz w:val="21"/>
                      <w:szCs w:val="21"/>
                      <w:highlight w:val="none"/>
                      <w:lang w:val="en-US" w:eastAsia="zh-CN" w:bidi="ar-SA"/>
                    </w:rPr>
                  </w:pPr>
                  <w:r>
                    <w:rPr>
                      <w:rFonts w:hint="default" w:ascii="Arial" w:hAnsi="Arial" w:eastAsia="宋体" w:cs="Arial"/>
                      <w:snapToGrid w:val="0"/>
                      <w:color w:val="auto"/>
                      <w:kern w:val="0"/>
                      <w:sz w:val="21"/>
                      <w:szCs w:val="21"/>
                      <w:highlight w:val="none"/>
                      <w:lang w:val="en-US" w:eastAsia="zh-CN" w:bidi="ar-SA"/>
                    </w:rPr>
                    <w:t>总悬浮颗粒物</w:t>
                  </w:r>
                </w:p>
              </w:tc>
              <w:tc>
                <w:tcPr>
                  <w:tcW w:w="1275" w:type="dxa"/>
                  <w:vAlign w:val="center"/>
                </w:tcPr>
                <w:p w14:paraId="2384A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eastAsia" w:ascii="Times New Roman" w:hAnsi="Times New Roman" w:cs="Times New Roman"/>
                      <w:color w:val="auto"/>
                      <w:kern w:val="2"/>
                      <w:position w:val="-10"/>
                      <w:sz w:val="21"/>
                      <w:szCs w:val="21"/>
                      <w:highlight w:val="none"/>
                      <w:lang w:val="en-US" w:eastAsia="zh-CN" w:bidi="ar-SA"/>
                    </w:rPr>
                    <w:t>0.106</w:t>
                  </w:r>
                </w:p>
              </w:tc>
              <w:tc>
                <w:tcPr>
                  <w:tcW w:w="795" w:type="dxa"/>
                  <w:vAlign w:val="center"/>
                </w:tcPr>
                <w:p w14:paraId="719DC2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0.3</w:t>
                  </w:r>
                </w:p>
              </w:tc>
              <w:tc>
                <w:tcPr>
                  <w:tcW w:w="894" w:type="dxa"/>
                  <w:vAlign w:val="center"/>
                </w:tcPr>
                <w:p w14:paraId="0070D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mg/m</w:t>
                  </w:r>
                  <w:r>
                    <w:rPr>
                      <w:rFonts w:hint="default" w:ascii="Arial" w:hAnsi="Arial" w:eastAsia="宋体" w:cs="Arial"/>
                      <w:color w:val="auto"/>
                      <w:position w:val="-10"/>
                      <w:sz w:val="21"/>
                      <w:szCs w:val="21"/>
                      <w:highlight w:val="none"/>
                      <w:vertAlign w:val="superscript"/>
                      <w:lang w:val="en-US" w:eastAsia="zh-CN"/>
                    </w:rPr>
                    <w:t>3</w:t>
                  </w:r>
                </w:p>
              </w:tc>
            </w:tr>
            <w:tr w14:paraId="7C4A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6" w:type="dxa"/>
                  <w:vAlign w:val="center"/>
                </w:tcPr>
                <w:p w14:paraId="63E979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2025.05.30</w:t>
                  </w:r>
                </w:p>
              </w:tc>
              <w:tc>
                <w:tcPr>
                  <w:tcW w:w="1168" w:type="dxa"/>
                  <w:vMerge w:val="continue"/>
                  <w:vAlign w:val="center"/>
                </w:tcPr>
                <w:p w14:paraId="57C72A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Arial" w:hAnsi="Arial" w:eastAsia="宋体" w:cs="Arial"/>
                      <w:color w:val="auto"/>
                      <w:sz w:val="21"/>
                      <w:szCs w:val="21"/>
                      <w:highlight w:val="none"/>
                      <w:lang w:val="en-US" w:eastAsia="zh-CN"/>
                    </w:rPr>
                  </w:pPr>
                </w:p>
              </w:tc>
              <w:tc>
                <w:tcPr>
                  <w:tcW w:w="1650" w:type="dxa"/>
                  <w:vAlign w:val="center"/>
                </w:tcPr>
                <w:p w14:paraId="62CF2F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Arial" w:hAnsi="Arial" w:eastAsia="宋体" w:cs="Arial"/>
                      <w:snapToGrid w:val="0"/>
                      <w:color w:val="auto"/>
                      <w:kern w:val="0"/>
                      <w:sz w:val="21"/>
                      <w:szCs w:val="21"/>
                      <w:highlight w:val="none"/>
                      <w:lang w:val="en-US" w:eastAsia="zh-CN" w:bidi="ar-SA"/>
                    </w:rPr>
                  </w:pPr>
                  <w:r>
                    <w:rPr>
                      <w:rFonts w:hint="default" w:ascii="Arial" w:hAnsi="Arial" w:eastAsia="宋体" w:cs="Arial"/>
                      <w:snapToGrid w:val="0"/>
                      <w:color w:val="auto"/>
                      <w:kern w:val="0"/>
                      <w:sz w:val="21"/>
                      <w:szCs w:val="21"/>
                      <w:highlight w:val="none"/>
                      <w:lang w:val="en-US" w:eastAsia="zh-CN" w:bidi="ar-SA"/>
                    </w:rPr>
                    <w:t>总悬浮颗粒物</w:t>
                  </w:r>
                </w:p>
              </w:tc>
              <w:tc>
                <w:tcPr>
                  <w:tcW w:w="1275" w:type="dxa"/>
                  <w:vAlign w:val="center"/>
                </w:tcPr>
                <w:p w14:paraId="1B4BD3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eastAsia" w:ascii="Times New Roman" w:hAnsi="Times New Roman" w:cs="Times New Roman"/>
                      <w:color w:val="auto"/>
                      <w:kern w:val="2"/>
                      <w:position w:val="-10"/>
                      <w:sz w:val="21"/>
                      <w:szCs w:val="21"/>
                      <w:highlight w:val="none"/>
                      <w:lang w:val="en-US" w:eastAsia="zh-CN" w:bidi="ar-SA"/>
                    </w:rPr>
                    <w:t>0.108</w:t>
                  </w:r>
                </w:p>
              </w:tc>
              <w:tc>
                <w:tcPr>
                  <w:tcW w:w="795" w:type="dxa"/>
                  <w:vAlign w:val="center"/>
                </w:tcPr>
                <w:p w14:paraId="1C12B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0.3</w:t>
                  </w:r>
                </w:p>
              </w:tc>
              <w:tc>
                <w:tcPr>
                  <w:tcW w:w="894" w:type="dxa"/>
                  <w:vAlign w:val="center"/>
                </w:tcPr>
                <w:p w14:paraId="5423D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mg/m</w:t>
                  </w:r>
                  <w:r>
                    <w:rPr>
                      <w:rFonts w:hint="default" w:ascii="Arial" w:hAnsi="Arial" w:eastAsia="宋体" w:cs="Arial"/>
                      <w:color w:val="auto"/>
                      <w:position w:val="-10"/>
                      <w:sz w:val="21"/>
                      <w:szCs w:val="21"/>
                      <w:highlight w:val="none"/>
                      <w:vertAlign w:val="superscript"/>
                      <w:lang w:val="en-US" w:eastAsia="zh-CN"/>
                    </w:rPr>
                    <w:t>3</w:t>
                  </w:r>
                </w:p>
              </w:tc>
            </w:tr>
            <w:tr w14:paraId="741B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6" w:type="dxa"/>
                  <w:vAlign w:val="center"/>
                </w:tcPr>
                <w:p w14:paraId="2E20C0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2025.05.31</w:t>
                  </w:r>
                </w:p>
              </w:tc>
              <w:tc>
                <w:tcPr>
                  <w:tcW w:w="1168" w:type="dxa"/>
                  <w:vMerge w:val="continue"/>
                  <w:vAlign w:val="center"/>
                </w:tcPr>
                <w:p w14:paraId="1CC2A6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Arial" w:hAnsi="Arial" w:eastAsia="宋体" w:cs="Arial"/>
                      <w:color w:val="auto"/>
                      <w:sz w:val="21"/>
                      <w:szCs w:val="21"/>
                      <w:highlight w:val="none"/>
                      <w:lang w:val="en-US" w:eastAsia="zh-CN"/>
                    </w:rPr>
                  </w:pPr>
                </w:p>
              </w:tc>
              <w:tc>
                <w:tcPr>
                  <w:tcW w:w="1650" w:type="dxa"/>
                  <w:vAlign w:val="center"/>
                </w:tcPr>
                <w:p w14:paraId="569742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Arial" w:hAnsi="Arial" w:eastAsia="宋体" w:cs="Arial"/>
                      <w:snapToGrid w:val="0"/>
                      <w:color w:val="auto"/>
                      <w:kern w:val="0"/>
                      <w:sz w:val="21"/>
                      <w:szCs w:val="21"/>
                      <w:highlight w:val="none"/>
                      <w:lang w:val="en-US" w:eastAsia="zh-CN" w:bidi="ar-SA"/>
                    </w:rPr>
                  </w:pPr>
                  <w:r>
                    <w:rPr>
                      <w:rFonts w:hint="default" w:ascii="Arial" w:hAnsi="Arial" w:eastAsia="宋体" w:cs="Arial"/>
                      <w:snapToGrid w:val="0"/>
                      <w:color w:val="auto"/>
                      <w:kern w:val="0"/>
                      <w:sz w:val="21"/>
                      <w:szCs w:val="21"/>
                      <w:highlight w:val="none"/>
                      <w:lang w:val="en-US" w:eastAsia="zh-CN" w:bidi="ar-SA"/>
                    </w:rPr>
                    <w:t>总悬浮颗粒物</w:t>
                  </w:r>
                </w:p>
              </w:tc>
              <w:tc>
                <w:tcPr>
                  <w:tcW w:w="1275" w:type="dxa"/>
                  <w:vAlign w:val="center"/>
                </w:tcPr>
                <w:p w14:paraId="589BE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eastAsia" w:ascii="Times New Roman" w:hAnsi="Times New Roman" w:cs="Times New Roman"/>
                      <w:color w:val="auto"/>
                      <w:kern w:val="2"/>
                      <w:position w:val="-10"/>
                      <w:sz w:val="21"/>
                      <w:szCs w:val="21"/>
                      <w:highlight w:val="none"/>
                      <w:lang w:val="en-US" w:eastAsia="zh-CN" w:bidi="ar-SA"/>
                    </w:rPr>
                    <w:t>0.101</w:t>
                  </w:r>
                </w:p>
              </w:tc>
              <w:tc>
                <w:tcPr>
                  <w:tcW w:w="795" w:type="dxa"/>
                  <w:vAlign w:val="center"/>
                </w:tcPr>
                <w:p w14:paraId="62EA3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0.3</w:t>
                  </w:r>
                </w:p>
              </w:tc>
              <w:tc>
                <w:tcPr>
                  <w:tcW w:w="894" w:type="dxa"/>
                  <w:vAlign w:val="center"/>
                </w:tcPr>
                <w:p w14:paraId="74096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position w:val="-10"/>
                      <w:sz w:val="21"/>
                      <w:szCs w:val="21"/>
                      <w:highlight w:val="none"/>
                      <w:lang w:val="en-US" w:eastAsia="zh-CN"/>
                    </w:rPr>
                    <w:t>mg/m</w:t>
                  </w:r>
                  <w:r>
                    <w:rPr>
                      <w:rFonts w:hint="default" w:ascii="Arial" w:hAnsi="Arial" w:eastAsia="宋体" w:cs="Arial"/>
                      <w:color w:val="auto"/>
                      <w:position w:val="-10"/>
                      <w:sz w:val="21"/>
                      <w:szCs w:val="21"/>
                      <w:highlight w:val="none"/>
                      <w:vertAlign w:val="superscript"/>
                      <w:lang w:val="en-US" w:eastAsia="zh-CN"/>
                    </w:rPr>
                    <w:t>3</w:t>
                  </w:r>
                </w:p>
              </w:tc>
            </w:tr>
            <w:tr w14:paraId="4156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6" w:type="dxa"/>
                  <w:vAlign w:val="center"/>
                </w:tcPr>
                <w:p w14:paraId="27B9F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备注</w:t>
                  </w:r>
                </w:p>
              </w:tc>
              <w:tc>
                <w:tcPr>
                  <w:tcW w:w="5782" w:type="dxa"/>
                  <w:gridSpan w:val="5"/>
                  <w:vAlign w:val="center"/>
                </w:tcPr>
                <w:p w14:paraId="7BA31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Arial" w:hAnsi="Arial" w:eastAsia="宋体" w:cs="Arial"/>
                      <w:color w:val="auto"/>
                      <w:position w:val="-10"/>
                      <w:sz w:val="21"/>
                      <w:szCs w:val="21"/>
                      <w:highlight w:val="none"/>
                      <w:lang w:val="en-US" w:eastAsia="zh-CN"/>
                    </w:rPr>
                  </w:pPr>
                  <w:r>
                    <w:rPr>
                      <w:rFonts w:hint="default" w:ascii="Arial" w:hAnsi="Arial" w:eastAsia="宋体" w:cs="Arial"/>
                      <w:color w:val="auto"/>
                      <w:sz w:val="21"/>
                      <w:szCs w:val="21"/>
                      <w:highlight w:val="none"/>
                      <w:lang w:val="en-US" w:eastAsia="zh-CN"/>
                    </w:rPr>
                    <w:t>检测结果参照执行《环境空气质量标准》GB 3095-2012及其修改单的二级浓度限值要求。</w:t>
                  </w:r>
                </w:p>
              </w:tc>
            </w:tr>
            <w:bookmarkEnd w:id="4"/>
          </w:tbl>
          <w:p w14:paraId="325C9B5F">
            <w:pPr>
              <w:ind w:left="0" w:leftChars="0" w:firstLine="0" w:firstLineChars="0"/>
              <w:rPr>
                <w:rFonts w:cs="Times New Roman"/>
                <w:b/>
                <w:bCs/>
                <w:color w:val="auto"/>
                <w:highlight w:val="none"/>
              </w:rPr>
            </w:pPr>
            <w:r>
              <w:rPr>
                <w:rFonts w:cs="Times New Roman"/>
                <w:b/>
                <w:bCs/>
                <w:color w:val="auto"/>
              </w:rPr>
              <w:t>2、</w:t>
            </w:r>
            <w:r>
              <w:rPr>
                <w:rFonts w:cs="Times New Roman"/>
                <w:b/>
                <w:bCs/>
                <w:color w:val="auto"/>
                <w:highlight w:val="none"/>
              </w:rPr>
              <w:t>声环境质量</w:t>
            </w:r>
          </w:p>
          <w:p w14:paraId="14788E0B">
            <w:pPr>
              <w:ind w:firstLine="480"/>
              <w:rPr>
                <w:color w:val="auto"/>
                <w:highlight w:val="none"/>
              </w:rPr>
            </w:pPr>
            <w:r>
              <w:rPr>
                <w:rFonts w:cs="Times New Roman"/>
                <w:color w:val="auto"/>
                <w:highlight w:val="none"/>
              </w:rPr>
              <w:t>本项目厂界外</w:t>
            </w:r>
            <w:r>
              <w:rPr>
                <w:rFonts w:hint="eastAsia" w:cs="Times New Roman"/>
                <w:color w:val="auto"/>
                <w:highlight w:val="none"/>
                <w:lang w:val="en-US" w:eastAsia="zh-CN"/>
              </w:rPr>
              <w:t>西侧、北侧</w:t>
            </w:r>
            <w:r>
              <w:rPr>
                <w:rFonts w:cs="Times New Roman"/>
                <w:color w:val="auto"/>
                <w:highlight w:val="none"/>
              </w:rPr>
              <w:t>50m范围内</w:t>
            </w:r>
            <w:r>
              <w:rPr>
                <w:rFonts w:hint="eastAsia" w:cs="Times New Roman"/>
                <w:color w:val="auto"/>
                <w:highlight w:val="none"/>
                <w:lang w:val="en-US" w:eastAsia="zh-CN"/>
              </w:rPr>
              <w:t>有居民居住，但主要生产区域集中于东南侧且距居民区超50m，在环评报告编制期间委托内蒙古泽铭技术检测有限公司对周边敏感点现状进行了监测，居民敏感点现状监测见表3-3</w:t>
            </w:r>
            <w:r>
              <w:rPr>
                <w:rFonts w:cs="Times New Roman"/>
                <w:color w:val="auto"/>
                <w:highlight w:val="none"/>
              </w:rPr>
              <w:t>。</w:t>
            </w:r>
          </w:p>
          <w:p w14:paraId="2FCBD52A">
            <w:pPr>
              <w:ind w:firstLine="480"/>
              <w:jc w:val="center"/>
              <w:rPr>
                <w:rFonts w:hint="eastAsia"/>
                <w:color w:val="auto"/>
                <w:lang w:val="en-US" w:eastAsia="zh-CN"/>
              </w:rPr>
            </w:pPr>
            <w:r>
              <w:rPr>
                <w:rFonts w:hint="eastAsia"/>
                <w:b/>
                <w:bCs/>
                <w:color w:val="auto"/>
                <w:lang w:val="en-US" w:eastAsia="zh-CN"/>
              </w:rPr>
              <w:t>表3-3 噪声敏感点现状监测</w:t>
            </w:r>
          </w:p>
          <w:tbl>
            <w:tblPr>
              <w:tblStyle w:val="27"/>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07"/>
              <w:gridCol w:w="781"/>
              <w:gridCol w:w="1147"/>
              <w:gridCol w:w="1084"/>
              <w:gridCol w:w="1094"/>
              <w:gridCol w:w="695"/>
              <w:gridCol w:w="660"/>
            </w:tblGrid>
            <w:tr w14:paraId="3B9C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1" w:type="dxa"/>
                  <w:vMerge w:val="restart"/>
                  <w:vAlign w:val="center"/>
                </w:tcPr>
                <w:p w14:paraId="4D2D48C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检测</w:t>
                  </w:r>
                  <w:r>
                    <w:rPr>
                      <w:rFonts w:hint="default" w:ascii="Times New Roman" w:hAnsi="Times New Roman" w:cs="Times New Roman"/>
                      <w:b w:val="0"/>
                      <w:bCs w:val="0"/>
                      <w:color w:val="auto"/>
                      <w:sz w:val="21"/>
                      <w:szCs w:val="21"/>
                      <w:highlight w:val="none"/>
                      <w:lang w:val="en-US" w:eastAsia="zh-CN"/>
                    </w:rPr>
                    <w:t>日期</w:t>
                  </w:r>
                </w:p>
              </w:tc>
              <w:tc>
                <w:tcPr>
                  <w:tcW w:w="1136" w:type="dxa"/>
                  <w:vMerge w:val="restart"/>
                  <w:vAlign w:val="center"/>
                </w:tcPr>
                <w:p w14:paraId="0C19A70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类型</w:t>
                  </w:r>
                </w:p>
              </w:tc>
              <w:tc>
                <w:tcPr>
                  <w:tcW w:w="1095" w:type="dxa"/>
                  <w:vMerge w:val="restart"/>
                  <w:vAlign w:val="center"/>
                </w:tcPr>
                <w:p w14:paraId="303DE39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lang w:eastAsia="zh-CN"/>
                    </w:rPr>
                  </w:pPr>
                  <w:r>
                    <w:rPr>
                      <w:rFonts w:hint="eastAsia"/>
                      <w:b w:val="0"/>
                      <w:bCs w:val="0"/>
                      <w:color w:val="auto"/>
                      <w:sz w:val="21"/>
                      <w:szCs w:val="21"/>
                      <w:highlight w:val="none"/>
                      <w:lang w:eastAsia="zh-CN"/>
                    </w:rPr>
                    <w:t>测点</w:t>
                  </w:r>
                  <w:r>
                    <w:rPr>
                      <w:b w:val="0"/>
                      <w:bCs w:val="0"/>
                      <w:color w:val="auto"/>
                      <w:sz w:val="21"/>
                      <w:szCs w:val="21"/>
                      <w:highlight w:val="none"/>
                    </w:rPr>
                    <w:t>编号</w:t>
                  </w:r>
                </w:p>
              </w:tc>
              <w:tc>
                <w:tcPr>
                  <w:tcW w:w="1667" w:type="dxa"/>
                  <w:vMerge w:val="restart"/>
                  <w:vAlign w:val="center"/>
                </w:tcPr>
                <w:p w14:paraId="53ADF94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eastAsia="zh-CN"/>
                    </w:rPr>
                  </w:pPr>
                  <w:r>
                    <w:rPr>
                      <w:b w:val="0"/>
                      <w:bCs w:val="0"/>
                      <w:color w:val="auto"/>
                      <w:sz w:val="21"/>
                      <w:szCs w:val="21"/>
                      <w:highlight w:val="none"/>
                    </w:rPr>
                    <w:t>测点</w:t>
                  </w:r>
                  <w:r>
                    <w:rPr>
                      <w:rFonts w:hint="eastAsia"/>
                      <w:b w:val="0"/>
                      <w:bCs w:val="0"/>
                      <w:color w:val="auto"/>
                      <w:sz w:val="21"/>
                      <w:szCs w:val="21"/>
                      <w:highlight w:val="none"/>
                      <w:lang w:eastAsia="zh-CN"/>
                    </w:rPr>
                    <w:t>位置</w:t>
                  </w:r>
                </w:p>
              </w:tc>
              <w:tc>
                <w:tcPr>
                  <w:tcW w:w="3152" w:type="dxa"/>
                  <w:gridSpan w:val="2"/>
                  <w:vAlign w:val="center"/>
                </w:tcPr>
                <w:p w14:paraId="0FC00DF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rPr>
                    <w:t>检测结果Leq dB（A）</w:t>
                  </w:r>
                </w:p>
              </w:tc>
              <w:tc>
                <w:tcPr>
                  <w:tcW w:w="1866" w:type="dxa"/>
                  <w:gridSpan w:val="2"/>
                  <w:vAlign w:val="center"/>
                </w:tcPr>
                <w:p w14:paraId="79BE29B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限值</w:t>
                  </w:r>
                  <w:r>
                    <w:rPr>
                      <w:rFonts w:hint="default" w:ascii="Times New Roman" w:hAnsi="Times New Roman" w:cs="Times New Roman"/>
                      <w:b w:val="0"/>
                      <w:bCs w:val="0"/>
                      <w:color w:val="auto"/>
                      <w:sz w:val="21"/>
                      <w:szCs w:val="21"/>
                      <w:highlight w:val="none"/>
                    </w:rPr>
                    <w:t>dB（A）</w:t>
                  </w:r>
                </w:p>
              </w:tc>
            </w:tr>
            <w:tr w14:paraId="0F5B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1" w:type="dxa"/>
                  <w:vMerge w:val="continue"/>
                  <w:vAlign w:val="center"/>
                </w:tcPr>
                <w:p w14:paraId="5DB35CC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rPr>
                  </w:pPr>
                </w:p>
              </w:tc>
              <w:tc>
                <w:tcPr>
                  <w:tcW w:w="1136" w:type="dxa"/>
                  <w:vMerge w:val="continue"/>
                  <w:vAlign w:val="center"/>
                </w:tcPr>
                <w:p w14:paraId="5785089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rPr>
                  </w:pPr>
                </w:p>
              </w:tc>
              <w:tc>
                <w:tcPr>
                  <w:tcW w:w="1095" w:type="dxa"/>
                  <w:vMerge w:val="continue"/>
                  <w:vAlign w:val="center"/>
                </w:tcPr>
                <w:p w14:paraId="441746C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rPr>
                  </w:pPr>
                </w:p>
              </w:tc>
              <w:tc>
                <w:tcPr>
                  <w:tcW w:w="1667" w:type="dxa"/>
                  <w:vMerge w:val="continue"/>
                  <w:vAlign w:val="center"/>
                </w:tcPr>
                <w:p w14:paraId="51ADF3E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rPr>
                  </w:pPr>
                </w:p>
              </w:tc>
              <w:tc>
                <w:tcPr>
                  <w:tcW w:w="1568" w:type="dxa"/>
                  <w:vAlign w:val="center"/>
                </w:tcPr>
                <w:p w14:paraId="2F85843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昼间</w:t>
                  </w:r>
                </w:p>
              </w:tc>
              <w:tc>
                <w:tcPr>
                  <w:tcW w:w="1584" w:type="dxa"/>
                  <w:vAlign w:val="center"/>
                </w:tcPr>
                <w:p w14:paraId="5E9BF6C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lang w:eastAsia="zh-CN"/>
                    </w:rPr>
                  </w:pPr>
                  <w:r>
                    <w:rPr>
                      <w:rFonts w:hint="eastAsia" w:ascii="Times New Roman" w:hAnsi="Times New Roman" w:cs="Times New Roman"/>
                      <w:b w:val="0"/>
                      <w:bCs w:val="0"/>
                      <w:color w:val="auto"/>
                      <w:sz w:val="21"/>
                      <w:szCs w:val="21"/>
                      <w:highlight w:val="none"/>
                      <w:lang w:eastAsia="zh-CN"/>
                    </w:rPr>
                    <w:t>夜间</w:t>
                  </w:r>
                </w:p>
              </w:tc>
              <w:tc>
                <w:tcPr>
                  <w:tcW w:w="961" w:type="dxa"/>
                  <w:vAlign w:val="center"/>
                </w:tcPr>
                <w:p w14:paraId="53EE416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rPr>
                      <w:rFonts w:hint="eastAsia"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昼间</w:t>
                  </w:r>
                </w:p>
              </w:tc>
              <w:tc>
                <w:tcPr>
                  <w:tcW w:w="905" w:type="dxa"/>
                  <w:vAlign w:val="center"/>
                </w:tcPr>
                <w:p w14:paraId="1C37549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rPr>
                      <w:rFonts w:hint="eastAsia" w:ascii="Times New Roman" w:hAnsi="Times New Roman" w:cs="Times New Roman"/>
                      <w:b w:val="0"/>
                      <w:bCs w:val="0"/>
                      <w:color w:val="auto"/>
                      <w:sz w:val="21"/>
                      <w:szCs w:val="21"/>
                      <w:highlight w:val="none"/>
                      <w:lang w:eastAsia="zh-CN"/>
                    </w:rPr>
                  </w:pPr>
                  <w:r>
                    <w:rPr>
                      <w:rFonts w:hint="eastAsia" w:ascii="Times New Roman" w:hAnsi="Times New Roman" w:cs="Times New Roman"/>
                      <w:b w:val="0"/>
                      <w:bCs w:val="0"/>
                      <w:color w:val="auto"/>
                      <w:sz w:val="21"/>
                      <w:szCs w:val="21"/>
                      <w:highlight w:val="none"/>
                      <w:lang w:eastAsia="zh-CN"/>
                    </w:rPr>
                    <w:t>夜间</w:t>
                  </w:r>
                </w:p>
              </w:tc>
            </w:tr>
            <w:tr w14:paraId="4B9B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1" w:type="dxa"/>
                  <w:vMerge w:val="restart"/>
                  <w:vAlign w:val="center"/>
                </w:tcPr>
                <w:p w14:paraId="45EAA47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cs="Times New Roman"/>
                      <w:snapToGrid w:val="0"/>
                      <w:color w:val="auto"/>
                      <w:kern w:val="0"/>
                      <w:sz w:val="21"/>
                      <w:szCs w:val="21"/>
                      <w:highlight w:val="none"/>
                      <w:lang w:val="en-US" w:eastAsia="zh-CN" w:bidi="ar-SA"/>
                    </w:rPr>
                    <w:t>2026.01.19</w:t>
                  </w:r>
                </w:p>
              </w:tc>
              <w:tc>
                <w:tcPr>
                  <w:tcW w:w="1136" w:type="dxa"/>
                  <w:vMerge w:val="restart"/>
                  <w:vAlign w:val="center"/>
                </w:tcPr>
                <w:p w14:paraId="2A5E7E1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rightChars="0" w:firstLine="0" w:firstLineChars="0"/>
                    <w:jc w:val="center"/>
                    <w:rPr>
                      <w:rFonts w:hint="default" w:ascii="Times New Roman" w:hAnsi="Times New Roman" w:eastAsia="宋体" w:cs="Times New Roman"/>
                      <w:snapToGrid w:val="0"/>
                      <w:color w:val="auto"/>
                      <w:kern w:val="0"/>
                      <w:sz w:val="21"/>
                      <w:szCs w:val="21"/>
                      <w:highlight w:val="none"/>
                      <w:lang w:val="en-US" w:eastAsia="zh-CN" w:bidi="ar-SA"/>
                    </w:rPr>
                  </w:pPr>
                </w:p>
                <w:p w14:paraId="2528CB2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rightChars="0" w:firstLine="0" w:firstLineChars="0"/>
                    <w:jc w:val="center"/>
                    <w:rPr>
                      <w:rFonts w:hint="default" w:ascii="Times New Roman" w:hAnsi="Times New Roman" w:eastAsia="宋体" w:cs="Times New Roman"/>
                      <w:snapToGrid w:val="0"/>
                      <w:color w:val="auto"/>
                      <w:kern w:val="0"/>
                      <w:sz w:val="21"/>
                      <w:szCs w:val="21"/>
                      <w:highlight w:val="green"/>
                      <w:lang w:val="en-US" w:eastAsia="zh-CN" w:bidi="ar-SA"/>
                    </w:rPr>
                  </w:pPr>
                  <w:r>
                    <w:rPr>
                      <w:rFonts w:hint="default" w:ascii="Times New Roman" w:hAnsi="Times New Roman" w:cs="Times New Roman"/>
                      <w:color w:val="auto"/>
                      <w:sz w:val="21"/>
                      <w:szCs w:val="21"/>
                      <w:highlight w:val="none"/>
                      <w:lang w:val="en-US" w:eastAsia="zh-CN"/>
                    </w:rPr>
                    <w:t>环境噪声</w:t>
                  </w:r>
                </w:p>
              </w:tc>
              <w:tc>
                <w:tcPr>
                  <w:tcW w:w="1095" w:type="dxa"/>
                  <w:vAlign w:val="center"/>
                </w:tcPr>
                <w:p w14:paraId="5F2A053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w:t>
                  </w:r>
                </w:p>
              </w:tc>
              <w:tc>
                <w:tcPr>
                  <w:tcW w:w="1667" w:type="dxa"/>
                  <w:vAlign w:val="center"/>
                </w:tcPr>
                <w:p w14:paraId="5F5953E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北侧居民区</w:t>
                  </w:r>
                </w:p>
              </w:tc>
              <w:tc>
                <w:tcPr>
                  <w:tcW w:w="1568" w:type="dxa"/>
                  <w:vAlign w:val="center"/>
                </w:tcPr>
                <w:p w14:paraId="0580866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52</w:t>
                  </w:r>
                </w:p>
              </w:tc>
              <w:tc>
                <w:tcPr>
                  <w:tcW w:w="1584" w:type="dxa"/>
                  <w:vAlign w:val="center"/>
                </w:tcPr>
                <w:p w14:paraId="04FC3A5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w:t>
                  </w:r>
                </w:p>
              </w:tc>
              <w:tc>
                <w:tcPr>
                  <w:tcW w:w="961" w:type="dxa"/>
                  <w:vMerge w:val="restart"/>
                  <w:vAlign w:val="center"/>
                </w:tcPr>
                <w:p w14:paraId="6A3EC3C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905" w:type="dxa"/>
                  <w:vMerge w:val="restart"/>
                  <w:vAlign w:val="center"/>
                </w:tcPr>
                <w:p w14:paraId="2CE6B4F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r>
            <w:tr w14:paraId="4C60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1" w:type="dxa"/>
                  <w:vMerge w:val="continue"/>
                  <w:vAlign w:val="center"/>
                </w:tcPr>
                <w:p w14:paraId="4276EC6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highlight w:val="none"/>
                    </w:rPr>
                  </w:pPr>
                </w:p>
              </w:tc>
              <w:tc>
                <w:tcPr>
                  <w:tcW w:w="1136" w:type="dxa"/>
                  <w:vMerge w:val="continue"/>
                  <w:vAlign w:val="center"/>
                </w:tcPr>
                <w:p w14:paraId="571A340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highlight w:val="green"/>
                    </w:rPr>
                  </w:pPr>
                </w:p>
              </w:tc>
              <w:tc>
                <w:tcPr>
                  <w:tcW w:w="1095" w:type="dxa"/>
                  <w:vAlign w:val="center"/>
                </w:tcPr>
                <w:p w14:paraId="1CC4207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w:t>
                  </w:r>
                </w:p>
              </w:tc>
              <w:tc>
                <w:tcPr>
                  <w:tcW w:w="1667" w:type="dxa"/>
                  <w:vAlign w:val="center"/>
                </w:tcPr>
                <w:p w14:paraId="44902B4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西侧居民区</w:t>
                  </w:r>
                </w:p>
              </w:tc>
              <w:tc>
                <w:tcPr>
                  <w:tcW w:w="1568" w:type="dxa"/>
                  <w:vAlign w:val="center"/>
                </w:tcPr>
                <w:p w14:paraId="4B3995F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1584" w:type="dxa"/>
                  <w:vAlign w:val="center"/>
                </w:tcPr>
                <w:p w14:paraId="3E0FCB5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43</w:t>
                  </w:r>
                </w:p>
              </w:tc>
              <w:tc>
                <w:tcPr>
                  <w:tcW w:w="961" w:type="dxa"/>
                  <w:vMerge w:val="continue"/>
                  <w:vAlign w:val="center"/>
                </w:tcPr>
                <w:p w14:paraId="3CFFC7E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lang w:val="en-US" w:eastAsia="zh-CN"/>
                    </w:rPr>
                  </w:pPr>
                </w:p>
              </w:tc>
              <w:tc>
                <w:tcPr>
                  <w:tcW w:w="905" w:type="dxa"/>
                  <w:vMerge w:val="continue"/>
                  <w:vAlign w:val="center"/>
                </w:tcPr>
                <w:p w14:paraId="5204F04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lang w:val="en-US" w:eastAsia="zh-CN"/>
                    </w:rPr>
                  </w:pPr>
                </w:p>
              </w:tc>
            </w:tr>
            <w:tr w14:paraId="7590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1" w:type="dxa"/>
                  <w:vMerge w:val="restart"/>
                  <w:vAlign w:val="center"/>
                </w:tcPr>
                <w:p w14:paraId="472913C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2026.01.20</w:t>
                  </w:r>
                </w:p>
              </w:tc>
              <w:tc>
                <w:tcPr>
                  <w:tcW w:w="1136" w:type="dxa"/>
                  <w:vMerge w:val="continue"/>
                  <w:vAlign w:val="center"/>
                </w:tcPr>
                <w:p w14:paraId="7A0367D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highlight w:val="green"/>
                    </w:rPr>
                  </w:pPr>
                </w:p>
              </w:tc>
              <w:tc>
                <w:tcPr>
                  <w:tcW w:w="1095" w:type="dxa"/>
                  <w:vAlign w:val="center"/>
                </w:tcPr>
                <w:p w14:paraId="0A7C7B8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w:t>
                  </w:r>
                </w:p>
              </w:tc>
              <w:tc>
                <w:tcPr>
                  <w:tcW w:w="1667" w:type="dxa"/>
                  <w:vAlign w:val="center"/>
                </w:tcPr>
                <w:p w14:paraId="35D6E8B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color w:val="auto"/>
                      <w:sz w:val="21"/>
                      <w:szCs w:val="21"/>
                      <w:highlight w:val="none"/>
                      <w:lang w:val="en-US"/>
                    </w:rPr>
                  </w:pPr>
                  <w:r>
                    <w:rPr>
                      <w:rFonts w:hint="eastAsia" w:ascii="Times New Roman" w:hAnsi="Times New Roman" w:eastAsia="宋体" w:cs="Times New Roman"/>
                      <w:bCs/>
                      <w:color w:val="auto"/>
                      <w:sz w:val="21"/>
                      <w:szCs w:val="21"/>
                      <w:highlight w:val="none"/>
                      <w:lang w:val="en-US" w:eastAsia="zh-CN"/>
                    </w:rPr>
                    <w:t>北侧居民区</w:t>
                  </w:r>
                </w:p>
              </w:tc>
              <w:tc>
                <w:tcPr>
                  <w:tcW w:w="1568" w:type="dxa"/>
                  <w:vAlign w:val="center"/>
                </w:tcPr>
                <w:p w14:paraId="1F7513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1584" w:type="dxa"/>
                  <w:vAlign w:val="center"/>
                </w:tcPr>
                <w:p w14:paraId="676B0F7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43</w:t>
                  </w:r>
                </w:p>
              </w:tc>
              <w:tc>
                <w:tcPr>
                  <w:tcW w:w="961" w:type="dxa"/>
                  <w:vMerge w:val="continue"/>
                  <w:vAlign w:val="center"/>
                </w:tcPr>
                <w:p w14:paraId="633C68D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p>
              </w:tc>
              <w:tc>
                <w:tcPr>
                  <w:tcW w:w="905" w:type="dxa"/>
                  <w:vMerge w:val="continue"/>
                  <w:vAlign w:val="center"/>
                </w:tcPr>
                <w:p w14:paraId="2479806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p>
              </w:tc>
            </w:tr>
            <w:tr w14:paraId="47E1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1" w:type="dxa"/>
                  <w:vMerge w:val="continue"/>
                  <w:vAlign w:val="center"/>
                </w:tcPr>
                <w:p w14:paraId="397893E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highlight w:val="green"/>
                    </w:rPr>
                  </w:pPr>
                </w:p>
              </w:tc>
              <w:tc>
                <w:tcPr>
                  <w:tcW w:w="1136" w:type="dxa"/>
                  <w:vMerge w:val="continue"/>
                  <w:vAlign w:val="center"/>
                </w:tcPr>
                <w:p w14:paraId="67FDBF4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highlight w:val="green"/>
                    </w:rPr>
                  </w:pPr>
                </w:p>
              </w:tc>
              <w:tc>
                <w:tcPr>
                  <w:tcW w:w="1095" w:type="dxa"/>
                  <w:vAlign w:val="center"/>
                </w:tcPr>
                <w:p w14:paraId="19D62E5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w:t>
                  </w:r>
                </w:p>
              </w:tc>
              <w:tc>
                <w:tcPr>
                  <w:tcW w:w="1667" w:type="dxa"/>
                  <w:vAlign w:val="center"/>
                </w:tcPr>
                <w:p w14:paraId="6B22F4A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color w:val="auto"/>
                      <w:sz w:val="21"/>
                      <w:szCs w:val="21"/>
                      <w:highlight w:val="none"/>
                      <w:lang w:val="en-US"/>
                    </w:rPr>
                  </w:pPr>
                  <w:r>
                    <w:rPr>
                      <w:rFonts w:hint="eastAsia" w:ascii="Times New Roman" w:hAnsi="Times New Roman" w:eastAsia="宋体" w:cs="Times New Roman"/>
                      <w:bCs/>
                      <w:color w:val="auto"/>
                      <w:sz w:val="21"/>
                      <w:szCs w:val="21"/>
                      <w:highlight w:val="none"/>
                      <w:lang w:val="en-US" w:eastAsia="zh-CN"/>
                    </w:rPr>
                    <w:t>西侧居民区</w:t>
                  </w:r>
                </w:p>
              </w:tc>
              <w:tc>
                <w:tcPr>
                  <w:tcW w:w="1568" w:type="dxa"/>
                  <w:vAlign w:val="center"/>
                </w:tcPr>
                <w:p w14:paraId="50BEF98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48</w:t>
                  </w:r>
                </w:p>
              </w:tc>
              <w:tc>
                <w:tcPr>
                  <w:tcW w:w="1584" w:type="dxa"/>
                  <w:vAlign w:val="center"/>
                </w:tcPr>
                <w:p w14:paraId="4B680EB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41</w:t>
                  </w:r>
                </w:p>
              </w:tc>
              <w:tc>
                <w:tcPr>
                  <w:tcW w:w="961" w:type="dxa"/>
                  <w:vMerge w:val="continue"/>
                  <w:vAlign w:val="center"/>
                </w:tcPr>
                <w:p w14:paraId="4C6467B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p>
              </w:tc>
              <w:tc>
                <w:tcPr>
                  <w:tcW w:w="905" w:type="dxa"/>
                  <w:vMerge w:val="continue"/>
                  <w:vAlign w:val="center"/>
                </w:tcPr>
                <w:p w14:paraId="28BFC0D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p>
              </w:tc>
            </w:tr>
            <w:tr w14:paraId="77EC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71" w:type="dxa"/>
                  <w:vAlign w:val="center"/>
                </w:tcPr>
                <w:p w14:paraId="1B477D0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highlight w:val="green"/>
                    </w:rPr>
                  </w:pPr>
                  <w:r>
                    <w:rPr>
                      <w:rFonts w:hint="default" w:ascii="Times New Roman" w:hAnsi="Times New Roman" w:cs="Times New Roman"/>
                      <w:b w:val="0"/>
                      <w:bCs w:val="0"/>
                      <w:color w:val="auto"/>
                      <w:sz w:val="21"/>
                      <w:szCs w:val="21"/>
                      <w:highlight w:val="none"/>
                      <w:lang w:eastAsia="zh-CN"/>
                    </w:rPr>
                    <w:t>备注</w:t>
                  </w:r>
                </w:p>
              </w:tc>
              <w:tc>
                <w:tcPr>
                  <w:tcW w:w="8916" w:type="dxa"/>
                  <w:gridSpan w:val="7"/>
                  <w:vAlign w:val="center"/>
                </w:tcPr>
                <w:p w14:paraId="7F87C1D9">
                  <w:pPr>
                    <w:pStyle w:val="17"/>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rPr>
                      <w:rFonts w:hint="eastAsia" w:ascii="Times New Roman" w:hAnsi="Times New Roman" w:cs="Times New Roman"/>
                      <w:snapToGrid w:val="0"/>
                      <w:color w:val="auto"/>
                      <w:kern w:val="0"/>
                      <w:sz w:val="21"/>
                      <w:szCs w:val="21"/>
                      <w:highlight w:val="none"/>
                      <w:lang w:val="en-US" w:eastAsia="zh-CN"/>
                    </w:rPr>
                  </w:pPr>
                  <w:r>
                    <w:rPr>
                      <w:rFonts w:hint="eastAsia" w:ascii="Times New Roman" w:hAnsi="Times New Roman" w:cs="Times New Roman"/>
                      <w:color w:val="auto"/>
                      <w:sz w:val="21"/>
                      <w:szCs w:val="21"/>
                      <w:lang w:val="en-US" w:eastAsia="zh-CN"/>
                    </w:rPr>
                    <w:t>1.检测结果参照执行</w:t>
                  </w:r>
                  <w:r>
                    <w:rPr>
                      <w:rFonts w:hint="eastAsia" w:ascii="Times New Roman" w:hAnsi="Times New Roman" w:cs="Times New Roman"/>
                      <w:snapToGrid w:val="0"/>
                      <w:color w:val="auto"/>
                      <w:kern w:val="0"/>
                      <w:sz w:val="21"/>
                      <w:szCs w:val="21"/>
                      <w:highlight w:val="none"/>
                      <w:lang w:val="en-US" w:eastAsia="zh-CN"/>
                    </w:rPr>
                    <w:t>《声环境质量标准》GB 3096-2008表1中2类标准；</w:t>
                  </w:r>
                </w:p>
                <w:p w14:paraId="2493E51E">
                  <w:pPr>
                    <w:pStyle w:val="17"/>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snapToGrid w:val="0"/>
                      <w:color w:val="auto"/>
                      <w:kern w:val="0"/>
                      <w:sz w:val="21"/>
                      <w:szCs w:val="21"/>
                      <w:highlight w:val="none"/>
                      <w:lang w:val="en-US" w:eastAsia="zh-CN"/>
                    </w:rPr>
                    <w:t>2.</w:t>
                  </w:r>
                  <w:r>
                    <w:rPr>
                      <w:rFonts w:hint="eastAsia" w:ascii="Times New Roman" w:hAnsi="Times New Roman" w:cs="Times New Roman"/>
                      <w:color w:val="auto"/>
                      <w:sz w:val="21"/>
                      <w:szCs w:val="21"/>
                      <w:lang w:val="en-US" w:eastAsia="zh-CN"/>
                    </w:rPr>
                    <w:t>2026</w:t>
                  </w:r>
                  <w:r>
                    <w:rPr>
                      <w:rFonts w:hint="eastAsia" w:ascii="Times New Roman" w:hAnsi="Times New Roman" w:cs="Times New Roman"/>
                      <w:color w:val="auto"/>
                      <w:sz w:val="21"/>
                      <w:szCs w:val="21"/>
                      <w:highlight w:val="none"/>
                      <w:lang w:val="en-US" w:eastAsia="zh-CN"/>
                    </w:rPr>
                    <w:t>年01月19日</w:t>
                  </w:r>
                  <w:r>
                    <w:rPr>
                      <w:rFonts w:hint="default" w:ascii="Times New Roman" w:hAnsi="Times New Roman" w:cs="Times New Roman"/>
                      <w:color w:val="auto"/>
                      <w:sz w:val="21"/>
                      <w:szCs w:val="21"/>
                      <w:highlight w:val="none"/>
                      <w:lang w:val="en-US" w:eastAsia="zh-CN"/>
                    </w:rPr>
                    <w:t>：昼间天气晴、</w:t>
                  </w:r>
                  <w:r>
                    <w:rPr>
                      <w:rFonts w:hint="eastAsia" w:ascii="Times New Roman" w:hAnsi="Times New Roman" w:cs="Times New Roman"/>
                      <w:color w:val="auto"/>
                      <w:sz w:val="21"/>
                      <w:szCs w:val="21"/>
                      <w:highlight w:val="none"/>
                      <w:lang w:val="en-US" w:eastAsia="zh-CN"/>
                    </w:rPr>
                    <w:t>东</w:t>
                  </w:r>
                  <w:r>
                    <w:rPr>
                      <w:rFonts w:hint="default" w:ascii="Times New Roman" w:hAnsi="Times New Roman" w:cs="Times New Roman"/>
                      <w:color w:val="auto"/>
                      <w:sz w:val="21"/>
                      <w:szCs w:val="21"/>
                      <w:highlight w:val="none"/>
                      <w:lang w:val="en-US" w:eastAsia="zh-CN"/>
                    </w:rPr>
                    <w:t>风、风速</w:t>
                  </w:r>
                  <w:r>
                    <w:rPr>
                      <w:rFonts w:hint="eastAsia" w:ascii="Times New Roman" w:hAnsi="Times New Roman" w:cs="Times New Roman"/>
                      <w:color w:val="auto"/>
                      <w:sz w:val="21"/>
                      <w:szCs w:val="21"/>
                      <w:highlight w:val="none"/>
                      <w:lang w:val="en-US" w:eastAsia="zh-CN"/>
                    </w:rPr>
                    <w:t>2.1</w:t>
                  </w:r>
                  <w:r>
                    <w:rPr>
                      <w:rFonts w:hint="default" w:ascii="Times New Roman" w:hAnsi="Times New Roman" w:cs="Times New Roman"/>
                      <w:color w:val="auto"/>
                      <w:sz w:val="21"/>
                      <w:szCs w:val="21"/>
                      <w:highlight w:val="none"/>
                      <w:lang w:val="en-US" w:eastAsia="zh-CN"/>
                    </w:rPr>
                    <w:t>m/s；</w:t>
                  </w:r>
                  <w:r>
                    <w:rPr>
                      <w:rFonts w:hint="eastAsia" w:ascii="Times New Roman" w:hAnsi="Times New Roman" w:eastAsia="宋体" w:cs="Times New Roman"/>
                      <w:bCs/>
                      <w:color w:val="auto"/>
                      <w:sz w:val="21"/>
                      <w:szCs w:val="21"/>
                      <w:highlight w:val="none"/>
                      <w:lang w:val="en-US" w:eastAsia="zh-CN"/>
                    </w:rPr>
                    <w:t>夜</w:t>
                  </w:r>
                  <w:r>
                    <w:rPr>
                      <w:rFonts w:hint="default" w:ascii="Times New Roman" w:hAnsi="Times New Roman" w:eastAsia="宋体" w:cs="Times New Roman"/>
                      <w:bCs/>
                      <w:color w:val="auto"/>
                      <w:sz w:val="21"/>
                      <w:szCs w:val="21"/>
                      <w:highlight w:val="none"/>
                      <w:lang w:val="en-US" w:eastAsia="zh-CN"/>
                    </w:rPr>
                    <w:t>间天气晴、</w:t>
                  </w:r>
                  <w:r>
                    <w:rPr>
                      <w:rFonts w:hint="eastAsia" w:ascii="Times New Roman" w:hAnsi="Times New Roman" w:cs="Times New Roman"/>
                      <w:color w:val="auto"/>
                      <w:sz w:val="21"/>
                      <w:szCs w:val="21"/>
                      <w:highlight w:val="none"/>
                      <w:lang w:val="en-US" w:eastAsia="zh-CN"/>
                    </w:rPr>
                    <w:t>东</w:t>
                  </w:r>
                  <w:r>
                    <w:rPr>
                      <w:rFonts w:hint="default" w:ascii="Times New Roman" w:hAnsi="Times New Roman" w:cs="Times New Roman"/>
                      <w:color w:val="auto"/>
                      <w:sz w:val="21"/>
                      <w:szCs w:val="21"/>
                      <w:highlight w:val="none"/>
                      <w:lang w:val="en-US" w:eastAsia="zh-CN"/>
                    </w:rPr>
                    <w:t>风、风速</w:t>
                  </w:r>
                  <w:r>
                    <w:rPr>
                      <w:rFonts w:hint="eastAsia" w:ascii="Times New Roman" w:hAnsi="Times New Roman" w:cs="Times New Roman"/>
                      <w:color w:val="auto"/>
                      <w:sz w:val="21"/>
                      <w:szCs w:val="21"/>
                      <w:highlight w:val="none"/>
                      <w:lang w:val="en-US" w:eastAsia="zh-CN"/>
                    </w:rPr>
                    <w:t>2.3</w:t>
                  </w:r>
                  <w:r>
                    <w:rPr>
                      <w:rFonts w:hint="default" w:ascii="Times New Roman" w:hAnsi="Times New Roman" w:cs="Times New Roman"/>
                      <w:color w:val="auto"/>
                      <w:sz w:val="21"/>
                      <w:szCs w:val="21"/>
                      <w:highlight w:val="none"/>
                      <w:lang w:val="en-US" w:eastAsia="zh-CN"/>
                    </w:rPr>
                    <w:t>m/s</w:t>
                  </w:r>
                  <w:r>
                    <w:rPr>
                      <w:rFonts w:hint="eastAsia" w:ascii="Times New Roman" w:hAnsi="Times New Roman" w:cs="Times New Roman"/>
                      <w:color w:val="auto"/>
                      <w:sz w:val="21"/>
                      <w:szCs w:val="21"/>
                      <w:highlight w:val="none"/>
                      <w:lang w:val="en-US" w:eastAsia="zh-CN"/>
                    </w:rPr>
                    <w:t>；</w:t>
                  </w:r>
                </w:p>
                <w:p w14:paraId="21952413">
                  <w:pPr>
                    <w:pStyle w:val="17"/>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rPr>
                      <w:rFonts w:hint="default" w:ascii="Times New Roman" w:hAnsi="Times New Roman" w:cs="Times New Roman"/>
                      <w:color w:val="auto"/>
                      <w:sz w:val="21"/>
                      <w:szCs w:val="21"/>
                      <w:highlight w:val="green"/>
                      <w:lang w:eastAsia="zh-CN"/>
                    </w:rPr>
                  </w:pPr>
                  <w:r>
                    <w:rPr>
                      <w:rFonts w:hint="eastAsia" w:ascii="Times New Roman" w:hAnsi="Times New Roman" w:cs="Times New Roman"/>
                      <w:color w:val="auto"/>
                      <w:sz w:val="21"/>
                      <w:szCs w:val="21"/>
                      <w:lang w:val="en-US" w:eastAsia="zh-CN"/>
                    </w:rPr>
                    <w:t>2026</w:t>
                  </w:r>
                  <w:r>
                    <w:rPr>
                      <w:rFonts w:hint="eastAsia" w:ascii="Times New Roman" w:hAnsi="Times New Roman" w:cs="Times New Roman"/>
                      <w:color w:val="auto"/>
                      <w:sz w:val="21"/>
                      <w:szCs w:val="21"/>
                      <w:highlight w:val="none"/>
                      <w:lang w:val="en-US" w:eastAsia="zh-CN"/>
                    </w:rPr>
                    <w:t>年01月20日</w:t>
                  </w:r>
                  <w:r>
                    <w:rPr>
                      <w:rFonts w:hint="default" w:ascii="Times New Roman" w:hAnsi="Times New Roman" w:cs="Times New Roman"/>
                      <w:color w:val="auto"/>
                      <w:sz w:val="21"/>
                      <w:szCs w:val="21"/>
                      <w:highlight w:val="none"/>
                      <w:lang w:val="en-US" w:eastAsia="zh-CN"/>
                    </w:rPr>
                    <w:t>：昼间天气晴、</w:t>
                  </w:r>
                  <w:r>
                    <w:rPr>
                      <w:rFonts w:hint="eastAsia" w:ascii="Times New Roman" w:hAnsi="Times New Roman" w:cs="Times New Roman"/>
                      <w:color w:val="auto"/>
                      <w:sz w:val="21"/>
                      <w:szCs w:val="21"/>
                      <w:highlight w:val="none"/>
                      <w:lang w:val="en-US" w:eastAsia="zh-CN"/>
                    </w:rPr>
                    <w:t>西北</w:t>
                  </w:r>
                  <w:r>
                    <w:rPr>
                      <w:rFonts w:hint="default" w:ascii="Times New Roman" w:hAnsi="Times New Roman" w:cs="Times New Roman"/>
                      <w:color w:val="auto"/>
                      <w:sz w:val="21"/>
                      <w:szCs w:val="21"/>
                      <w:highlight w:val="none"/>
                      <w:lang w:val="en-US" w:eastAsia="zh-CN"/>
                    </w:rPr>
                    <w:t>风、风速</w:t>
                  </w:r>
                  <w:r>
                    <w:rPr>
                      <w:rFonts w:hint="eastAsia" w:ascii="Times New Roman" w:hAnsi="Times New Roman" w:cs="Times New Roman"/>
                      <w:color w:val="auto"/>
                      <w:sz w:val="21"/>
                      <w:szCs w:val="21"/>
                      <w:highlight w:val="none"/>
                      <w:lang w:val="en-US" w:eastAsia="zh-CN"/>
                    </w:rPr>
                    <w:t>1.9</w:t>
                  </w:r>
                  <w:r>
                    <w:rPr>
                      <w:rFonts w:hint="default" w:ascii="Times New Roman" w:hAnsi="Times New Roman" w:cs="Times New Roman"/>
                      <w:color w:val="auto"/>
                      <w:sz w:val="21"/>
                      <w:szCs w:val="21"/>
                      <w:highlight w:val="none"/>
                      <w:lang w:val="en-US" w:eastAsia="zh-CN"/>
                    </w:rPr>
                    <w:t>m/s；</w:t>
                  </w:r>
                  <w:r>
                    <w:rPr>
                      <w:rFonts w:hint="eastAsia" w:ascii="Times New Roman" w:hAnsi="Times New Roman" w:eastAsia="宋体" w:cs="Times New Roman"/>
                      <w:bCs/>
                      <w:color w:val="auto"/>
                      <w:sz w:val="21"/>
                      <w:szCs w:val="21"/>
                      <w:highlight w:val="none"/>
                      <w:lang w:val="en-US" w:eastAsia="zh-CN"/>
                    </w:rPr>
                    <w:t>夜</w:t>
                  </w:r>
                  <w:r>
                    <w:rPr>
                      <w:rFonts w:hint="default" w:ascii="Times New Roman" w:hAnsi="Times New Roman" w:eastAsia="宋体" w:cs="Times New Roman"/>
                      <w:bCs/>
                      <w:color w:val="auto"/>
                      <w:sz w:val="21"/>
                      <w:szCs w:val="21"/>
                      <w:highlight w:val="none"/>
                      <w:lang w:val="en-US" w:eastAsia="zh-CN"/>
                    </w:rPr>
                    <w:t>间天气晴、</w:t>
                  </w:r>
                  <w:r>
                    <w:rPr>
                      <w:rFonts w:hint="eastAsia" w:ascii="Times New Roman" w:hAnsi="Times New Roman" w:cs="Times New Roman"/>
                      <w:color w:val="auto"/>
                      <w:sz w:val="21"/>
                      <w:szCs w:val="21"/>
                      <w:highlight w:val="none"/>
                      <w:lang w:val="en-US" w:eastAsia="zh-CN"/>
                    </w:rPr>
                    <w:t>西北</w:t>
                  </w:r>
                  <w:r>
                    <w:rPr>
                      <w:rFonts w:hint="default" w:ascii="Times New Roman" w:hAnsi="Times New Roman" w:cs="Times New Roman"/>
                      <w:color w:val="auto"/>
                      <w:sz w:val="21"/>
                      <w:szCs w:val="21"/>
                      <w:highlight w:val="none"/>
                      <w:lang w:val="en-US" w:eastAsia="zh-CN"/>
                    </w:rPr>
                    <w:t>风、风速</w:t>
                  </w:r>
                  <w:r>
                    <w:rPr>
                      <w:rFonts w:hint="eastAsia" w:ascii="Times New Roman" w:hAnsi="Times New Roman" w:cs="Times New Roman"/>
                      <w:color w:val="auto"/>
                      <w:sz w:val="21"/>
                      <w:szCs w:val="21"/>
                      <w:highlight w:val="none"/>
                      <w:lang w:val="en-US" w:eastAsia="zh-CN"/>
                    </w:rPr>
                    <w:t>2.1</w:t>
                  </w:r>
                  <w:r>
                    <w:rPr>
                      <w:rFonts w:hint="default" w:ascii="Times New Roman" w:hAnsi="Times New Roman" w:cs="Times New Roman"/>
                      <w:color w:val="auto"/>
                      <w:sz w:val="21"/>
                      <w:szCs w:val="21"/>
                      <w:highlight w:val="none"/>
                      <w:lang w:val="en-US" w:eastAsia="zh-CN"/>
                    </w:rPr>
                    <w:t>m/s</w:t>
                  </w:r>
                  <w:r>
                    <w:rPr>
                      <w:rFonts w:hint="default" w:ascii="Times New Roman" w:hAnsi="Times New Roman" w:eastAsia="宋体" w:cs="Times New Roman"/>
                      <w:bCs/>
                      <w:color w:val="auto"/>
                      <w:sz w:val="21"/>
                      <w:szCs w:val="21"/>
                      <w:highlight w:val="none"/>
                      <w:lang w:val="en-US" w:eastAsia="zh-CN"/>
                    </w:rPr>
                    <w:t>。</w:t>
                  </w:r>
                </w:p>
              </w:tc>
            </w:tr>
          </w:tbl>
          <w:p w14:paraId="23F9A249">
            <w:pPr>
              <w:ind w:left="0" w:leftChars="0" w:firstLine="0" w:firstLineChars="0"/>
              <w:rPr>
                <w:rFonts w:cs="Times New Roman"/>
                <w:b/>
                <w:bCs/>
                <w:color w:val="auto"/>
              </w:rPr>
            </w:pPr>
            <w:r>
              <w:rPr>
                <w:rFonts w:cs="Times New Roman"/>
                <w:b/>
                <w:bCs/>
                <w:color w:val="auto"/>
              </w:rPr>
              <w:t>3、土壤和地下水环境质量现状</w:t>
            </w:r>
          </w:p>
          <w:p w14:paraId="3426203D">
            <w:pPr>
              <w:ind w:firstLine="480"/>
              <w:rPr>
                <w:rFonts w:cs="Times New Roman"/>
                <w:color w:val="auto"/>
              </w:rPr>
            </w:pPr>
            <w:r>
              <w:rPr>
                <w:rFonts w:cs="Times New Roman"/>
                <w:color w:val="auto"/>
              </w:rPr>
              <w:t>按照《建设项目环境影响报告表编制技术指南（污染影响类）（试行）》，原则上不开展地下水、土壤环境质量现状调查。</w:t>
            </w:r>
          </w:p>
          <w:p w14:paraId="44B6EB28">
            <w:pPr>
              <w:ind w:firstLine="480"/>
              <w:rPr>
                <w:rFonts w:cs="Times New Roman"/>
                <w:color w:val="auto"/>
              </w:rPr>
            </w:pPr>
            <w:r>
              <w:rPr>
                <w:rFonts w:cs="Times New Roman"/>
                <w:color w:val="auto"/>
              </w:rPr>
              <w:t>依据《环境影响评价技术导则 地下水环境》（HJ610-2016）附录A-地下水环境影响评价行业分类表之划分，建设项目地下水环境影响评价项目类别属</w:t>
            </w:r>
            <w:r>
              <w:rPr>
                <w:rFonts w:cs="Times New Roman"/>
                <w:color w:val="auto"/>
              </w:rPr>
              <w:fldChar w:fldCharType="begin"/>
            </w:r>
            <w:r>
              <w:rPr>
                <w:rFonts w:cs="Times New Roman"/>
                <w:color w:val="auto"/>
              </w:rPr>
              <w:instrText xml:space="preserve"> = 4 \* ROMAN </w:instrText>
            </w:r>
            <w:r>
              <w:rPr>
                <w:rFonts w:cs="Times New Roman"/>
                <w:color w:val="auto"/>
              </w:rPr>
              <w:fldChar w:fldCharType="separate"/>
            </w:r>
            <w:r>
              <w:rPr>
                <w:rFonts w:cs="Times New Roman"/>
                <w:color w:val="auto"/>
              </w:rPr>
              <w:t>IV</w:t>
            </w:r>
            <w:r>
              <w:rPr>
                <w:rFonts w:cs="Times New Roman"/>
                <w:color w:val="auto"/>
              </w:rPr>
              <w:fldChar w:fldCharType="end"/>
            </w:r>
            <w:r>
              <w:rPr>
                <w:rFonts w:cs="Times New Roman"/>
                <w:color w:val="auto"/>
              </w:rPr>
              <w:t>类（参见附录A-地下水环境影响评价行业分类表-60、砼结构构件制造、商品混凝土加工-全部）。因此无需进行地下水监测及评价。</w:t>
            </w:r>
          </w:p>
          <w:p w14:paraId="01B90056">
            <w:pPr>
              <w:ind w:firstLine="480"/>
              <w:rPr>
                <w:rFonts w:cs="Times New Roman"/>
                <w:color w:val="auto"/>
              </w:rPr>
            </w:pPr>
            <w:r>
              <w:rPr>
                <w:rFonts w:cs="Times New Roman"/>
                <w:color w:val="auto"/>
              </w:rPr>
              <w:t>对照《环境影响评价技术导则  土壤环境（试行）》（HJ964-2018）附录A-土壤环境影响评价项目类别，判定本项目土壤类别为“其他行业-全部”，为Ⅳ类建设项目，根据《环境影响评价技术导则  土壤环境（试行）》（HJ964-2018）4.2.2“Ⅳ类项目可不开展土壤环境影响评价”。</w:t>
            </w:r>
          </w:p>
        </w:tc>
      </w:tr>
      <w:tr w14:paraId="4D5AD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24" w:type="dxa"/>
            <w:vAlign w:val="center"/>
          </w:tcPr>
          <w:p w14:paraId="0DC64720">
            <w:pPr>
              <w:ind w:firstLine="0" w:firstLineChars="0"/>
              <w:jc w:val="center"/>
              <w:rPr>
                <w:rFonts w:cs="Times New Roman"/>
                <w:color w:val="auto"/>
              </w:rPr>
            </w:pPr>
            <w:r>
              <w:rPr>
                <w:rFonts w:cs="Times New Roman"/>
                <w:color w:val="auto"/>
              </w:rPr>
              <w:t>环境保护目标</w:t>
            </w:r>
          </w:p>
        </w:tc>
        <w:tc>
          <w:tcPr>
            <w:tcW w:w="7698" w:type="dxa"/>
            <w:vAlign w:val="center"/>
          </w:tcPr>
          <w:p w14:paraId="1D9F440C">
            <w:pPr>
              <w:ind w:left="0" w:leftChars="0" w:firstLine="0" w:firstLineChars="0"/>
              <w:rPr>
                <w:rFonts w:cs="Times New Roman"/>
                <w:b/>
                <w:bCs/>
                <w:color w:val="auto"/>
              </w:rPr>
            </w:pPr>
            <w:r>
              <w:rPr>
                <w:rFonts w:cs="Times New Roman"/>
                <w:b/>
                <w:bCs/>
                <w:color w:val="auto"/>
              </w:rPr>
              <w:t>环境保护目标</w:t>
            </w:r>
          </w:p>
          <w:p w14:paraId="4F401C3F">
            <w:pPr>
              <w:ind w:firstLine="480"/>
              <w:rPr>
                <w:rFonts w:cs="Times New Roman"/>
                <w:color w:val="auto"/>
              </w:rPr>
            </w:pPr>
            <w:r>
              <w:rPr>
                <w:rFonts w:cs="Times New Roman"/>
                <w:color w:val="auto"/>
              </w:rPr>
              <w:t>本项目厂界500m范围内无自然保护区、风景名胜区、文物古迹、文化区等敏感目标，厂界50m范围</w:t>
            </w:r>
            <w:r>
              <w:rPr>
                <w:rFonts w:hint="eastAsia" w:cs="Times New Roman"/>
                <w:color w:val="auto"/>
                <w:lang w:val="en-US" w:eastAsia="zh-CN"/>
              </w:rPr>
              <w:t>有</w:t>
            </w:r>
            <w:r>
              <w:rPr>
                <w:rFonts w:cs="Times New Roman"/>
                <w:color w:val="auto"/>
              </w:rPr>
              <w:t>人群集中区域</w:t>
            </w:r>
            <w:r>
              <w:rPr>
                <w:rFonts w:hint="eastAsia" w:cs="Times New Roman"/>
                <w:color w:val="auto"/>
                <w:lang w:eastAsia="zh-CN"/>
              </w:rPr>
              <w:t>，</w:t>
            </w:r>
            <w:r>
              <w:rPr>
                <w:rFonts w:hint="eastAsia" w:cs="Times New Roman"/>
                <w:color w:val="auto"/>
                <w:lang w:val="en-US" w:eastAsia="zh-CN"/>
              </w:rPr>
              <w:t>最近处仅为9m</w:t>
            </w:r>
            <w:r>
              <w:rPr>
                <w:rFonts w:cs="Times New Roman"/>
                <w:color w:val="auto"/>
              </w:rPr>
              <w:t>；本项目500m范围内无地下水集中式饮用水源地和热水、矿泉水、温泉等特殊地下水资源；项目区周边无生态环境保护目标。针对施工场地以及运营期周围具体环境敏感点进行现场考察，并结合项目本身的特点，确定该项目的具体保护目标及保护级别见表 3-</w:t>
            </w:r>
            <w:r>
              <w:rPr>
                <w:rFonts w:hint="eastAsia" w:cs="Times New Roman"/>
                <w:color w:val="auto"/>
                <w:lang w:val="en-US" w:eastAsia="zh-CN"/>
              </w:rPr>
              <w:t>3</w:t>
            </w:r>
            <w:r>
              <w:rPr>
                <w:rFonts w:cs="Times New Roman"/>
                <w:color w:val="auto"/>
              </w:rPr>
              <w:t>。具体环境保护目标见附图。</w:t>
            </w:r>
          </w:p>
          <w:p w14:paraId="13252C58">
            <w:pPr>
              <w:pStyle w:val="36"/>
              <w:rPr>
                <w:rFonts w:cs="Times New Roman"/>
                <w:color w:val="auto"/>
              </w:rPr>
            </w:pPr>
            <w:r>
              <w:rPr>
                <w:rFonts w:cs="Times New Roman"/>
                <w:color w:val="auto"/>
              </w:rPr>
              <w:t>表3-</w:t>
            </w:r>
            <w:r>
              <w:rPr>
                <w:rFonts w:hint="eastAsia" w:cs="Times New Roman"/>
                <w:color w:val="auto"/>
                <w:lang w:val="en-US" w:eastAsia="zh-CN"/>
              </w:rPr>
              <w:t>3</w:t>
            </w:r>
            <w:r>
              <w:rPr>
                <w:rFonts w:cs="Times New Roman"/>
                <w:color w:val="auto"/>
              </w:rPr>
              <w:t xml:space="preserve">  项目大气、噪声环境保护目标一览表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7"/>
              <w:gridCol w:w="871"/>
              <w:gridCol w:w="865"/>
              <w:gridCol w:w="1377"/>
              <w:gridCol w:w="705"/>
              <w:gridCol w:w="810"/>
              <w:gridCol w:w="572"/>
              <w:gridCol w:w="1625"/>
            </w:tblGrid>
            <w:tr w14:paraId="4EE00F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tcBorders>
                    <w:tl2br w:val="nil"/>
                    <w:tr2bl w:val="nil"/>
                  </w:tcBorders>
                  <w:vAlign w:val="center"/>
                </w:tcPr>
                <w:p w14:paraId="748D1BDA">
                  <w:pPr>
                    <w:pStyle w:val="50"/>
                    <w:jc w:val="center"/>
                    <w:rPr>
                      <w:b/>
                      <w:bCs/>
                      <w:color w:val="auto"/>
                    </w:rPr>
                  </w:pPr>
                  <w:r>
                    <w:rPr>
                      <w:b/>
                      <w:bCs/>
                      <w:color w:val="auto"/>
                    </w:rPr>
                    <w:t>环境要素</w:t>
                  </w:r>
                </w:p>
              </w:tc>
              <w:tc>
                <w:tcPr>
                  <w:tcW w:w="582" w:type="pct"/>
                  <w:tcBorders>
                    <w:tl2br w:val="nil"/>
                    <w:tr2bl w:val="nil"/>
                  </w:tcBorders>
                  <w:vAlign w:val="center"/>
                </w:tcPr>
                <w:p w14:paraId="5FE6AECD">
                  <w:pPr>
                    <w:pStyle w:val="50"/>
                    <w:jc w:val="center"/>
                    <w:rPr>
                      <w:b/>
                      <w:bCs/>
                      <w:color w:val="auto"/>
                    </w:rPr>
                  </w:pPr>
                  <w:r>
                    <w:rPr>
                      <w:b/>
                      <w:bCs/>
                      <w:color w:val="auto"/>
                    </w:rPr>
                    <w:t>保护范围</w:t>
                  </w:r>
                </w:p>
              </w:tc>
              <w:tc>
                <w:tcPr>
                  <w:tcW w:w="578" w:type="pct"/>
                  <w:tcBorders>
                    <w:tl2br w:val="nil"/>
                    <w:tr2bl w:val="nil"/>
                  </w:tcBorders>
                  <w:vAlign w:val="center"/>
                </w:tcPr>
                <w:p w14:paraId="580090CC">
                  <w:pPr>
                    <w:pStyle w:val="50"/>
                    <w:jc w:val="center"/>
                    <w:rPr>
                      <w:b/>
                      <w:bCs/>
                      <w:color w:val="auto"/>
                    </w:rPr>
                  </w:pPr>
                  <w:r>
                    <w:rPr>
                      <w:b/>
                      <w:bCs/>
                      <w:color w:val="auto"/>
                    </w:rPr>
                    <w:t>保护目标名称</w:t>
                  </w:r>
                </w:p>
              </w:tc>
              <w:tc>
                <w:tcPr>
                  <w:tcW w:w="920" w:type="pct"/>
                  <w:tcBorders>
                    <w:tl2br w:val="nil"/>
                    <w:tr2bl w:val="nil"/>
                  </w:tcBorders>
                  <w:vAlign w:val="center"/>
                </w:tcPr>
                <w:p w14:paraId="7436560C">
                  <w:pPr>
                    <w:pStyle w:val="50"/>
                    <w:jc w:val="center"/>
                    <w:rPr>
                      <w:b/>
                      <w:bCs/>
                      <w:color w:val="auto"/>
                    </w:rPr>
                  </w:pPr>
                  <w:r>
                    <w:rPr>
                      <w:b/>
                      <w:bCs/>
                      <w:color w:val="auto"/>
                    </w:rPr>
                    <w:t>坐标</w:t>
                  </w:r>
                </w:p>
              </w:tc>
              <w:tc>
                <w:tcPr>
                  <w:tcW w:w="471" w:type="pct"/>
                  <w:tcBorders>
                    <w:tl2br w:val="nil"/>
                    <w:tr2bl w:val="nil"/>
                  </w:tcBorders>
                  <w:vAlign w:val="center"/>
                </w:tcPr>
                <w:p w14:paraId="79C8A6BE">
                  <w:pPr>
                    <w:pStyle w:val="50"/>
                    <w:jc w:val="center"/>
                    <w:rPr>
                      <w:b/>
                      <w:bCs/>
                      <w:color w:val="auto"/>
                    </w:rPr>
                  </w:pPr>
                  <w:r>
                    <w:rPr>
                      <w:b/>
                      <w:bCs/>
                      <w:color w:val="auto"/>
                    </w:rPr>
                    <w:t>相对位置</w:t>
                  </w:r>
                </w:p>
              </w:tc>
              <w:tc>
                <w:tcPr>
                  <w:tcW w:w="541" w:type="pct"/>
                  <w:tcBorders>
                    <w:tl2br w:val="nil"/>
                    <w:tr2bl w:val="nil"/>
                  </w:tcBorders>
                  <w:vAlign w:val="center"/>
                </w:tcPr>
                <w:p w14:paraId="1525EF67">
                  <w:pPr>
                    <w:pStyle w:val="50"/>
                    <w:jc w:val="center"/>
                    <w:rPr>
                      <w:b/>
                      <w:bCs/>
                      <w:color w:val="auto"/>
                    </w:rPr>
                  </w:pPr>
                  <w:r>
                    <w:rPr>
                      <w:b/>
                      <w:bCs/>
                      <w:color w:val="auto"/>
                    </w:rPr>
                    <w:t>距离（m）</w:t>
                  </w:r>
                </w:p>
              </w:tc>
              <w:tc>
                <w:tcPr>
                  <w:tcW w:w="382" w:type="pct"/>
                  <w:tcBorders>
                    <w:tl2br w:val="nil"/>
                    <w:tr2bl w:val="nil"/>
                  </w:tcBorders>
                  <w:vAlign w:val="center"/>
                </w:tcPr>
                <w:p w14:paraId="0510E6FB">
                  <w:pPr>
                    <w:pStyle w:val="50"/>
                    <w:jc w:val="center"/>
                    <w:rPr>
                      <w:b/>
                      <w:bCs/>
                      <w:color w:val="auto"/>
                    </w:rPr>
                  </w:pPr>
                  <w:r>
                    <w:rPr>
                      <w:b/>
                      <w:bCs/>
                      <w:color w:val="auto"/>
                    </w:rPr>
                    <w:t>人数</w:t>
                  </w:r>
                </w:p>
              </w:tc>
              <w:tc>
                <w:tcPr>
                  <w:tcW w:w="1085" w:type="pct"/>
                  <w:tcBorders>
                    <w:tl2br w:val="nil"/>
                    <w:tr2bl w:val="nil"/>
                  </w:tcBorders>
                  <w:vAlign w:val="center"/>
                </w:tcPr>
                <w:p w14:paraId="58C85D59">
                  <w:pPr>
                    <w:pStyle w:val="50"/>
                    <w:jc w:val="center"/>
                    <w:rPr>
                      <w:b/>
                      <w:bCs/>
                      <w:color w:val="auto"/>
                    </w:rPr>
                  </w:pPr>
                  <w:r>
                    <w:rPr>
                      <w:b/>
                      <w:bCs/>
                      <w:color w:val="auto"/>
                    </w:rPr>
                    <w:t>保护级别</w:t>
                  </w:r>
                </w:p>
              </w:tc>
            </w:tr>
            <w:tr w14:paraId="0F2392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tcBorders>
                    <w:tl2br w:val="nil"/>
                    <w:tr2bl w:val="nil"/>
                  </w:tcBorders>
                  <w:shd w:val="clear" w:color="auto" w:fill="auto"/>
                  <w:vAlign w:val="center"/>
                </w:tcPr>
                <w:p w14:paraId="34F20FC3">
                  <w:pPr>
                    <w:pStyle w:val="50"/>
                    <w:ind w:firstLine="0" w:firstLineChars="0"/>
                    <w:jc w:val="center"/>
                    <w:rPr>
                      <w:rFonts w:ascii="Times New Roman" w:hAnsi="Times New Roman" w:eastAsia="宋体" w:cs="Times New Roman"/>
                      <w:color w:val="auto"/>
                      <w:kern w:val="2"/>
                      <w:sz w:val="21"/>
                      <w:szCs w:val="24"/>
                      <w:lang w:val="en-US" w:eastAsia="zh-CN" w:bidi="ar-SA"/>
                    </w:rPr>
                  </w:pPr>
                  <w:r>
                    <w:rPr>
                      <w:color w:val="auto"/>
                    </w:rPr>
                    <w:t>环境空气</w:t>
                  </w:r>
                </w:p>
              </w:tc>
              <w:tc>
                <w:tcPr>
                  <w:tcW w:w="582" w:type="pct"/>
                  <w:tcBorders>
                    <w:tl2br w:val="nil"/>
                    <w:tr2bl w:val="nil"/>
                  </w:tcBorders>
                  <w:shd w:val="clear" w:color="auto" w:fill="auto"/>
                  <w:vAlign w:val="center"/>
                </w:tcPr>
                <w:p w14:paraId="25A1FBC6">
                  <w:pPr>
                    <w:pStyle w:val="50"/>
                    <w:ind w:firstLine="0" w:firstLineChars="0"/>
                    <w:jc w:val="center"/>
                    <w:rPr>
                      <w:rFonts w:ascii="Times New Roman" w:hAnsi="Times New Roman" w:eastAsia="宋体" w:cs="Times New Roman"/>
                      <w:color w:val="auto"/>
                      <w:kern w:val="2"/>
                      <w:sz w:val="21"/>
                      <w:szCs w:val="24"/>
                      <w:lang w:val="en-US" w:eastAsia="zh-CN" w:bidi="ar-SA"/>
                    </w:rPr>
                  </w:pPr>
                  <w:r>
                    <w:rPr>
                      <w:color w:val="auto"/>
                    </w:rPr>
                    <w:t>厂界外扩500m范围</w:t>
                  </w:r>
                </w:p>
              </w:tc>
              <w:tc>
                <w:tcPr>
                  <w:tcW w:w="578" w:type="pct"/>
                  <w:tcBorders>
                    <w:tl2br w:val="nil"/>
                    <w:tr2bl w:val="nil"/>
                  </w:tcBorders>
                  <w:shd w:val="clear" w:color="auto" w:fill="auto"/>
                  <w:vAlign w:val="center"/>
                </w:tcPr>
                <w:p w14:paraId="2F0329EA">
                  <w:pPr>
                    <w:pStyle w:val="50"/>
                    <w:ind w:firstLine="0" w:firstLineChars="0"/>
                    <w:jc w:val="center"/>
                    <w:rPr>
                      <w:rFonts w:hint="default" w:ascii="Times New Roman" w:hAnsi="Times New Roman" w:eastAsia="宋体" w:cs="Times New Roman"/>
                      <w:b/>
                      <w:bCs/>
                      <w:color w:val="auto"/>
                      <w:kern w:val="2"/>
                      <w:sz w:val="21"/>
                      <w:szCs w:val="24"/>
                      <w:lang w:val="en-US" w:eastAsia="zh-CN" w:bidi="ar-SA"/>
                    </w:rPr>
                  </w:pPr>
                  <w:r>
                    <w:rPr>
                      <w:rFonts w:hint="eastAsia"/>
                      <w:b w:val="0"/>
                      <w:bCs w:val="0"/>
                      <w:color w:val="auto"/>
                      <w:lang w:val="en-US" w:eastAsia="zh-CN"/>
                    </w:rPr>
                    <w:t>周边居民</w:t>
                  </w:r>
                </w:p>
              </w:tc>
              <w:tc>
                <w:tcPr>
                  <w:tcW w:w="920" w:type="pct"/>
                  <w:tcBorders>
                    <w:tl2br w:val="nil"/>
                    <w:tr2bl w:val="nil"/>
                  </w:tcBorders>
                  <w:shd w:val="clear" w:color="auto" w:fill="auto"/>
                  <w:vAlign w:val="center"/>
                </w:tcPr>
                <w:p w14:paraId="71BA8FD6">
                  <w:pPr>
                    <w:pStyle w:val="50"/>
                    <w:ind w:firstLine="0" w:firstLineChars="0"/>
                    <w:jc w:val="center"/>
                    <w:rPr>
                      <w:rFonts w:hint="eastAsia" w:ascii="Times New Roman" w:hAnsi="Times New Roman" w:eastAsia="宋体" w:cs="Times New Roman"/>
                      <w:b/>
                      <w:bCs/>
                      <w:color w:val="auto"/>
                      <w:kern w:val="2"/>
                      <w:sz w:val="21"/>
                      <w:szCs w:val="24"/>
                      <w:lang w:val="en-US" w:eastAsia="zh-CN" w:bidi="ar-SA"/>
                    </w:rPr>
                  </w:pPr>
                  <w:r>
                    <w:rPr>
                      <w:rFonts w:hint="eastAsia"/>
                      <w:b w:val="0"/>
                      <w:bCs w:val="0"/>
                      <w:color w:val="auto"/>
                    </w:rPr>
                    <w:t>107°01'22.2044"</w:t>
                  </w:r>
                  <w:r>
                    <w:rPr>
                      <w:rFonts w:hint="eastAsia"/>
                      <w:b w:val="0"/>
                      <w:bCs w:val="0"/>
                      <w:color w:val="auto"/>
                      <w:lang w:eastAsia="zh-CN"/>
                    </w:rPr>
                    <w:t>；40°19'13.9535"</w:t>
                  </w:r>
                </w:p>
              </w:tc>
              <w:tc>
                <w:tcPr>
                  <w:tcW w:w="471" w:type="pct"/>
                  <w:tcBorders>
                    <w:tl2br w:val="nil"/>
                    <w:tr2bl w:val="nil"/>
                  </w:tcBorders>
                  <w:shd w:val="clear" w:color="auto" w:fill="auto"/>
                  <w:vAlign w:val="center"/>
                </w:tcPr>
                <w:p w14:paraId="3CA35E38">
                  <w:pPr>
                    <w:pStyle w:val="50"/>
                    <w:ind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北侧、西侧</w:t>
                  </w:r>
                </w:p>
              </w:tc>
              <w:tc>
                <w:tcPr>
                  <w:tcW w:w="541" w:type="pct"/>
                  <w:tcBorders>
                    <w:tl2br w:val="nil"/>
                    <w:tr2bl w:val="nil"/>
                  </w:tcBorders>
                  <w:vAlign w:val="center"/>
                </w:tcPr>
                <w:p w14:paraId="5E14B516">
                  <w:pPr>
                    <w:pStyle w:val="50"/>
                    <w:jc w:val="center"/>
                    <w:rPr>
                      <w:rFonts w:hint="default" w:eastAsia="宋体"/>
                      <w:b w:val="0"/>
                      <w:bCs w:val="0"/>
                      <w:color w:val="auto"/>
                      <w:lang w:val="en-US" w:eastAsia="zh-CN"/>
                    </w:rPr>
                  </w:pPr>
                  <w:r>
                    <w:rPr>
                      <w:rFonts w:hint="eastAsia"/>
                      <w:b w:val="0"/>
                      <w:bCs w:val="0"/>
                      <w:color w:val="auto"/>
                      <w:lang w:val="en-US" w:eastAsia="zh-CN"/>
                    </w:rPr>
                    <w:t>10</w:t>
                  </w:r>
                </w:p>
              </w:tc>
              <w:tc>
                <w:tcPr>
                  <w:tcW w:w="382" w:type="pct"/>
                  <w:tcBorders>
                    <w:tl2br w:val="nil"/>
                    <w:tr2bl w:val="nil"/>
                  </w:tcBorders>
                  <w:vAlign w:val="center"/>
                </w:tcPr>
                <w:p w14:paraId="2B1AE5E5">
                  <w:pPr>
                    <w:pStyle w:val="50"/>
                    <w:jc w:val="center"/>
                    <w:rPr>
                      <w:rFonts w:hint="default" w:eastAsia="宋体"/>
                      <w:b w:val="0"/>
                      <w:bCs w:val="0"/>
                      <w:color w:val="auto"/>
                      <w:lang w:val="en-US" w:eastAsia="zh-CN"/>
                    </w:rPr>
                  </w:pPr>
                  <w:r>
                    <w:rPr>
                      <w:rFonts w:hint="eastAsia"/>
                      <w:b w:val="0"/>
                      <w:bCs w:val="0"/>
                      <w:color w:val="auto"/>
                      <w:lang w:val="en-US" w:eastAsia="zh-CN"/>
                    </w:rPr>
                    <w:t>20</w:t>
                  </w:r>
                </w:p>
              </w:tc>
              <w:tc>
                <w:tcPr>
                  <w:tcW w:w="1085" w:type="pct"/>
                  <w:tcBorders>
                    <w:tl2br w:val="nil"/>
                    <w:tr2bl w:val="nil"/>
                  </w:tcBorders>
                  <w:vAlign w:val="center"/>
                </w:tcPr>
                <w:p w14:paraId="78ABA7A7">
                  <w:pPr>
                    <w:pStyle w:val="50"/>
                    <w:jc w:val="center"/>
                    <w:rPr>
                      <w:b/>
                      <w:bCs/>
                      <w:color w:val="auto"/>
                    </w:rPr>
                  </w:pPr>
                  <w:r>
                    <w:rPr>
                      <w:color w:val="auto"/>
                    </w:rPr>
                    <w:t>《环境空气质量标准》（GB3095-2012）二级标准</w:t>
                  </w:r>
                </w:p>
              </w:tc>
            </w:tr>
            <w:tr w14:paraId="022F28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tcBorders>
                    <w:tl2br w:val="nil"/>
                    <w:tr2bl w:val="nil"/>
                  </w:tcBorders>
                  <w:shd w:val="clear" w:color="auto" w:fill="auto"/>
                  <w:vAlign w:val="center"/>
                </w:tcPr>
                <w:p w14:paraId="15BBC7ED">
                  <w:pPr>
                    <w:pStyle w:val="50"/>
                    <w:ind w:firstLine="0" w:firstLineChars="0"/>
                    <w:jc w:val="center"/>
                    <w:rPr>
                      <w:rFonts w:ascii="Times New Roman" w:hAnsi="Times New Roman" w:eastAsia="宋体" w:cs="Times New Roman"/>
                      <w:color w:val="auto"/>
                      <w:kern w:val="2"/>
                      <w:sz w:val="21"/>
                      <w:szCs w:val="24"/>
                      <w:lang w:val="en-US" w:eastAsia="zh-CN" w:bidi="ar-SA"/>
                    </w:rPr>
                  </w:pPr>
                  <w:r>
                    <w:rPr>
                      <w:color w:val="auto"/>
                    </w:rPr>
                    <w:t>声环境</w:t>
                  </w:r>
                </w:p>
              </w:tc>
              <w:tc>
                <w:tcPr>
                  <w:tcW w:w="582" w:type="pct"/>
                  <w:tcBorders>
                    <w:tl2br w:val="nil"/>
                    <w:tr2bl w:val="nil"/>
                  </w:tcBorders>
                  <w:shd w:val="clear" w:color="auto" w:fill="auto"/>
                  <w:vAlign w:val="center"/>
                </w:tcPr>
                <w:p w14:paraId="0D25291E">
                  <w:pPr>
                    <w:pStyle w:val="50"/>
                    <w:ind w:firstLine="0" w:firstLineChars="0"/>
                    <w:jc w:val="center"/>
                    <w:rPr>
                      <w:rFonts w:ascii="Times New Roman" w:hAnsi="Times New Roman" w:eastAsia="宋体" w:cs="Times New Roman"/>
                      <w:color w:val="auto"/>
                      <w:kern w:val="2"/>
                      <w:sz w:val="21"/>
                      <w:szCs w:val="24"/>
                      <w:lang w:val="en-US" w:eastAsia="zh-CN" w:bidi="ar-SA"/>
                    </w:rPr>
                  </w:pPr>
                  <w:r>
                    <w:rPr>
                      <w:color w:val="auto"/>
                    </w:rPr>
                    <w:t>厂界外扩50m范围</w:t>
                  </w:r>
                </w:p>
              </w:tc>
              <w:tc>
                <w:tcPr>
                  <w:tcW w:w="578" w:type="pct"/>
                  <w:tcBorders>
                    <w:tl2br w:val="nil"/>
                    <w:tr2bl w:val="nil"/>
                  </w:tcBorders>
                  <w:shd w:val="clear" w:color="auto" w:fill="auto"/>
                  <w:vAlign w:val="center"/>
                </w:tcPr>
                <w:p w14:paraId="6A7F4C74">
                  <w:pPr>
                    <w:pStyle w:val="50"/>
                    <w:ind w:firstLine="0" w:firstLineChars="0"/>
                    <w:jc w:val="center"/>
                    <w:rPr>
                      <w:rFonts w:hint="eastAsia" w:ascii="Times New Roman" w:hAnsi="Times New Roman" w:eastAsia="宋体" w:cs="Times New Roman"/>
                      <w:b/>
                      <w:bCs/>
                      <w:color w:val="auto"/>
                      <w:kern w:val="2"/>
                      <w:sz w:val="21"/>
                      <w:szCs w:val="24"/>
                      <w:lang w:val="en-US" w:eastAsia="zh-CN" w:bidi="ar-SA"/>
                    </w:rPr>
                  </w:pPr>
                  <w:r>
                    <w:rPr>
                      <w:rFonts w:hint="eastAsia"/>
                      <w:b w:val="0"/>
                      <w:bCs w:val="0"/>
                      <w:color w:val="auto"/>
                      <w:lang w:val="en-US" w:eastAsia="zh-CN"/>
                    </w:rPr>
                    <w:t>周边居民</w:t>
                  </w:r>
                </w:p>
              </w:tc>
              <w:tc>
                <w:tcPr>
                  <w:tcW w:w="920" w:type="pct"/>
                  <w:tcBorders>
                    <w:tl2br w:val="nil"/>
                    <w:tr2bl w:val="nil"/>
                  </w:tcBorders>
                  <w:shd w:val="clear" w:color="auto" w:fill="auto"/>
                  <w:vAlign w:val="center"/>
                </w:tcPr>
                <w:p w14:paraId="227A1FDC">
                  <w:pPr>
                    <w:pStyle w:val="50"/>
                    <w:ind w:firstLine="0" w:firstLineChars="0"/>
                    <w:jc w:val="center"/>
                    <w:rPr>
                      <w:rFonts w:hint="eastAsia" w:ascii="Times New Roman" w:hAnsi="Times New Roman" w:eastAsia="宋体" w:cs="Times New Roman"/>
                      <w:b/>
                      <w:bCs/>
                      <w:color w:val="auto"/>
                      <w:kern w:val="2"/>
                      <w:sz w:val="21"/>
                      <w:szCs w:val="24"/>
                      <w:lang w:val="en-US" w:eastAsia="zh-CN" w:bidi="ar-SA"/>
                    </w:rPr>
                  </w:pPr>
                  <w:r>
                    <w:rPr>
                      <w:rFonts w:hint="eastAsia"/>
                      <w:b w:val="0"/>
                      <w:bCs w:val="0"/>
                      <w:color w:val="auto"/>
                    </w:rPr>
                    <w:t>107°01'22.2044"</w:t>
                  </w:r>
                  <w:r>
                    <w:rPr>
                      <w:rFonts w:hint="eastAsia"/>
                      <w:b w:val="0"/>
                      <w:bCs w:val="0"/>
                      <w:color w:val="auto"/>
                      <w:lang w:eastAsia="zh-CN"/>
                    </w:rPr>
                    <w:t>；40°19'13.9535"</w:t>
                  </w:r>
                </w:p>
              </w:tc>
              <w:tc>
                <w:tcPr>
                  <w:tcW w:w="471" w:type="pct"/>
                  <w:tcBorders>
                    <w:tl2br w:val="nil"/>
                    <w:tr2bl w:val="nil"/>
                  </w:tcBorders>
                  <w:shd w:val="clear" w:color="auto" w:fill="auto"/>
                  <w:vAlign w:val="center"/>
                </w:tcPr>
                <w:p w14:paraId="19D351CA">
                  <w:pPr>
                    <w:pStyle w:val="50"/>
                    <w:ind w:firstLine="0" w:firstLineChars="0"/>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北侧、西侧</w:t>
                  </w:r>
                </w:p>
              </w:tc>
              <w:tc>
                <w:tcPr>
                  <w:tcW w:w="541" w:type="pct"/>
                  <w:tcBorders>
                    <w:tl2br w:val="nil"/>
                    <w:tr2bl w:val="nil"/>
                  </w:tcBorders>
                  <w:shd w:val="clear" w:color="auto" w:fill="auto"/>
                  <w:vAlign w:val="center"/>
                </w:tcPr>
                <w:p w14:paraId="6CFDAFAD">
                  <w:pPr>
                    <w:pStyle w:val="50"/>
                    <w:ind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10</w:t>
                  </w:r>
                </w:p>
              </w:tc>
              <w:tc>
                <w:tcPr>
                  <w:tcW w:w="382" w:type="pct"/>
                  <w:tcBorders>
                    <w:tl2br w:val="nil"/>
                    <w:tr2bl w:val="nil"/>
                  </w:tcBorders>
                  <w:shd w:val="clear" w:color="auto" w:fill="auto"/>
                  <w:vAlign w:val="center"/>
                </w:tcPr>
                <w:p w14:paraId="66359C35">
                  <w:pPr>
                    <w:pStyle w:val="50"/>
                    <w:ind w:firstLine="0" w:firstLineChars="0"/>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20</w:t>
                  </w:r>
                </w:p>
              </w:tc>
              <w:tc>
                <w:tcPr>
                  <w:tcW w:w="1085" w:type="pct"/>
                  <w:tcBorders>
                    <w:tl2br w:val="nil"/>
                    <w:tr2bl w:val="nil"/>
                  </w:tcBorders>
                  <w:vAlign w:val="center"/>
                </w:tcPr>
                <w:p w14:paraId="731A53DE">
                  <w:pPr>
                    <w:pStyle w:val="50"/>
                    <w:jc w:val="center"/>
                    <w:rPr>
                      <w:color w:val="auto"/>
                    </w:rPr>
                  </w:pPr>
                  <w:r>
                    <w:rPr>
                      <w:color w:val="auto"/>
                    </w:rPr>
                    <w:t>《声环境质量标准》（GB3096-2008）</w:t>
                  </w:r>
                  <w:r>
                    <w:rPr>
                      <w:rFonts w:hint="eastAsia"/>
                      <w:color w:val="auto"/>
                      <w:lang w:val="en-US" w:eastAsia="zh-CN"/>
                    </w:rPr>
                    <w:t>2</w:t>
                  </w:r>
                  <w:r>
                    <w:rPr>
                      <w:color w:val="auto"/>
                    </w:rPr>
                    <w:t>类标准</w:t>
                  </w:r>
                </w:p>
              </w:tc>
            </w:tr>
            <w:tr w14:paraId="55E0B4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tcBorders>
                    <w:tl2br w:val="nil"/>
                    <w:tr2bl w:val="nil"/>
                  </w:tcBorders>
                  <w:vAlign w:val="center"/>
                </w:tcPr>
                <w:p w14:paraId="133E53CD">
                  <w:pPr>
                    <w:pStyle w:val="50"/>
                    <w:jc w:val="center"/>
                    <w:rPr>
                      <w:color w:val="auto"/>
                    </w:rPr>
                  </w:pPr>
                  <w:r>
                    <w:rPr>
                      <w:color w:val="auto"/>
                    </w:rPr>
                    <w:t>地下水环境</w:t>
                  </w:r>
                </w:p>
              </w:tc>
              <w:tc>
                <w:tcPr>
                  <w:tcW w:w="582" w:type="pct"/>
                  <w:tcBorders>
                    <w:tl2br w:val="nil"/>
                    <w:tr2bl w:val="nil"/>
                  </w:tcBorders>
                  <w:vAlign w:val="center"/>
                </w:tcPr>
                <w:p w14:paraId="46DCF373">
                  <w:pPr>
                    <w:pStyle w:val="50"/>
                    <w:jc w:val="center"/>
                    <w:rPr>
                      <w:color w:val="auto"/>
                    </w:rPr>
                  </w:pPr>
                  <w:r>
                    <w:rPr>
                      <w:color w:val="auto"/>
                    </w:rPr>
                    <w:t>厂界外扩500m范围</w:t>
                  </w:r>
                </w:p>
              </w:tc>
              <w:tc>
                <w:tcPr>
                  <w:tcW w:w="2892" w:type="pct"/>
                  <w:gridSpan w:val="5"/>
                  <w:tcBorders>
                    <w:tl2br w:val="nil"/>
                    <w:tr2bl w:val="nil"/>
                  </w:tcBorders>
                  <w:vAlign w:val="center"/>
                </w:tcPr>
                <w:p w14:paraId="0F5C3DD8">
                  <w:pPr>
                    <w:pStyle w:val="50"/>
                    <w:jc w:val="center"/>
                    <w:rPr>
                      <w:color w:val="auto"/>
                    </w:rPr>
                  </w:pPr>
                  <w:r>
                    <w:rPr>
                      <w:color w:val="auto"/>
                    </w:rPr>
                    <w:t>厂界外500m范围内无地下水集中式饮用水水源和热水、矿泉水、温泉等特殊地下水资源</w:t>
                  </w:r>
                </w:p>
              </w:tc>
              <w:tc>
                <w:tcPr>
                  <w:tcW w:w="1085" w:type="pct"/>
                  <w:tcBorders>
                    <w:tl2br w:val="nil"/>
                    <w:tr2bl w:val="nil"/>
                  </w:tcBorders>
                  <w:vAlign w:val="center"/>
                </w:tcPr>
                <w:p w14:paraId="7F8110C5">
                  <w:pPr>
                    <w:pStyle w:val="50"/>
                    <w:jc w:val="center"/>
                    <w:rPr>
                      <w:color w:val="auto"/>
                    </w:rPr>
                  </w:pPr>
                  <w:r>
                    <w:rPr>
                      <w:color w:val="auto"/>
                    </w:rPr>
                    <w:t>《地下水质量标准》(GB/T14848-2017）中</w:t>
                  </w:r>
                  <w:r>
                    <w:rPr>
                      <w:color w:val="auto"/>
                    </w:rPr>
                    <w:fldChar w:fldCharType="begin"/>
                  </w:r>
                  <w:r>
                    <w:rPr>
                      <w:color w:val="auto"/>
                    </w:rPr>
                    <w:instrText xml:space="preserve"> = 3 \* ROMAN \* MERGEFORMAT </w:instrText>
                  </w:r>
                  <w:r>
                    <w:rPr>
                      <w:color w:val="auto"/>
                    </w:rPr>
                    <w:fldChar w:fldCharType="separate"/>
                  </w:r>
                  <w:r>
                    <w:rPr>
                      <w:color w:val="auto"/>
                    </w:rPr>
                    <w:t>III</w:t>
                  </w:r>
                  <w:r>
                    <w:rPr>
                      <w:color w:val="auto"/>
                    </w:rPr>
                    <w:fldChar w:fldCharType="end"/>
                  </w:r>
                  <w:r>
                    <w:rPr>
                      <w:color w:val="auto"/>
                    </w:rPr>
                    <w:t>类标准</w:t>
                  </w:r>
                </w:p>
              </w:tc>
            </w:tr>
            <w:tr w14:paraId="102948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vAlign w:val="center"/>
                </w:tcPr>
                <w:p w14:paraId="2CB8077E">
                  <w:pPr>
                    <w:pStyle w:val="50"/>
                    <w:jc w:val="center"/>
                    <w:rPr>
                      <w:color w:val="auto"/>
                    </w:rPr>
                  </w:pPr>
                  <w:r>
                    <w:rPr>
                      <w:color w:val="auto"/>
                    </w:rPr>
                    <w:t>土壤环境</w:t>
                  </w:r>
                </w:p>
              </w:tc>
              <w:tc>
                <w:tcPr>
                  <w:tcW w:w="582" w:type="pct"/>
                  <w:vAlign w:val="center"/>
                </w:tcPr>
                <w:p w14:paraId="6EF4D60D">
                  <w:pPr>
                    <w:pStyle w:val="50"/>
                    <w:jc w:val="center"/>
                    <w:rPr>
                      <w:color w:val="auto"/>
                    </w:rPr>
                  </w:pPr>
                  <w:r>
                    <w:rPr>
                      <w:color w:val="auto"/>
                    </w:rPr>
                    <w:t>厂界外50m范围</w:t>
                  </w:r>
                </w:p>
              </w:tc>
              <w:tc>
                <w:tcPr>
                  <w:tcW w:w="2892" w:type="pct"/>
                  <w:gridSpan w:val="5"/>
                  <w:vAlign w:val="center"/>
                </w:tcPr>
                <w:p w14:paraId="07148A6F">
                  <w:pPr>
                    <w:pStyle w:val="50"/>
                    <w:jc w:val="center"/>
                    <w:rPr>
                      <w:color w:val="auto"/>
                    </w:rPr>
                  </w:pPr>
                  <w:r>
                    <w:rPr>
                      <w:color w:val="auto"/>
                    </w:rPr>
                    <w:t>厂界外50m范围内无土壤环境保护目标</w:t>
                  </w:r>
                </w:p>
              </w:tc>
              <w:tc>
                <w:tcPr>
                  <w:tcW w:w="1085" w:type="pct"/>
                  <w:vAlign w:val="center"/>
                </w:tcPr>
                <w:p w14:paraId="7B3C98A2">
                  <w:pPr>
                    <w:pStyle w:val="50"/>
                    <w:jc w:val="center"/>
                    <w:rPr>
                      <w:color w:val="auto"/>
                    </w:rPr>
                  </w:pPr>
                  <w:r>
                    <w:rPr>
                      <w:color w:val="auto"/>
                    </w:rPr>
                    <w:t>--</w:t>
                  </w:r>
                </w:p>
              </w:tc>
            </w:tr>
            <w:tr w14:paraId="4B676D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tcBorders>
                    <w:tl2br w:val="nil"/>
                    <w:tr2bl w:val="nil"/>
                  </w:tcBorders>
                  <w:vAlign w:val="center"/>
                </w:tcPr>
                <w:p w14:paraId="3DF30B17">
                  <w:pPr>
                    <w:pStyle w:val="50"/>
                    <w:jc w:val="center"/>
                    <w:rPr>
                      <w:color w:val="auto"/>
                    </w:rPr>
                  </w:pPr>
                  <w:r>
                    <w:rPr>
                      <w:color w:val="auto"/>
                    </w:rPr>
                    <w:t>生态环境</w:t>
                  </w:r>
                </w:p>
              </w:tc>
              <w:tc>
                <w:tcPr>
                  <w:tcW w:w="582" w:type="pct"/>
                  <w:tcBorders>
                    <w:tl2br w:val="nil"/>
                    <w:tr2bl w:val="nil"/>
                  </w:tcBorders>
                  <w:vAlign w:val="center"/>
                </w:tcPr>
                <w:p w14:paraId="784182E9">
                  <w:pPr>
                    <w:pStyle w:val="50"/>
                    <w:jc w:val="center"/>
                    <w:rPr>
                      <w:color w:val="auto"/>
                    </w:rPr>
                  </w:pPr>
                  <w:r>
                    <w:rPr>
                      <w:color w:val="auto"/>
                    </w:rPr>
                    <w:t>占地范围内</w:t>
                  </w:r>
                </w:p>
              </w:tc>
              <w:tc>
                <w:tcPr>
                  <w:tcW w:w="2892" w:type="pct"/>
                  <w:gridSpan w:val="5"/>
                  <w:tcBorders>
                    <w:tl2br w:val="nil"/>
                    <w:tr2bl w:val="nil"/>
                  </w:tcBorders>
                  <w:vAlign w:val="center"/>
                </w:tcPr>
                <w:p w14:paraId="1190E010">
                  <w:pPr>
                    <w:pStyle w:val="50"/>
                    <w:jc w:val="center"/>
                    <w:rPr>
                      <w:color w:val="auto"/>
                    </w:rPr>
                  </w:pPr>
                  <w:r>
                    <w:rPr>
                      <w:color w:val="auto"/>
                    </w:rPr>
                    <w:t>本项目位于</w:t>
                  </w:r>
                  <w:r>
                    <w:rPr>
                      <w:rFonts w:hint="eastAsia"/>
                      <w:color w:val="auto"/>
                      <w:lang w:val="en-US" w:eastAsia="zh-CN"/>
                    </w:rPr>
                    <w:t>巴彦高勒镇</w:t>
                  </w:r>
                  <w:r>
                    <w:rPr>
                      <w:color w:val="auto"/>
                    </w:rPr>
                    <w:t>，项目占地范围内无生态环境保护目标</w:t>
                  </w:r>
                </w:p>
              </w:tc>
              <w:tc>
                <w:tcPr>
                  <w:tcW w:w="1085" w:type="pct"/>
                  <w:tcBorders>
                    <w:tl2br w:val="nil"/>
                    <w:tr2bl w:val="nil"/>
                  </w:tcBorders>
                  <w:vAlign w:val="center"/>
                </w:tcPr>
                <w:p w14:paraId="5C4BEEC6">
                  <w:pPr>
                    <w:pStyle w:val="50"/>
                    <w:jc w:val="center"/>
                    <w:rPr>
                      <w:color w:val="auto"/>
                    </w:rPr>
                  </w:pPr>
                  <w:r>
                    <w:rPr>
                      <w:color w:val="auto"/>
                    </w:rPr>
                    <w:t>--</w:t>
                  </w:r>
                </w:p>
              </w:tc>
            </w:tr>
            <w:tr w14:paraId="27FB8C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tcBorders>
                    <w:tl2br w:val="nil"/>
                    <w:tr2bl w:val="nil"/>
                  </w:tcBorders>
                  <w:vAlign w:val="center"/>
                </w:tcPr>
                <w:p w14:paraId="6E76B675">
                  <w:pPr>
                    <w:pStyle w:val="50"/>
                    <w:jc w:val="center"/>
                    <w:rPr>
                      <w:color w:val="auto"/>
                    </w:rPr>
                  </w:pPr>
                  <w:r>
                    <w:rPr>
                      <w:color w:val="auto"/>
                    </w:rPr>
                    <w:t>环境风险</w:t>
                  </w:r>
                </w:p>
              </w:tc>
              <w:tc>
                <w:tcPr>
                  <w:tcW w:w="4560" w:type="pct"/>
                  <w:gridSpan w:val="7"/>
                  <w:tcBorders>
                    <w:tl2br w:val="nil"/>
                    <w:tr2bl w:val="nil"/>
                  </w:tcBorders>
                  <w:vAlign w:val="center"/>
                </w:tcPr>
                <w:p w14:paraId="62F650B6">
                  <w:pPr>
                    <w:pStyle w:val="50"/>
                    <w:jc w:val="center"/>
                    <w:rPr>
                      <w:color w:val="auto"/>
                    </w:rPr>
                  </w:pPr>
                  <w:r>
                    <w:rPr>
                      <w:color w:val="auto"/>
                    </w:rPr>
                    <w:t>根据《建设项目环境风险评价技术导则》HJ 169-2018，本项目Q=0.00095，确定Q＜1，环境风险潜势为Ⅰ，划分环境风险评价工作等级为简单分析，不设评价范围</w:t>
                  </w:r>
                </w:p>
              </w:tc>
            </w:tr>
          </w:tbl>
          <w:p w14:paraId="2E928DC7">
            <w:pPr>
              <w:pStyle w:val="36"/>
              <w:jc w:val="both"/>
              <w:rPr>
                <w:rFonts w:cs="Times New Roman"/>
                <w:color w:val="auto"/>
              </w:rPr>
            </w:pPr>
          </w:p>
        </w:tc>
      </w:tr>
      <w:tr w14:paraId="4D95D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824" w:type="dxa"/>
            <w:tcMar>
              <w:left w:w="28" w:type="dxa"/>
              <w:right w:w="28" w:type="dxa"/>
            </w:tcMar>
            <w:vAlign w:val="center"/>
          </w:tcPr>
          <w:p w14:paraId="4679D097">
            <w:pPr>
              <w:ind w:firstLine="0" w:firstLineChars="0"/>
              <w:jc w:val="center"/>
              <w:rPr>
                <w:rFonts w:cs="Times New Roman"/>
                <w:color w:val="auto"/>
              </w:rPr>
            </w:pPr>
            <w:r>
              <w:rPr>
                <w:rFonts w:cs="Times New Roman"/>
                <w:color w:val="auto"/>
              </w:rPr>
              <w:t>污染物排放控制标准</w:t>
            </w:r>
          </w:p>
        </w:tc>
        <w:tc>
          <w:tcPr>
            <w:tcW w:w="7698" w:type="dxa"/>
            <w:vAlign w:val="center"/>
          </w:tcPr>
          <w:p w14:paraId="23BD12F6">
            <w:pPr>
              <w:ind w:left="0" w:leftChars="0" w:firstLine="0" w:firstLineChars="0"/>
              <w:rPr>
                <w:rFonts w:cs="Times New Roman"/>
                <w:b/>
                <w:bCs/>
                <w:color w:val="auto"/>
                <w:lang w:val="zh-CN"/>
              </w:rPr>
            </w:pPr>
            <w:r>
              <w:rPr>
                <w:rFonts w:cs="Times New Roman"/>
                <w:b/>
                <w:bCs/>
                <w:color w:val="auto"/>
                <w:lang w:val="zh-CN"/>
              </w:rPr>
              <w:t>1、大气污染物排放标准</w:t>
            </w:r>
          </w:p>
          <w:p w14:paraId="795F4CDD">
            <w:pPr>
              <w:ind w:left="0" w:leftChars="0" w:firstLine="0" w:firstLineChars="0"/>
              <w:rPr>
                <w:rFonts w:cs="Times New Roman"/>
                <w:b/>
                <w:bCs/>
                <w:color w:val="auto"/>
              </w:rPr>
            </w:pPr>
            <w:r>
              <w:rPr>
                <w:rFonts w:cs="Times New Roman"/>
                <w:b/>
                <w:bCs/>
                <w:color w:val="auto"/>
              </w:rPr>
              <w:t>1.1施工期</w:t>
            </w:r>
          </w:p>
          <w:p w14:paraId="02E1D46F">
            <w:pPr>
              <w:ind w:firstLine="480"/>
              <w:rPr>
                <w:rFonts w:cs="Times New Roman"/>
                <w:color w:val="auto"/>
              </w:rPr>
            </w:pPr>
            <w:r>
              <w:rPr>
                <w:rFonts w:cs="Times New Roman"/>
                <w:color w:val="auto"/>
              </w:rPr>
              <w:t>本项目施工期产生的废气污染物主要是颗粒物，排放执行《大气污染物综合排放标准》（GB16297-1996）表2新污染源大气污染物排放限值中“无组织排放监控浓度限值”。</w:t>
            </w:r>
          </w:p>
          <w:p w14:paraId="13E98A11">
            <w:pPr>
              <w:pStyle w:val="36"/>
              <w:rPr>
                <w:rFonts w:cs="Times New Roman"/>
                <w:color w:val="auto"/>
              </w:rPr>
            </w:pPr>
            <w:r>
              <w:rPr>
                <w:rFonts w:cs="Times New Roman"/>
                <w:color w:val="auto"/>
              </w:rPr>
              <w:t>表3-</w:t>
            </w:r>
            <w:r>
              <w:rPr>
                <w:rFonts w:hint="eastAsia" w:cs="Times New Roman"/>
                <w:color w:val="auto"/>
                <w:lang w:val="en-US" w:eastAsia="zh-CN"/>
              </w:rPr>
              <w:t>4</w:t>
            </w:r>
            <w:r>
              <w:rPr>
                <w:rFonts w:cs="Times New Roman"/>
                <w:color w:val="auto"/>
              </w:rPr>
              <w:t xml:space="preserve"> 《大气污染物综合排放标准》（GB16297-1996）</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3305"/>
              <w:gridCol w:w="2183"/>
            </w:tblGrid>
            <w:tr w14:paraId="4049F0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32" w:type="pct"/>
                  <w:vMerge w:val="restart"/>
                  <w:tcBorders>
                    <w:tl2br w:val="nil"/>
                    <w:tr2bl w:val="nil"/>
                  </w:tcBorders>
                  <w:tcMar>
                    <w:left w:w="28" w:type="dxa"/>
                    <w:right w:w="28" w:type="dxa"/>
                  </w:tcMar>
                  <w:vAlign w:val="center"/>
                </w:tcPr>
                <w:p w14:paraId="36272904">
                  <w:pPr>
                    <w:pStyle w:val="50"/>
                    <w:jc w:val="center"/>
                    <w:rPr>
                      <w:b/>
                      <w:bCs/>
                      <w:color w:val="auto"/>
                    </w:rPr>
                  </w:pPr>
                  <w:r>
                    <w:rPr>
                      <w:b/>
                      <w:bCs/>
                      <w:color w:val="auto"/>
                    </w:rPr>
                    <w:t>污染物</w:t>
                  </w:r>
                </w:p>
              </w:tc>
              <w:tc>
                <w:tcPr>
                  <w:tcW w:w="3667" w:type="pct"/>
                  <w:gridSpan w:val="2"/>
                  <w:tcBorders>
                    <w:tl2br w:val="nil"/>
                    <w:tr2bl w:val="nil"/>
                  </w:tcBorders>
                  <w:tcMar>
                    <w:left w:w="28" w:type="dxa"/>
                    <w:right w:w="28" w:type="dxa"/>
                  </w:tcMar>
                  <w:vAlign w:val="center"/>
                </w:tcPr>
                <w:p w14:paraId="33BC1383">
                  <w:pPr>
                    <w:pStyle w:val="50"/>
                    <w:jc w:val="center"/>
                    <w:rPr>
                      <w:b/>
                      <w:bCs/>
                      <w:color w:val="auto"/>
                    </w:rPr>
                  </w:pPr>
                  <w:r>
                    <w:rPr>
                      <w:b/>
                      <w:bCs/>
                      <w:color w:val="auto"/>
                    </w:rPr>
                    <w:t>无组织排放监控浓度限值</w:t>
                  </w:r>
                </w:p>
              </w:tc>
            </w:tr>
            <w:tr w14:paraId="0338E1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332" w:type="pct"/>
                  <w:vMerge w:val="continue"/>
                  <w:tcBorders>
                    <w:tl2br w:val="nil"/>
                    <w:tr2bl w:val="nil"/>
                  </w:tcBorders>
                  <w:tcMar>
                    <w:left w:w="28" w:type="dxa"/>
                    <w:right w:w="28" w:type="dxa"/>
                  </w:tcMar>
                  <w:vAlign w:val="center"/>
                </w:tcPr>
                <w:p w14:paraId="6AAE842D">
                  <w:pPr>
                    <w:pStyle w:val="50"/>
                    <w:jc w:val="center"/>
                    <w:rPr>
                      <w:b/>
                      <w:bCs/>
                      <w:color w:val="auto"/>
                    </w:rPr>
                  </w:pPr>
                </w:p>
              </w:tc>
              <w:tc>
                <w:tcPr>
                  <w:tcW w:w="2208" w:type="pct"/>
                  <w:tcBorders>
                    <w:tl2br w:val="nil"/>
                    <w:tr2bl w:val="nil"/>
                  </w:tcBorders>
                  <w:tcMar>
                    <w:left w:w="28" w:type="dxa"/>
                    <w:right w:w="28" w:type="dxa"/>
                  </w:tcMar>
                  <w:vAlign w:val="center"/>
                </w:tcPr>
                <w:p w14:paraId="781E1C4C">
                  <w:pPr>
                    <w:pStyle w:val="50"/>
                    <w:jc w:val="center"/>
                    <w:rPr>
                      <w:b/>
                      <w:bCs/>
                      <w:color w:val="auto"/>
                    </w:rPr>
                  </w:pPr>
                  <w:r>
                    <w:rPr>
                      <w:b/>
                      <w:bCs/>
                      <w:color w:val="auto"/>
                    </w:rPr>
                    <w:t>监控点</w:t>
                  </w:r>
                </w:p>
              </w:tc>
              <w:tc>
                <w:tcPr>
                  <w:tcW w:w="1459" w:type="pct"/>
                  <w:tcBorders>
                    <w:tl2br w:val="nil"/>
                    <w:tr2bl w:val="nil"/>
                  </w:tcBorders>
                  <w:tcMar>
                    <w:left w:w="28" w:type="dxa"/>
                    <w:right w:w="28" w:type="dxa"/>
                  </w:tcMar>
                  <w:vAlign w:val="center"/>
                </w:tcPr>
                <w:p w14:paraId="6689A4D4">
                  <w:pPr>
                    <w:pStyle w:val="50"/>
                    <w:jc w:val="center"/>
                    <w:rPr>
                      <w:b/>
                      <w:bCs/>
                      <w:color w:val="auto"/>
                    </w:rPr>
                  </w:pPr>
                  <w:r>
                    <w:rPr>
                      <w:b/>
                      <w:bCs/>
                      <w:color w:val="auto"/>
                    </w:rPr>
                    <w:t>浓度（mg/m</w:t>
                  </w:r>
                  <w:r>
                    <w:rPr>
                      <w:b/>
                      <w:bCs/>
                      <w:color w:val="auto"/>
                      <w:vertAlign w:val="superscript"/>
                    </w:rPr>
                    <w:t>3</w:t>
                  </w:r>
                  <w:r>
                    <w:rPr>
                      <w:b/>
                      <w:bCs/>
                      <w:color w:val="auto"/>
                    </w:rPr>
                    <w:t>)</w:t>
                  </w:r>
                </w:p>
              </w:tc>
            </w:tr>
            <w:tr w14:paraId="741B16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332" w:type="pct"/>
                  <w:tcBorders>
                    <w:tl2br w:val="nil"/>
                    <w:tr2bl w:val="nil"/>
                  </w:tcBorders>
                  <w:tcMar>
                    <w:left w:w="28" w:type="dxa"/>
                    <w:right w:w="28" w:type="dxa"/>
                  </w:tcMar>
                  <w:vAlign w:val="center"/>
                </w:tcPr>
                <w:p w14:paraId="54CBC7D0">
                  <w:pPr>
                    <w:pStyle w:val="50"/>
                    <w:jc w:val="center"/>
                    <w:rPr>
                      <w:color w:val="auto"/>
                    </w:rPr>
                  </w:pPr>
                  <w:r>
                    <w:rPr>
                      <w:color w:val="auto"/>
                    </w:rPr>
                    <w:t>颗粒物</w:t>
                  </w:r>
                </w:p>
              </w:tc>
              <w:tc>
                <w:tcPr>
                  <w:tcW w:w="2208" w:type="pct"/>
                  <w:tcBorders>
                    <w:tl2br w:val="nil"/>
                    <w:tr2bl w:val="nil"/>
                  </w:tcBorders>
                  <w:tcMar>
                    <w:left w:w="28" w:type="dxa"/>
                    <w:right w:w="28" w:type="dxa"/>
                  </w:tcMar>
                  <w:vAlign w:val="center"/>
                </w:tcPr>
                <w:p w14:paraId="233C4FDE">
                  <w:pPr>
                    <w:pStyle w:val="50"/>
                    <w:jc w:val="center"/>
                    <w:rPr>
                      <w:color w:val="auto"/>
                    </w:rPr>
                  </w:pPr>
                  <w:r>
                    <w:rPr>
                      <w:color w:val="auto"/>
                    </w:rPr>
                    <w:t>周围外浓度最高点</w:t>
                  </w:r>
                </w:p>
              </w:tc>
              <w:tc>
                <w:tcPr>
                  <w:tcW w:w="1459" w:type="pct"/>
                  <w:tcBorders>
                    <w:tl2br w:val="nil"/>
                    <w:tr2bl w:val="nil"/>
                  </w:tcBorders>
                  <w:tcMar>
                    <w:left w:w="28" w:type="dxa"/>
                    <w:right w:w="28" w:type="dxa"/>
                  </w:tcMar>
                  <w:vAlign w:val="center"/>
                </w:tcPr>
                <w:p w14:paraId="3D1ECDAE">
                  <w:pPr>
                    <w:pStyle w:val="50"/>
                    <w:jc w:val="center"/>
                    <w:rPr>
                      <w:color w:val="auto"/>
                    </w:rPr>
                  </w:pPr>
                  <w:r>
                    <w:rPr>
                      <w:color w:val="auto"/>
                    </w:rPr>
                    <w:t>1.0</w:t>
                  </w:r>
                </w:p>
              </w:tc>
            </w:tr>
          </w:tbl>
          <w:p w14:paraId="2ECF7EA6">
            <w:pPr>
              <w:ind w:left="0" w:leftChars="0" w:firstLine="0" w:firstLineChars="0"/>
              <w:rPr>
                <w:rFonts w:cs="Times New Roman"/>
                <w:b/>
                <w:bCs/>
                <w:color w:val="auto"/>
              </w:rPr>
            </w:pPr>
            <w:r>
              <w:rPr>
                <w:rFonts w:cs="Times New Roman"/>
                <w:b/>
                <w:bCs/>
                <w:color w:val="auto"/>
              </w:rPr>
              <w:t>1.2运营期</w:t>
            </w:r>
          </w:p>
          <w:p w14:paraId="0DC49C2C">
            <w:pPr>
              <w:ind w:firstLine="480"/>
              <w:rPr>
                <w:rFonts w:cs="Times New Roman"/>
                <w:color w:val="auto"/>
              </w:rPr>
            </w:pPr>
            <w:r>
              <w:rPr>
                <w:rFonts w:cs="Times New Roman"/>
                <w:color w:val="auto"/>
              </w:rPr>
              <w:t>项目运营期产生的废气主要为物料输送储存粉尘、物料混合搅拌粉尘、进料粉尘、砂石料装卸粉尘等。</w:t>
            </w:r>
          </w:p>
          <w:p w14:paraId="4CE02970">
            <w:pPr>
              <w:ind w:firstLine="480"/>
              <w:rPr>
                <w:rFonts w:cs="Times New Roman"/>
                <w:color w:val="auto"/>
              </w:rPr>
            </w:pPr>
            <w:r>
              <w:rPr>
                <w:rFonts w:cs="Times New Roman"/>
                <w:color w:val="auto"/>
              </w:rPr>
              <w:t>物料输送储存粉尘、物料混合搅拌粉尘、砂石料装卸粉尘和进料粉尘排放标准执行《水泥工业大气污染物排放标准》（GB4915-2013）中表3大气污染物无组织排放限值要求。</w:t>
            </w:r>
          </w:p>
          <w:p w14:paraId="24A8BC5C">
            <w:pPr>
              <w:pStyle w:val="36"/>
              <w:rPr>
                <w:rFonts w:cs="Times New Roman"/>
                <w:color w:val="auto"/>
                <w:vertAlign w:val="superscript"/>
              </w:rPr>
            </w:pPr>
            <w:r>
              <w:rPr>
                <w:rFonts w:cs="Times New Roman"/>
                <w:color w:val="auto"/>
              </w:rPr>
              <w:t>表3-</w:t>
            </w:r>
            <w:r>
              <w:rPr>
                <w:rFonts w:hint="eastAsia" w:cs="Times New Roman"/>
                <w:color w:val="auto"/>
                <w:lang w:val="en-US" w:eastAsia="zh-CN"/>
              </w:rPr>
              <w:t>5</w:t>
            </w:r>
            <w:r>
              <w:rPr>
                <w:rFonts w:cs="Times New Roman"/>
                <w:color w:val="auto"/>
              </w:rPr>
              <w:t xml:space="preserve"> 《水泥工业大气污染物排放标准》（GB4915-2013）单位：mg/m</w:t>
            </w:r>
            <w:r>
              <w:rPr>
                <w:rFonts w:cs="Times New Roman"/>
                <w:color w:val="auto"/>
                <w:vertAlign w:val="superscript"/>
              </w:rPr>
              <w:t>3</w:t>
            </w:r>
          </w:p>
          <w:tbl>
            <w:tblPr>
              <w:tblStyle w:val="2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291"/>
              <w:gridCol w:w="769"/>
              <w:gridCol w:w="2730"/>
              <w:gridCol w:w="2099"/>
            </w:tblGrid>
            <w:tr w14:paraId="1EF079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395" w:type="pct"/>
                  <w:vAlign w:val="center"/>
                </w:tcPr>
                <w:p w14:paraId="5580FFBF">
                  <w:pPr>
                    <w:pStyle w:val="50"/>
                    <w:jc w:val="center"/>
                    <w:rPr>
                      <w:b/>
                      <w:bCs/>
                      <w:color w:val="auto"/>
                    </w:rPr>
                  </w:pPr>
                  <w:r>
                    <w:rPr>
                      <w:b/>
                      <w:bCs/>
                      <w:color w:val="auto"/>
                    </w:rPr>
                    <w:t>序号</w:t>
                  </w:r>
                </w:p>
              </w:tc>
              <w:tc>
                <w:tcPr>
                  <w:tcW w:w="862" w:type="pct"/>
                  <w:vAlign w:val="center"/>
                </w:tcPr>
                <w:p w14:paraId="4B7F3411">
                  <w:pPr>
                    <w:pStyle w:val="50"/>
                    <w:jc w:val="center"/>
                    <w:rPr>
                      <w:b/>
                      <w:bCs/>
                      <w:color w:val="auto"/>
                    </w:rPr>
                  </w:pPr>
                  <w:r>
                    <w:rPr>
                      <w:b/>
                      <w:bCs/>
                      <w:color w:val="auto"/>
                    </w:rPr>
                    <w:t>污染物项目</w:t>
                  </w:r>
                </w:p>
              </w:tc>
              <w:tc>
                <w:tcPr>
                  <w:tcW w:w="514" w:type="pct"/>
                  <w:vAlign w:val="center"/>
                </w:tcPr>
                <w:p w14:paraId="401FDA3F">
                  <w:pPr>
                    <w:pStyle w:val="50"/>
                    <w:jc w:val="center"/>
                    <w:rPr>
                      <w:b/>
                      <w:bCs/>
                      <w:color w:val="auto"/>
                    </w:rPr>
                  </w:pPr>
                  <w:r>
                    <w:rPr>
                      <w:b/>
                      <w:bCs/>
                      <w:color w:val="auto"/>
                    </w:rPr>
                    <w:t>限值</w:t>
                  </w:r>
                </w:p>
              </w:tc>
              <w:tc>
                <w:tcPr>
                  <w:tcW w:w="1824" w:type="pct"/>
                  <w:vAlign w:val="center"/>
                </w:tcPr>
                <w:p w14:paraId="59EEB5CB">
                  <w:pPr>
                    <w:pStyle w:val="50"/>
                    <w:jc w:val="center"/>
                    <w:rPr>
                      <w:b/>
                      <w:bCs/>
                      <w:color w:val="auto"/>
                    </w:rPr>
                  </w:pPr>
                  <w:r>
                    <w:rPr>
                      <w:b/>
                      <w:bCs/>
                      <w:color w:val="auto"/>
                    </w:rPr>
                    <w:t>限值含义</w:t>
                  </w:r>
                </w:p>
              </w:tc>
              <w:tc>
                <w:tcPr>
                  <w:tcW w:w="1402" w:type="pct"/>
                  <w:vAlign w:val="center"/>
                </w:tcPr>
                <w:p w14:paraId="2D2C021F">
                  <w:pPr>
                    <w:pStyle w:val="50"/>
                    <w:jc w:val="center"/>
                    <w:rPr>
                      <w:b/>
                      <w:bCs/>
                      <w:color w:val="auto"/>
                    </w:rPr>
                  </w:pPr>
                  <w:r>
                    <w:rPr>
                      <w:b/>
                      <w:bCs/>
                      <w:color w:val="auto"/>
                    </w:rPr>
                    <w:t>无组织排放监控位置</w:t>
                  </w:r>
                </w:p>
              </w:tc>
            </w:tr>
            <w:tr w14:paraId="2F0AB5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5F80DF53">
                  <w:pPr>
                    <w:pStyle w:val="50"/>
                    <w:jc w:val="center"/>
                    <w:rPr>
                      <w:color w:val="auto"/>
                    </w:rPr>
                  </w:pPr>
                  <w:r>
                    <w:rPr>
                      <w:color w:val="auto"/>
                    </w:rPr>
                    <w:t>1</w:t>
                  </w:r>
                </w:p>
              </w:tc>
              <w:tc>
                <w:tcPr>
                  <w:tcW w:w="862" w:type="pct"/>
                  <w:vAlign w:val="center"/>
                </w:tcPr>
                <w:p w14:paraId="5D3573CD">
                  <w:pPr>
                    <w:pStyle w:val="50"/>
                    <w:jc w:val="center"/>
                    <w:rPr>
                      <w:color w:val="auto"/>
                    </w:rPr>
                  </w:pPr>
                  <w:r>
                    <w:rPr>
                      <w:color w:val="auto"/>
                    </w:rPr>
                    <w:t>颗粒物</w:t>
                  </w:r>
                </w:p>
              </w:tc>
              <w:tc>
                <w:tcPr>
                  <w:tcW w:w="514" w:type="pct"/>
                  <w:vAlign w:val="center"/>
                </w:tcPr>
                <w:p w14:paraId="4A686331">
                  <w:pPr>
                    <w:pStyle w:val="50"/>
                    <w:jc w:val="center"/>
                    <w:rPr>
                      <w:color w:val="auto"/>
                    </w:rPr>
                  </w:pPr>
                  <w:r>
                    <w:rPr>
                      <w:color w:val="auto"/>
                    </w:rPr>
                    <w:t>0.5</w:t>
                  </w:r>
                </w:p>
              </w:tc>
              <w:tc>
                <w:tcPr>
                  <w:tcW w:w="1824" w:type="pct"/>
                  <w:vAlign w:val="center"/>
                </w:tcPr>
                <w:p w14:paraId="3B9DE8E7">
                  <w:pPr>
                    <w:pStyle w:val="50"/>
                    <w:jc w:val="center"/>
                    <w:rPr>
                      <w:color w:val="auto"/>
                    </w:rPr>
                  </w:pPr>
                  <w:r>
                    <w:rPr>
                      <w:color w:val="auto"/>
                    </w:rPr>
                    <w:t>监控点与参照点总悬浮颗粒物（TSP）1小时浓度值的差值</w:t>
                  </w:r>
                </w:p>
              </w:tc>
              <w:tc>
                <w:tcPr>
                  <w:tcW w:w="1402" w:type="pct"/>
                  <w:vAlign w:val="center"/>
                </w:tcPr>
                <w:p w14:paraId="188E0231">
                  <w:pPr>
                    <w:pStyle w:val="50"/>
                    <w:jc w:val="center"/>
                    <w:rPr>
                      <w:color w:val="auto"/>
                    </w:rPr>
                  </w:pPr>
                  <w:r>
                    <w:rPr>
                      <w:color w:val="auto"/>
                    </w:rPr>
                    <w:t>厂界外20m处上风向设参照点，下风向设监控点</w:t>
                  </w:r>
                </w:p>
              </w:tc>
            </w:tr>
          </w:tbl>
          <w:p w14:paraId="6665A276">
            <w:pPr>
              <w:ind w:left="0" w:leftChars="0" w:firstLine="0" w:firstLineChars="0"/>
              <w:rPr>
                <w:rFonts w:cs="Times New Roman"/>
                <w:b/>
                <w:bCs/>
                <w:color w:val="auto"/>
              </w:rPr>
            </w:pPr>
            <w:r>
              <w:rPr>
                <w:rFonts w:cs="Times New Roman"/>
                <w:b/>
                <w:bCs/>
                <w:color w:val="auto"/>
              </w:rPr>
              <w:t>2、废水</w:t>
            </w:r>
          </w:p>
          <w:p w14:paraId="2E0261F2">
            <w:pPr>
              <w:ind w:firstLine="480"/>
              <w:rPr>
                <w:rFonts w:cs="Times New Roman"/>
                <w:color w:val="auto"/>
              </w:rPr>
            </w:pPr>
            <w:r>
              <w:rPr>
                <w:rFonts w:cs="Times New Roman"/>
                <w:color w:val="auto"/>
              </w:rPr>
              <w:t>本项目运营期产生的废水主要为生活污水。生活污水</w:t>
            </w:r>
            <w:r>
              <w:rPr>
                <w:rFonts w:hint="eastAsia" w:cs="Times New Roman"/>
                <w:color w:val="auto"/>
                <w:lang w:val="en-US" w:eastAsia="zh-CN"/>
              </w:rPr>
              <w:t>厂区新建的</w:t>
            </w:r>
            <w:r>
              <w:rPr>
                <w:rFonts w:hint="eastAsia" w:cs="Times New Roman"/>
                <w:color w:val="auto"/>
              </w:rPr>
              <w:t>化粪池</w:t>
            </w:r>
            <w:r>
              <w:rPr>
                <w:rFonts w:cs="Times New Roman"/>
                <w:color w:val="auto"/>
              </w:rPr>
              <w:t>。生活污水排放标准执行《污水综合排放标准》（GB8978-1996）中的三级标准限值要求。具体标准值见表3-</w:t>
            </w:r>
            <w:r>
              <w:rPr>
                <w:rFonts w:hint="eastAsia" w:cs="Times New Roman"/>
                <w:color w:val="auto"/>
                <w:lang w:val="en-US" w:eastAsia="zh-CN"/>
              </w:rPr>
              <w:t>6</w:t>
            </w:r>
            <w:r>
              <w:rPr>
                <w:rFonts w:cs="Times New Roman"/>
                <w:color w:val="auto"/>
              </w:rPr>
              <w:t>。</w:t>
            </w:r>
          </w:p>
          <w:p w14:paraId="45FD9B4B">
            <w:pPr>
              <w:pStyle w:val="36"/>
              <w:rPr>
                <w:rFonts w:cs="Times New Roman"/>
                <w:color w:val="auto"/>
              </w:rPr>
            </w:pPr>
            <w:r>
              <w:rPr>
                <w:rFonts w:cs="Times New Roman"/>
                <w:color w:val="auto"/>
              </w:rPr>
              <w:t>表3-</w:t>
            </w:r>
            <w:r>
              <w:rPr>
                <w:rFonts w:hint="eastAsia" w:cs="Times New Roman"/>
                <w:color w:val="auto"/>
                <w:lang w:val="en-US" w:eastAsia="zh-CN"/>
              </w:rPr>
              <w:t>6</w:t>
            </w:r>
            <w:r>
              <w:rPr>
                <w:rFonts w:cs="Times New Roman"/>
                <w:color w:val="auto"/>
              </w:rPr>
              <w:t xml:space="preserve">  《污水综合排放标准》（GB8978-1996）（三级标准）单位：mg/L</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992"/>
              <w:gridCol w:w="1246"/>
              <w:gridCol w:w="1077"/>
              <w:gridCol w:w="1049"/>
              <w:gridCol w:w="905"/>
              <w:gridCol w:w="1191"/>
            </w:tblGrid>
            <w:tr w14:paraId="4FA78B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83" w:hRule="atLeast"/>
                <w:jc w:val="center"/>
              </w:trPr>
              <w:tc>
                <w:tcPr>
                  <w:tcW w:w="681" w:type="pct"/>
                  <w:vAlign w:val="center"/>
                </w:tcPr>
                <w:p w14:paraId="62778B31">
                  <w:pPr>
                    <w:pStyle w:val="50"/>
                    <w:jc w:val="center"/>
                    <w:rPr>
                      <w:b/>
                      <w:bCs/>
                      <w:color w:val="auto"/>
                    </w:rPr>
                  </w:pPr>
                  <w:r>
                    <w:rPr>
                      <w:b/>
                      <w:bCs/>
                      <w:color w:val="auto"/>
                    </w:rPr>
                    <w:t>污染物</w:t>
                  </w:r>
                </w:p>
              </w:tc>
              <w:tc>
                <w:tcPr>
                  <w:tcW w:w="663" w:type="pct"/>
                  <w:vAlign w:val="center"/>
                </w:tcPr>
                <w:p w14:paraId="76E62C34">
                  <w:pPr>
                    <w:pStyle w:val="50"/>
                    <w:jc w:val="center"/>
                    <w:rPr>
                      <w:b/>
                      <w:bCs/>
                      <w:color w:val="auto"/>
                    </w:rPr>
                  </w:pPr>
                  <w:r>
                    <w:rPr>
                      <w:b/>
                      <w:bCs/>
                      <w:color w:val="auto"/>
                    </w:rPr>
                    <w:t>COD</w:t>
                  </w:r>
                  <w:r>
                    <w:rPr>
                      <w:b/>
                      <w:bCs/>
                      <w:color w:val="auto"/>
                      <w:vertAlign w:val="subscript"/>
                    </w:rPr>
                    <w:t>cr</w:t>
                  </w:r>
                </w:p>
              </w:tc>
              <w:tc>
                <w:tcPr>
                  <w:tcW w:w="833" w:type="pct"/>
                  <w:vAlign w:val="center"/>
                </w:tcPr>
                <w:p w14:paraId="7A43CBCE">
                  <w:pPr>
                    <w:pStyle w:val="50"/>
                    <w:jc w:val="center"/>
                    <w:rPr>
                      <w:b/>
                      <w:bCs/>
                      <w:color w:val="auto"/>
                    </w:rPr>
                  </w:pPr>
                  <w:r>
                    <w:rPr>
                      <w:b/>
                      <w:bCs/>
                      <w:color w:val="auto"/>
                    </w:rPr>
                    <w:t>BOD</w:t>
                  </w:r>
                  <w:r>
                    <w:rPr>
                      <w:b/>
                      <w:bCs/>
                      <w:color w:val="auto"/>
                      <w:vertAlign w:val="subscript"/>
                    </w:rPr>
                    <w:t>5</w:t>
                  </w:r>
                </w:p>
              </w:tc>
              <w:tc>
                <w:tcPr>
                  <w:tcW w:w="719" w:type="pct"/>
                  <w:vAlign w:val="center"/>
                </w:tcPr>
                <w:p w14:paraId="299AE0F4">
                  <w:pPr>
                    <w:pStyle w:val="50"/>
                    <w:jc w:val="center"/>
                    <w:rPr>
                      <w:b/>
                      <w:bCs/>
                      <w:color w:val="auto"/>
                    </w:rPr>
                  </w:pPr>
                  <w:r>
                    <w:rPr>
                      <w:b/>
                      <w:bCs/>
                      <w:color w:val="auto"/>
                    </w:rPr>
                    <w:t>SS</w:t>
                  </w:r>
                </w:p>
              </w:tc>
              <w:tc>
                <w:tcPr>
                  <w:tcW w:w="700" w:type="pct"/>
                  <w:vAlign w:val="center"/>
                </w:tcPr>
                <w:p w14:paraId="2DD8F0C9">
                  <w:pPr>
                    <w:pStyle w:val="50"/>
                    <w:jc w:val="center"/>
                    <w:rPr>
                      <w:b/>
                      <w:bCs/>
                      <w:color w:val="auto"/>
                    </w:rPr>
                  </w:pPr>
                  <w:r>
                    <w:rPr>
                      <w:b/>
                      <w:bCs/>
                      <w:color w:val="auto"/>
                    </w:rPr>
                    <w:t>氨氮</w:t>
                  </w:r>
                </w:p>
              </w:tc>
              <w:tc>
                <w:tcPr>
                  <w:tcW w:w="605" w:type="pct"/>
                  <w:vAlign w:val="center"/>
                </w:tcPr>
                <w:p w14:paraId="68D664CB">
                  <w:pPr>
                    <w:pStyle w:val="50"/>
                    <w:jc w:val="center"/>
                    <w:rPr>
                      <w:b/>
                      <w:bCs/>
                      <w:color w:val="auto"/>
                    </w:rPr>
                  </w:pPr>
                  <w:r>
                    <w:rPr>
                      <w:b/>
                      <w:bCs/>
                      <w:color w:val="auto"/>
                    </w:rPr>
                    <w:t>TDS</w:t>
                  </w:r>
                </w:p>
              </w:tc>
              <w:tc>
                <w:tcPr>
                  <w:tcW w:w="795" w:type="pct"/>
                  <w:vAlign w:val="center"/>
                </w:tcPr>
                <w:p w14:paraId="41A3AF5D">
                  <w:pPr>
                    <w:pStyle w:val="50"/>
                    <w:jc w:val="center"/>
                    <w:rPr>
                      <w:b/>
                      <w:bCs/>
                      <w:color w:val="auto"/>
                    </w:rPr>
                  </w:pPr>
                  <w:r>
                    <w:rPr>
                      <w:b/>
                      <w:bCs/>
                      <w:color w:val="auto"/>
                    </w:rPr>
                    <w:t>氟化物</w:t>
                  </w:r>
                </w:p>
              </w:tc>
            </w:tr>
            <w:tr w14:paraId="033BD1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1" w:type="pct"/>
                  <w:vAlign w:val="center"/>
                </w:tcPr>
                <w:p w14:paraId="07C8556A">
                  <w:pPr>
                    <w:pStyle w:val="50"/>
                    <w:jc w:val="center"/>
                    <w:rPr>
                      <w:color w:val="auto"/>
                    </w:rPr>
                  </w:pPr>
                  <w:r>
                    <w:rPr>
                      <w:color w:val="auto"/>
                    </w:rPr>
                    <w:t>标准值</w:t>
                  </w:r>
                </w:p>
              </w:tc>
              <w:tc>
                <w:tcPr>
                  <w:tcW w:w="663" w:type="pct"/>
                  <w:vAlign w:val="center"/>
                </w:tcPr>
                <w:p w14:paraId="05580B7B">
                  <w:pPr>
                    <w:pStyle w:val="50"/>
                    <w:jc w:val="center"/>
                    <w:rPr>
                      <w:color w:val="auto"/>
                    </w:rPr>
                  </w:pPr>
                  <w:r>
                    <w:rPr>
                      <w:color w:val="auto"/>
                    </w:rPr>
                    <w:t>500</w:t>
                  </w:r>
                </w:p>
              </w:tc>
              <w:tc>
                <w:tcPr>
                  <w:tcW w:w="833" w:type="pct"/>
                  <w:vAlign w:val="center"/>
                </w:tcPr>
                <w:p w14:paraId="3FA2F834">
                  <w:pPr>
                    <w:pStyle w:val="50"/>
                    <w:jc w:val="center"/>
                    <w:rPr>
                      <w:color w:val="auto"/>
                    </w:rPr>
                  </w:pPr>
                  <w:r>
                    <w:rPr>
                      <w:color w:val="auto"/>
                    </w:rPr>
                    <w:t>300</w:t>
                  </w:r>
                </w:p>
              </w:tc>
              <w:tc>
                <w:tcPr>
                  <w:tcW w:w="719" w:type="pct"/>
                  <w:vAlign w:val="center"/>
                </w:tcPr>
                <w:p w14:paraId="4A58DBB4">
                  <w:pPr>
                    <w:pStyle w:val="50"/>
                    <w:jc w:val="center"/>
                    <w:rPr>
                      <w:color w:val="auto"/>
                    </w:rPr>
                  </w:pPr>
                  <w:r>
                    <w:rPr>
                      <w:color w:val="auto"/>
                    </w:rPr>
                    <w:t>400</w:t>
                  </w:r>
                </w:p>
              </w:tc>
              <w:tc>
                <w:tcPr>
                  <w:tcW w:w="700" w:type="pct"/>
                  <w:vAlign w:val="center"/>
                </w:tcPr>
                <w:p w14:paraId="563AE0CF">
                  <w:pPr>
                    <w:pStyle w:val="50"/>
                    <w:jc w:val="center"/>
                    <w:rPr>
                      <w:color w:val="auto"/>
                    </w:rPr>
                  </w:pPr>
                  <w:r>
                    <w:rPr>
                      <w:color w:val="auto"/>
                    </w:rPr>
                    <w:t>--</w:t>
                  </w:r>
                </w:p>
              </w:tc>
              <w:tc>
                <w:tcPr>
                  <w:tcW w:w="605" w:type="pct"/>
                  <w:vAlign w:val="center"/>
                </w:tcPr>
                <w:p w14:paraId="5EFFB686">
                  <w:pPr>
                    <w:pStyle w:val="50"/>
                    <w:jc w:val="center"/>
                    <w:rPr>
                      <w:color w:val="auto"/>
                    </w:rPr>
                  </w:pPr>
                  <w:r>
                    <w:rPr>
                      <w:color w:val="auto"/>
                    </w:rPr>
                    <w:t>--</w:t>
                  </w:r>
                </w:p>
              </w:tc>
              <w:tc>
                <w:tcPr>
                  <w:tcW w:w="795" w:type="pct"/>
                  <w:vAlign w:val="center"/>
                </w:tcPr>
                <w:p w14:paraId="2D6C0F52">
                  <w:pPr>
                    <w:pStyle w:val="50"/>
                    <w:jc w:val="center"/>
                    <w:rPr>
                      <w:color w:val="auto"/>
                    </w:rPr>
                  </w:pPr>
                  <w:r>
                    <w:rPr>
                      <w:color w:val="auto"/>
                    </w:rPr>
                    <w:t>20</w:t>
                  </w:r>
                </w:p>
              </w:tc>
            </w:tr>
          </w:tbl>
          <w:p w14:paraId="4A53BEA5">
            <w:pPr>
              <w:ind w:left="0" w:leftChars="0" w:firstLine="0" w:firstLineChars="0"/>
              <w:rPr>
                <w:rFonts w:cs="Times New Roman"/>
                <w:b/>
                <w:bCs/>
                <w:color w:val="auto"/>
              </w:rPr>
            </w:pPr>
            <w:r>
              <w:rPr>
                <w:rFonts w:cs="Times New Roman"/>
                <w:b/>
                <w:bCs/>
                <w:color w:val="auto"/>
              </w:rPr>
              <w:t>3、噪声</w:t>
            </w:r>
          </w:p>
          <w:p w14:paraId="11C56F5F">
            <w:pPr>
              <w:ind w:firstLine="480"/>
              <w:rPr>
                <w:rFonts w:cs="Times New Roman"/>
                <w:color w:val="auto"/>
                <w:highlight w:val="none"/>
              </w:rPr>
            </w:pPr>
            <w:r>
              <w:rPr>
                <w:rFonts w:cs="Times New Roman"/>
                <w:color w:val="auto"/>
                <w:highlight w:val="none"/>
              </w:rPr>
              <w:t>本项目施工期噪声排放执行《建筑施工噪声排放标准》（GB12523-20</w:t>
            </w:r>
            <w:r>
              <w:rPr>
                <w:rFonts w:hint="eastAsia" w:cs="Times New Roman"/>
                <w:color w:val="auto"/>
                <w:highlight w:val="none"/>
                <w:lang w:val="en-US" w:eastAsia="zh-CN"/>
              </w:rPr>
              <w:t>25</w:t>
            </w:r>
            <w:r>
              <w:rPr>
                <w:rFonts w:cs="Times New Roman"/>
                <w:color w:val="auto"/>
                <w:highlight w:val="none"/>
              </w:rPr>
              <w:t>），见表3-</w:t>
            </w:r>
            <w:r>
              <w:rPr>
                <w:rFonts w:hint="eastAsia" w:cs="Times New Roman"/>
                <w:color w:val="auto"/>
                <w:highlight w:val="none"/>
                <w:lang w:val="en-US" w:eastAsia="zh-CN"/>
              </w:rPr>
              <w:t>7</w:t>
            </w:r>
            <w:r>
              <w:rPr>
                <w:rFonts w:cs="Times New Roman"/>
                <w:color w:val="auto"/>
                <w:highlight w:val="none"/>
              </w:rPr>
              <w:t>。</w:t>
            </w:r>
          </w:p>
          <w:p w14:paraId="7168E424">
            <w:pPr>
              <w:pStyle w:val="36"/>
              <w:rPr>
                <w:rFonts w:cs="Times New Roman"/>
                <w:color w:val="auto"/>
                <w:highlight w:val="none"/>
              </w:rPr>
            </w:pPr>
            <w:r>
              <w:rPr>
                <w:rFonts w:cs="Times New Roman"/>
                <w:color w:val="auto"/>
                <w:highlight w:val="none"/>
              </w:rPr>
              <w:t>表3-</w:t>
            </w:r>
            <w:r>
              <w:rPr>
                <w:rFonts w:hint="eastAsia" w:cs="Times New Roman"/>
                <w:color w:val="auto"/>
                <w:highlight w:val="none"/>
                <w:lang w:val="en-US" w:eastAsia="zh-CN"/>
              </w:rPr>
              <w:t>7</w:t>
            </w:r>
            <w:r>
              <w:rPr>
                <w:rFonts w:cs="Times New Roman"/>
                <w:color w:val="auto"/>
                <w:highlight w:val="none"/>
              </w:rPr>
              <w:t xml:space="preserve">  《</w:t>
            </w:r>
            <w:r>
              <w:rPr>
                <w:rFonts w:hint="eastAsia" w:cs="Times New Roman"/>
                <w:color w:val="auto"/>
                <w:highlight w:val="none"/>
                <w:lang w:eastAsia="zh-CN"/>
              </w:rPr>
              <w:t>建筑施工噪声排放标准</w:t>
            </w:r>
            <w:r>
              <w:rPr>
                <w:rFonts w:cs="Times New Roman"/>
                <w:color w:val="auto"/>
                <w:highlight w:val="none"/>
              </w:rPr>
              <w:t>》（摘录）</w:t>
            </w:r>
          </w:p>
          <w:tbl>
            <w:tblPr>
              <w:tblStyle w:val="27"/>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739"/>
              <w:gridCol w:w="3742"/>
            </w:tblGrid>
            <w:tr w14:paraId="170414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99" w:type="pct"/>
                  <w:tcBorders>
                    <w:tl2br w:val="nil"/>
                    <w:tr2bl w:val="nil"/>
                  </w:tcBorders>
                  <w:vAlign w:val="center"/>
                </w:tcPr>
                <w:p w14:paraId="70C936DF">
                  <w:pPr>
                    <w:pStyle w:val="50"/>
                    <w:jc w:val="center"/>
                    <w:rPr>
                      <w:b/>
                      <w:bCs/>
                      <w:color w:val="auto"/>
                    </w:rPr>
                  </w:pPr>
                  <w:r>
                    <w:rPr>
                      <w:b/>
                      <w:bCs/>
                      <w:color w:val="auto"/>
                    </w:rPr>
                    <w:t>昼间dB（A）</w:t>
                  </w:r>
                </w:p>
              </w:tc>
              <w:tc>
                <w:tcPr>
                  <w:tcW w:w="2500" w:type="pct"/>
                  <w:tcBorders>
                    <w:tl2br w:val="nil"/>
                    <w:tr2bl w:val="nil"/>
                  </w:tcBorders>
                  <w:vAlign w:val="center"/>
                </w:tcPr>
                <w:p w14:paraId="417E0749">
                  <w:pPr>
                    <w:pStyle w:val="50"/>
                    <w:jc w:val="center"/>
                    <w:rPr>
                      <w:b/>
                      <w:bCs/>
                      <w:color w:val="auto"/>
                    </w:rPr>
                  </w:pPr>
                  <w:r>
                    <w:rPr>
                      <w:b/>
                      <w:bCs/>
                      <w:color w:val="auto"/>
                    </w:rPr>
                    <w:t>夜间dB（A）</w:t>
                  </w:r>
                </w:p>
              </w:tc>
            </w:tr>
            <w:tr w14:paraId="549037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99" w:type="pct"/>
                  <w:tcBorders>
                    <w:tl2br w:val="nil"/>
                    <w:tr2bl w:val="nil"/>
                  </w:tcBorders>
                  <w:vAlign w:val="center"/>
                </w:tcPr>
                <w:p w14:paraId="363BBFB1">
                  <w:pPr>
                    <w:pStyle w:val="50"/>
                    <w:jc w:val="center"/>
                    <w:rPr>
                      <w:color w:val="auto"/>
                    </w:rPr>
                  </w:pPr>
                  <w:r>
                    <w:rPr>
                      <w:color w:val="auto"/>
                    </w:rPr>
                    <w:t>70</w:t>
                  </w:r>
                </w:p>
              </w:tc>
              <w:tc>
                <w:tcPr>
                  <w:tcW w:w="2500" w:type="pct"/>
                  <w:tcBorders>
                    <w:tl2br w:val="nil"/>
                    <w:tr2bl w:val="nil"/>
                  </w:tcBorders>
                  <w:vAlign w:val="center"/>
                </w:tcPr>
                <w:p w14:paraId="61438B5B">
                  <w:pPr>
                    <w:pStyle w:val="50"/>
                    <w:jc w:val="center"/>
                    <w:rPr>
                      <w:color w:val="auto"/>
                    </w:rPr>
                  </w:pPr>
                  <w:r>
                    <w:rPr>
                      <w:color w:val="auto"/>
                    </w:rPr>
                    <w:t>55</w:t>
                  </w:r>
                </w:p>
              </w:tc>
            </w:tr>
          </w:tbl>
          <w:p w14:paraId="7C9EEAA9">
            <w:pPr>
              <w:ind w:firstLine="480"/>
              <w:rPr>
                <w:rFonts w:cs="Times New Roman"/>
                <w:color w:val="auto"/>
              </w:rPr>
            </w:pPr>
            <w:r>
              <w:rPr>
                <w:rFonts w:cs="Times New Roman"/>
                <w:color w:val="auto"/>
              </w:rPr>
              <w:t>本项目运营期噪声主要为生产设备运行噪声，厂界四周噪声值执行《工业企业厂界环境噪声排放标准》（GB12348-2008）表1工业企业厂界环境噪声排放限值，标准值见表3-</w:t>
            </w:r>
            <w:r>
              <w:rPr>
                <w:rFonts w:hint="eastAsia" w:cs="Times New Roman"/>
                <w:color w:val="auto"/>
                <w:lang w:val="en-US" w:eastAsia="zh-CN"/>
              </w:rPr>
              <w:t>8</w:t>
            </w:r>
            <w:r>
              <w:rPr>
                <w:rFonts w:cs="Times New Roman"/>
                <w:color w:val="auto"/>
              </w:rPr>
              <w:t>。</w:t>
            </w:r>
          </w:p>
          <w:p w14:paraId="529502CD">
            <w:pPr>
              <w:pStyle w:val="36"/>
              <w:rPr>
                <w:rFonts w:cs="Times New Roman"/>
                <w:color w:val="auto"/>
              </w:rPr>
            </w:pPr>
            <w:r>
              <w:rPr>
                <w:rFonts w:cs="Times New Roman"/>
                <w:color w:val="auto"/>
              </w:rPr>
              <w:t>表3-</w:t>
            </w:r>
            <w:r>
              <w:rPr>
                <w:rFonts w:hint="eastAsia" w:cs="Times New Roman"/>
                <w:color w:val="auto"/>
                <w:lang w:val="en-US" w:eastAsia="zh-CN"/>
              </w:rPr>
              <w:t>8</w:t>
            </w:r>
            <w:r>
              <w:rPr>
                <w:rFonts w:cs="Times New Roman"/>
                <w:color w:val="auto"/>
              </w:rPr>
              <w:t>《工业企业厂界环境噪声排放标准》（GB12348-2008）</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11"/>
              <w:gridCol w:w="2167"/>
              <w:gridCol w:w="2601"/>
            </w:tblGrid>
            <w:tr w14:paraId="03AD4A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2" w:type="pct"/>
                  <w:tcBorders>
                    <w:tl2br w:val="nil"/>
                    <w:tr2bl w:val="nil"/>
                  </w:tcBorders>
                  <w:tcMar>
                    <w:left w:w="28" w:type="dxa"/>
                    <w:right w:w="28" w:type="dxa"/>
                  </w:tcMar>
                  <w:vAlign w:val="center"/>
                </w:tcPr>
                <w:p w14:paraId="6EA28265">
                  <w:pPr>
                    <w:pStyle w:val="50"/>
                    <w:jc w:val="center"/>
                    <w:rPr>
                      <w:b/>
                      <w:bCs/>
                      <w:color w:val="auto"/>
                    </w:rPr>
                  </w:pPr>
                  <w:r>
                    <w:rPr>
                      <w:b/>
                      <w:bCs/>
                      <w:color w:val="auto"/>
                    </w:rPr>
                    <w:t>类别</w:t>
                  </w:r>
                </w:p>
              </w:tc>
              <w:tc>
                <w:tcPr>
                  <w:tcW w:w="1448" w:type="pct"/>
                  <w:tcBorders>
                    <w:tl2br w:val="nil"/>
                    <w:tr2bl w:val="nil"/>
                  </w:tcBorders>
                  <w:tcMar>
                    <w:left w:w="28" w:type="dxa"/>
                    <w:right w:w="28" w:type="dxa"/>
                  </w:tcMar>
                  <w:vAlign w:val="center"/>
                </w:tcPr>
                <w:p w14:paraId="521485C8">
                  <w:pPr>
                    <w:pStyle w:val="50"/>
                    <w:jc w:val="center"/>
                    <w:rPr>
                      <w:b/>
                      <w:bCs/>
                      <w:color w:val="auto"/>
                    </w:rPr>
                  </w:pPr>
                  <w:r>
                    <w:rPr>
                      <w:b/>
                      <w:bCs/>
                      <w:color w:val="auto"/>
                    </w:rPr>
                    <w:t>昼间</w:t>
                  </w:r>
                </w:p>
              </w:tc>
              <w:tc>
                <w:tcPr>
                  <w:tcW w:w="1738" w:type="pct"/>
                  <w:tcBorders>
                    <w:tl2br w:val="nil"/>
                    <w:tr2bl w:val="nil"/>
                  </w:tcBorders>
                  <w:tcMar>
                    <w:left w:w="28" w:type="dxa"/>
                    <w:right w:w="28" w:type="dxa"/>
                  </w:tcMar>
                  <w:vAlign w:val="center"/>
                </w:tcPr>
                <w:p w14:paraId="77484CF5">
                  <w:pPr>
                    <w:pStyle w:val="50"/>
                    <w:jc w:val="center"/>
                    <w:rPr>
                      <w:b/>
                      <w:bCs/>
                      <w:color w:val="auto"/>
                    </w:rPr>
                  </w:pPr>
                  <w:r>
                    <w:rPr>
                      <w:b/>
                      <w:bCs/>
                      <w:color w:val="auto"/>
                    </w:rPr>
                    <w:t>夜间</w:t>
                  </w:r>
                </w:p>
              </w:tc>
            </w:tr>
            <w:tr w14:paraId="1EB3D8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2" w:type="pct"/>
                  <w:tcBorders>
                    <w:tl2br w:val="nil"/>
                    <w:tr2bl w:val="nil"/>
                  </w:tcBorders>
                  <w:tcMar>
                    <w:left w:w="28" w:type="dxa"/>
                    <w:right w:w="28" w:type="dxa"/>
                  </w:tcMar>
                  <w:vAlign w:val="center"/>
                </w:tcPr>
                <w:p w14:paraId="00DF8164">
                  <w:pPr>
                    <w:pStyle w:val="50"/>
                    <w:jc w:val="center"/>
                    <w:rPr>
                      <w:color w:val="auto"/>
                    </w:rPr>
                  </w:pPr>
                  <w:r>
                    <w:rPr>
                      <w:rFonts w:hint="eastAsia"/>
                      <w:color w:val="auto"/>
                      <w:lang w:val="en-US" w:eastAsia="zh-CN"/>
                    </w:rPr>
                    <w:t>2</w:t>
                  </w:r>
                  <w:r>
                    <w:rPr>
                      <w:color w:val="auto"/>
                    </w:rPr>
                    <w:t>类声环境功能区</w:t>
                  </w:r>
                </w:p>
              </w:tc>
              <w:tc>
                <w:tcPr>
                  <w:tcW w:w="1448" w:type="pct"/>
                  <w:tcBorders>
                    <w:tl2br w:val="nil"/>
                    <w:tr2bl w:val="nil"/>
                  </w:tcBorders>
                  <w:tcMar>
                    <w:left w:w="28" w:type="dxa"/>
                    <w:right w:w="28" w:type="dxa"/>
                  </w:tcMar>
                  <w:vAlign w:val="center"/>
                </w:tcPr>
                <w:p w14:paraId="52AAF7E6">
                  <w:pPr>
                    <w:pStyle w:val="50"/>
                    <w:jc w:val="center"/>
                    <w:rPr>
                      <w:color w:val="auto"/>
                    </w:rPr>
                  </w:pPr>
                  <w:r>
                    <w:rPr>
                      <w:rFonts w:hint="eastAsia"/>
                      <w:color w:val="auto"/>
                      <w:lang w:val="en-US" w:eastAsia="zh-CN"/>
                    </w:rPr>
                    <w:t>60</w:t>
                  </w:r>
                  <w:r>
                    <w:rPr>
                      <w:color w:val="auto"/>
                    </w:rPr>
                    <w:t>d(A)</w:t>
                  </w:r>
                </w:p>
              </w:tc>
              <w:tc>
                <w:tcPr>
                  <w:tcW w:w="1738" w:type="pct"/>
                  <w:tcBorders>
                    <w:tl2br w:val="nil"/>
                    <w:tr2bl w:val="nil"/>
                  </w:tcBorders>
                  <w:tcMar>
                    <w:left w:w="28" w:type="dxa"/>
                    <w:right w:w="28" w:type="dxa"/>
                  </w:tcMar>
                  <w:vAlign w:val="center"/>
                </w:tcPr>
                <w:p w14:paraId="79CE058E">
                  <w:pPr>
                    <w:pStyle w:val="50"/>
                    <w:jc w:val="center"/>
                    <w:rPr>
                      <w:color w:val="auto"/>
                    </w:rPr>
                  </w:pPr>
                  <w:r>
                    <w:rPr>
                      <w:rFonts w:hint="eastAsia"/>
                      <w:color w:val="auto"/>
                    </w:rPr>
                    <w:t>5</w:t>
                  </w:r>
                  <w:r>
                    <w:rPr>
                      <w:rFonts w:hint="eastAsia"/>
                      <w:color w:val="auto"/>
                      <w:lang w:val="en-US" w:eastAsia="zh-CN"/>
                    </w:rPr>
                    <w:t>0</w:t>
                  </w:r>
                  <w:r>
                    <w:rPr>
                      <w:color w:val="auto"/>
                    </w:rPr>
                    <w:t>dB(A)</w:t>
                  </w:r>
                </w:p>
              </w:tc>
            </w:tr>
          </w:tbl>
          <w:p w14:paraId="35608EDA">
            <w:pPr>
              <w:ind w:left="0" w:leftChars="0" w:firstLine="0" w:firstLineChars="0"/>
              <w:rPr>
                <w:rFonts w:cs="Times New Roman"/>
                <w:b/>
                <w:color w:val="auto"/>
              </w:rPr>
            </w:pPr>
            <w:r>
              <w:rPr>
                <w:rFonts w:cs="Times New Roman"/>
                <w:b/>
                <w:color w:val="auto"/>
              </w:rPr>
              <w:t>4、固体废物控制标准</w:t>
            </w:r>
          </w:p>
          <w:p w14:paraId="1834278D">
            <w:pPr>
              <w:ind w:firstLine="480"/>
              <w:rPr>
                <w:rFonts w:cs="Times New Roman"/>
                <w:color w:val="auto"/>
              </w:rPr>
            </w:pPr>
            <w:r>
              <w:rPr>
                <w:rFonts w:cs="Times New Roman"/>
                <w:color w:val="auto"/>
                <w:lang w:bidi="ar"/>
              </w:rPr>
              <w:t>一般工业固体废物执行《一般工业固体废物贮存和填埋污染控制标准》（GB18599-2020）</w:t>
            </w:r>
            <w:r>
              <w:rPr>
                <w:rFonts w:hint="eastAsia" w:cs="Times New Roman"/>
                <w:color w:val="auto"/>
                <w:lang w:bidi="ar"/>
              </w:rPr>
              <w:t>和相应的防渗漏、防雨淋、防扬尘等环境保护要求</w:t>
            </w:r>
            <w:r>
              <w:rPr>
                <w:rFonts w:cs="Times New Roman"/>
                <w:color w:val="auto"/>
                <w:lang w:bidi="ar"/>
              </w:rPr>
              <w:t>，危险废物执行《危险废物贮存污染控制标准》（GB18597-2023）要求。</w:t>
            </w:r>
          </w:p>
        </w:tc>
      </w:tr>
      <w:tr w14:paraId="7F9B4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24" w:type="dxa"/>
            <w:vAlign w:val="center"/>
          </w:tcPr>
          <w:p w14:paraId="4175085B">
            <w:pPr>
              <w:ind w:firstLine="0" w:firstLineChars="0"/>
              <w:jc w:val="center"/>
              <w:rPr>
                <w:rFonts w:cs="Times New Roman"/>
                <w:color w:val="auto"/>
              </w:rPr>
            </w:pPr>
            <w:r>
              <w:rPr>
                <w:rFonts w:cs="Times New Roman"/>
                <w:color w:val="auto"/>
              </w:rPr>
              <w:t>总量控制指标</w:t>
            </w:r>
          </w:p>
        </w:tc>
        <w:tc>
          <w:tcPr>
            <w:tcW w:w="7698" w:type="dxa"/>
            <w:vAlign w:val="center"/>
          </w:tcPr>
          <w:p w14:paraId="0FD383A7">
            <w:pPr>
              <w:ind w:firstLine="480"/>
              <w:rPr>
                <w:rFonts w:cs="Times New Roman"/>
                <w:color w:val="auto"/>
              </w:rPr>
            </w:pPr>
            <w:r>
              <w:rPr>
                <w:rFonts w:cs="Times New Roman"/>
                <w:color w:val="auto"/>
              </w:rPr>
              <w:t>根据《内蒙古自治区“十四五”生态环境保护规划》中规定，现阶段实施污染物总量控制的指标为挥发性有机物、颗粒物、NOx、COD和NH</w:t>
            </w:r>
            <w:r>
              <w:rPr>
                <w:rFonts w:cs="Times New Roman"/>
                <w:color w:val="auto"/>
                <w:vertAlign w:val="subscript"/>
              </w:rPr>
              <w:t>3</w:t>
            </w:r>
            <w:r>
              <w:rPr>
                <w:rFonts w:cs="Times New Roman"/>
                <w:color w:val="auto"/>
              </w:rPr>
              <w:t>-N。本次建设项目</w:t>
            </w:r>
            <w:r>
              <w:rPr>
                <w:rFonts w:hint="eastAsia" w:cs="Times New Roman"/>
                <w:color w:val="auto"/>
                <w:lang w:val="en-US" w:eastAsia="zh-CN"/>
              </w:rPr>
              <w:t>无有组织排放废气，因此不设置总量</w:t>
            </w:r>
            <w:r>
              <w:rPr>
                <w:rFonts w:cs="Times New Roman"/>
                <w:color w:val="auto"/>
              </w:rPr>
              <w:t>。</w:t>
            </w:r>
          </w:p>
          <w:p w14:paraId="06DCAE40">
            <w:pPr>
              <w:ind w:firstLine="480"/>
              <w:rPr>
                <w:rFonts w:cs="Times New Roman"/>
                <w:color w:val="auto"/>
              </w:rPr>
            </w:pPr>
          </w:p>
          <w:p w14:paraId="6118BAD9">
            <w:pPr>
              <w:ind w:firstLine="480"/>
              <w:rPr>
                <w:rFonts w:cs="Times New Roman"/>
                <w:color w:val="auto"/>
              </w:rPr>
            </w:pPr>
          </w:p>
          <w:p w14:paraId="288A5F80">
            <w:pPr>
              <w:ind w:firstLine="0" w:firstLineChars="0"/>
              <w:rPr>
                <w:rFonts w:cs="Times New Roman"/>
                <w:color w:val="auto"/>
              </w:rPr>
            </w:pPr>
          </w:p>
        </w:tc>
      </w:tr>
    </w:tbl>
    <w:p w14:paraId="02DBBDF4">
      <w:pPr>
        <w:pStyle w:val="2"/>
        <w:ind w:firstLine="640"/>
        <w:rPr>
          <w:rFonts w:cs="Times New Roman"/>
          <w:snapToGrid w:val="0"/>
          <w:color w:val="auto"/>
        </w:rPr>
        <w:sectPr>
          <w:pgSz w:w="11906" w:h="16838"/>
          <w:pgMar w:top="1440" w:right="1800" w:bottom="1440" w:left="1800" w:header="992" w:footer="992" w:gutter="0"/>
          <w:pgBorders>
            <w:top w:val="none" w:sz="0" w:space="0"/>
            <w:left w:val="none" w:sz="0" w:space="0"/>
            <w:bottom w:val="none" w:sz="0" w:space="0"/>
            <w:right w:val="none" w:sz="0" w:space="0"/>
          </w:pgBorders>
          <w:cols w:space="425" w:num="1"/>
          <w:docGrid w:type="lines" w:linePitch="312" w:charSpace="0"/>
        </w:sectPr>
      </w:pPr>
    </w:p>
    <w:p w14:paraId="7F4819EF">
      <w:pPr>
        <w:pStyle w:val="2"/>
        <w:ind w:firstLine="640"/>
        <w:rPr>
          <w:rFonts w:cs="Times New Roman"/>
          <w:color w:val="auto"/>
        </w:rPr>
      </w:pPr>
      <w:bookmarkStart w:id="5" w:name="_Toc30575"/>
      <w:r>
        <w:rPr>
          <w:rFonts w:cs="Times New Roman"/>
          <w:snapToGrid w:val="0"/>
          <w:color w:val="auto"/>
        </w:rPr>
        <w:t>四、主要环境影响和保护措施</w:t>
      </w:r>
      <w:bookmarkEnd w:id="5"/>
    </w:p>
    <w:tbl>
      <w:tblPr>
        <w:tblStyle w:val="27"/>
        <w:tblW w:w="83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1"/>
        <w:gridCol w:w="7754"/>
      </w:tblGrid>
      <w:tr w14:paraId="0F000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81" w:type="dxa"/>
            <w:tcMar>
              <w:left w:w="28" w:type="dxa"/>
              <w:right w:w="28" w:type="dxa"/>
            </w:tcMar>
            <w:vAlign w:val="center"/>
          </w:tcPr>
          <w:p w14:paraId="7525F40A">
            <w:pPr>
              <w:ind w:firstLine="0" w:firstLineChars="0"/>
              <w:jc w:val="center"/>
              <w:rPr>
                <w:rFonts w:cs="Times New Roman"/>
                <w:bCs/>
                <w:color w:val="auto"/>
                <w:szCs w:val="21"/>
              </w:rPr>
            </w:pPr>
            <w:r>
              <w:rPr>
                <w:rFonts w:cs="Times New Roman"/>
                <w:color w:val="auto"/>
                <w:szCs w:val="21"/>
              </w:rPr>
              <w:t>施工期环境保护措施</w:t>
            </w:r>
          </w:p>
        </w:tc>
        <w:tc>
          <w:tcPr>
            <w:tcW w:w="7754" w:type="dxa"/>
            <w:vAlign w:val="center"/>
          </w:tcPr>
          <w:p w14:paraId="1A628B8F">
            <w:pPr>
              <w:ind w:firstLine="482"/>
              <w:rPr>
                <w:rFonts w:cs="Times New Roman"/>
                <w:b/>
                <w:bCs/>
                <w:color w:val="auto"/>
              </w:rPr>
            </w:pPr>
            <w:r>
              <w:rPr>
                <w:rFonts w:cs="Times New Roman"/>
                <w:b/>
                <w:bCs/>
                <w:color w:val="auto"/>
              </w:rPr>
              <w:t>1、施工期</w:t>
            </w:r>
          </w:p>
          <w:p w14:paraId="5DF5C15B">
            <w:pPr>
              <w:ind w:firstLine="482"/>
              <w:rPr>
                <w:rFonts w:cs="Times New Roman"/>
                <w:b/>
                <w:bCs/>
                <w:color w:val="auto"/>
              </w:rPr>
            </w:pPr>
            <w:r>
              <w:rPr>
                <w:rFonts w:cs="Times New Roman"/>
                <w:b/>
                <w:bCs/>
                <w:color w:val="auto"/>
              </w:rPr>
              <w:t>1.1废气环保措施</w:t>
            </w:r>
          </w:p>
          <w:p w14:paraId="6F43A528">
            <w:pPr>
              <w:ind w:firstLine="480"/>
              <w:rPr>
                <w:rFonts w:cs="Times New Roman"/>
                <w:color w:val="auto"/>
              </w:rPr>
            </w:pPr>
            <w:r>
              <w:rPr>
                <w:rFonts w:cs="Times New Roman"/>
                <w:color w:val="auto"/>
              </w:rPr>
              <w:t>为把建设项目施工期的扬尘污染降到最低，针对施工阶段提出如下防治措施：</w:t>
            </w:r>
          </w:p>
          <w:p w14:paraId="6D4F2D5C">
            <w:pPr>
              <w:ind w:firstLine="480"/>
              <w:rPr>
                <w:rFonts w:cs="Times New Roman"/>
                <w:color w:val="auto"/>
              </w:rPr>
            </w:pPr>
            <w:r>
              <w:rPr>
                <w:rFonts w:cs="Times New Roman"/>
                <w:color w:val="auto"/>
              </w:rPr>
              <w:t>①严格控制施工作业范围，施工车辆必须行驶在规定道路范围内；</w:t>
            </w:r>
          </w:p>
          <w:p w14:paraId="78B196DB">
            <w:pPr>
              <w:ind w:firstLine="480"/>
              <w:rPr>
                <w:rFonts w:cs="Times New Roman"/>
                <w:color w:val="auto"/>
              </w:rPr>
            </w:pPr>
            <w:r>
              <w:rPr>
                <w:rFonts w:cs="Times New Roman"/>
                <w:color w:val="auto"/>
              </w:rPr>
              <w:t>②施工过程中通过洒水车运水至场地运输通道，及时洒水以减少汽车行驶扬尘；</w:t>
            </w:r>
          </w:p>
          <w:p w14:paraId="142BFF15">
            <w:pPr>
              <w:ind w:firstLine="480"/>
              <w:rPr>
                <w:rFonts w:cs="Times New Roman"/>
                <w:color w:val="auto"/>
              </w:rPr>
            </w:pPr>
            <w:r>
              <w:rPr>
                <w:rFonts w:cs="Times New Roman"/>
                <w:color w:val="auto"/>
              </w:rPr>
              <w:t>③限制运输车辆的行驶速度，场地内行车速度不得超过15km/h；</w:t>
            </w:r>
          </w:p>
          <w:p w14:paraId="0FB18267">
            <w:pPr>
              <w:ind w:firstLine="480"/>
              <w:rPr>
                <w:rFonts w:cs="Times New Roman"/>
                <w:color w:val="auto"/>
              </w:rPr>
            </w:pPr>
            <w:r>
              <w:rPr>
                <w:rFonts w:cs="Times New Roman"/>
                <w:color w:val="auto"/>
              </w:rPr>
              <w:t>④建筑材料堆放过程进行覆盖苫布，通过对堆场进行洒水；</w:t>
            </w:r>
          </w:p>
          <w:p w14:paraId="2C4DE6D2">
            <w:pPr>
              <w:ind w:firstLine="480"/>
              <w:rPr>
                <w:rFonts w:cs="Times New Roman"/>
                <w:color w:val="auto"/>
              </w:rPr>
            </w:pPr>
            <w:r>
              <w:rPr>
                <w:rFonts w:cs="Times New Roman"/>
                <w:color w:val="auto"/>
              </w:rPr>
              <w:t>⑤土建工程基坑开挖场地在施工前进行洒水降尘，并在四周设置围挡</w:t>
            </w:r>
          </w:p>
          <w:p w14:paraId="0650520D">
            <w:pPr>
              <w:ind w:firstLine="480"/>
              <w:rPr>
                <w:rFonts w:cs="Times New Roman"/>
                <w:color w:val="auto"/>
              </w:rPr>
            </w:pPr>
            <w:r>
              <w:rPr>
                <w:rFonts w:cs="Times New Roman"/>
                <w:color w:val="auto"/>
              </w:rPr>
              <w:t>⑥开挖土方堆放过程进行覆盖苫布，通过对堆场进行洒水</w:t>
            </w:r>
          </w:p>
          <w:p w14:paraId="6B29C5CE">
            <w:pPr>
              <w:ind w:firstLine="480"/>
              <w:rPr>
                <w:rFonts w:hint="default" w:eastAsia="宋体" w:cs="Times New Roman"/>
                <w:color w:val="auto"/>
                <w:lang w:val="en-US" w:eastAsia="zh-CN"/>
              </w:rPr>
            </w:pPr>
            <w:r>
              <w:rPr>
                <w:rFonts w:cs="Times New Roman"/>
                <w:color w:val="auto"/>
              </w:rPr>
              <w:t>通过采取以上措施后，工地扬尘量可减少70%～80%，可大幅度降低施工造成的大气污染，施工期扬尘基本控制在施工现场范围内，可满足《大气污染物综合排放标准》（GB16297-1996）表2无组织排放标准的要求。另外，施工产生的扬尘属短期污染，其影响将随施工行为的结束而结束。因此在采取严格的防尘措施后，施工期扬尘的影响将大大地降低，其对环境的影响也将随施工的结束而消失。</w:t>
            </w:r>
            <w:r>
              <w:rPr>
                <w:rFonts w:hint="eastAsia"/>
                <w:color w:val="auto"/>
                <w:lang w:val="en-US" w:eastAsia="zh-CN"/>
              </w:rPr>
              <w:t>周边靠近居民处，在施工时建立挡墙，同时洒水抑尘，减少施工时的粉尘产生。</w:t>
            </w:r>
          </w:p>
          <w:p w14:paraId="34759FD2">
            <w:pPr>
              <w:ind w:firstLine="482"/>
              <w:rPr>
                <w:rFonts w:cs="Times New Roman"/>
                <w:b/>
                <w:bCs/>
                <w:color w:val="auto"/>
              </w:rPr>
            </w:pPr>
            <w:r>
              <w:rPr>
                <w:rFonts w:cs="Times New Roman"/>
                <w:b/>
                <w:bCs/>
                <w:color w:val="auto"/>
              </w:rPr>
              <w:t>1.2废水环保措施</w:t>
            </w:r>
          </w:p>
          <w:p w14:paraId="02067CB0">
            <w:pPr>
              <w:ind w:firstLine="480"/>
              <w:rPr>
                <w:rFonts w:cs="Times New Roman"/>
                <w:color w:val="auto"/>
              </w:rPr>
            </w:pPr>
            <w:r>
              <w:rPr>
                <w:rFonts w:cs="Times New Roman"/>
                <w:color w:val="auto"/>
              </w:rPr>
              <w:t>①工地生活污水</w:t>
            </w:r>
          </w:p>
          <w:p w14:paraId="14BED138">
            <w:pPr>
              <w:ind w:firstLine="480"/>
              <w:rPr>
                <w:rFonts w:cs="Times New Roman"/>
                <w:color w:val="auto"/>
              </w:rPr>
            </w:pPr>
            <w:r>
              <w:rPr>
                <w:rFonts w:cs="Times New Roman"/>
                <w:color w:val="auto"/>
              </w:rPr>
              <w:t>生活污水主要来自施工人员产生的粪便污水、清洗污水等。施工人员约20人，建设时间约6个月，生活用水按50L/人•d计算，则生活用水量约为1m</w:t>
            </w:r>
            <w:r>
              <w:rPr>
                <w:rFonts w:cs="Times New Roman"/>
                <w:color w:val="auto"/>
                <w:vertAlign w:val="superscript"/>
              </w:rPr>
              <w:t>3</w:t>
            </w:r>
            <w:r>
              <w:rPr>
                <w:rFonts w:cs="Times New Roman"/>
                <w:color w:val="auto"/>
              </w:rPr>
              <w:t>/d，施工期总用水量约为180m</w:t>
            </w:r>
            <w:r>
              <w:rPr>
                <w:rFonts w:cs="Times New Roman"/>
                <w:color w:val="auto"/>
                <w:vertAlign w:val="superscript"/>
              </w:rPr>
              <w:t>3</w:t>
            </w:r>
            <w:r>
              <w:rPr>
                <w:rFonts w:cs="Times New Roman"/>
                <w:color w:val="auto"/>
              </w:rPr>
              <w:t>；生活污水产生量按用水量的80％计算，每天的废水量为0.8m</w:t>
            </w:r>
            <w:r>
              <w:rPr>
                <w:rFonts w:cs="Times New Roman"/>
                <w:color w:val="auto"/>
                <w:vertAlign w:val="superscript"/>
              </w:rPr>
              <w:t>3</w:t>
            </w:r>
            <w:r>
              <w:rPr>
                <w:rFonts w:cs="Times New Roman"/>
                <w:color w:val="auto"/>
              </w:rPr>
              <w:t>/d，则施工期生活污水产生量约为144m</w:t>
            </w:r>
            <w:r>
              <w:rPr>
                <w:rFonts w:cs="Times New Roman"/>
                <w:color w:val="auto"/>
                <w:vertAlign w:val="superscript"/>
              </w:rPr>
              <w:t>3</w:t>
            </w:r>
            <w:r>
              <w:rPr>
                <w:rFonts w:hint="eastAsia" w:cs="Times New Roman"/>
                <w:color w:val="auto"/>
                <w:vertAlign w:val="baseline"/>
                <w:lang w:eastAsia="zh-CN"/>
              </w:rPr>
              <w:t>。</w:t>
            </w:r>
            <w:r>
              <w:rPr>
                <w:rFonts w:hint="eastAsia" w:cs="Times New Roman"/>
                <w:color w:val="auto"/>
                <w:vertAlign w:val="baseline"/>
                <w:lang w:val="en-US" w:eastAsia="zh-CN"/>
              </w:rPr>
              <w:t>粪便污水</w:t>
            </w:r>
            <w:r>
              <w:rPr>
                <w:rFonts w:cs="Times New Roman"/>
                <w:color w:val="auto"/>
              </w:rPr>
              <w:t>排至厂区</w:t>
            </w:r>
            <w:r>
              <w:rPr>
                <w:rFonts w:hint="eastAsia" w:cs="Times New Roman"/>
                <w:color w:val="auto"/>
                <w:lang w:val="en-US" w:eastAsia="zh-CN"/>
              </w:rPr>
              <w:t>周边旱厕</w:t>
            </w:r>
            <w:r>
              <w:rPr>
                <w:rFonts w:cs="Times New Roman"/>
                <w:color w:val="auto"/>
              </w:rPr>
              <w:t>。</w:t>
            </w:r>
          </w:p>
          <w:p w14:paraId="057DD880">
            <w:pPr>
              <w:ind w:firstLine="480"/>
              <w:rPr>
                <w:rFonts w:cs="Times New Roman"/>
                <w:color w:val="auto"/>
              </w:rPr>
            </w:pPr>
            <w:r>
              <w:rPr>
                <w:rFonts w:cs="Times New Roman"/>
                <w:color w:val="auto"/>
              </w:rPr>
              <w:t>②工地施工废水</w:t>
            </w:r>
          </w:p>
          <w:p w14:paraId="14B0050C">
            <w:pPr>
              <w:ind w:firstLine="480"/>
              <w:rPr>
                <w:rFonts w:cs="Times New Roman"/>
                <w:color w:val="auto"/>
              </w:rPr>
            </w:pPr>
            <w:r>
              <w:rPr>
                <w:rFonts w:cs="Times New Roman"/>
                <w:color w:val="auto"/>
              </w:rPr>
              <w:t>施工废水主要包括砂石料冲洗、混凝土养护以及机械和车辆冲洗。在施工阶段，施工中产生的施工废水中含有泥沙和固体废料，为了减少施工废水中的悬浮物浓度，减轻地表水污染的负荷量，需在施工工地设置1座临时</w:t>
            </w:r>
            <w:r>
              <w:rPr>
                <w:rFonts w:hint="eastAsia" w:cs="Times New Roman"/>
                <w:color w:val="auto"/>
                <w:lang w:eastAsia="zh-CN"/>
              </w:rPr>
              <w:t>沉淀池</w:t>
            </w:r>
            <w:r>
              <w:rPr>
                <w:rFonts w:cs="Times New Roman"/>
                <w:color w:val="auto"/>
              </w:rPr>
              <w:t>，使废水中悬浮物大幅度降低，并将施工废水经沉淀后的上清液回用于施工场地抑尘洒水，不外排，对周围环境影响较小。</w:t>
            </w:r>
          </w:p>
          <w:p w14:paraId="5DDF1356">
            <w:pPr>
              <w:ind w:firstLine="482"/>
              <w:rPr>
                <w:rFonts w:cs="Times New Roman"/>
                <w:b/>
                <w:bCs/>
                <w:color w:val="auto"/>
              </w:rPr>
            </w:pPr>
            <w:r>
              <w:rPr>
                <w:rFonts w:cs="Times New Roman"/>
                <w:b/>
                <w:bCs/>
                <w:color w:val="auto"/>
              </w:rPr>
              <w:t>1.3噪声环保措施</w:t>
            </w:r>
          </w:p>
          <w:p w14:paraId="35980D32">
            <w:pPr>
              <w:ind w:firstLine="480"/>
              <w:rPr>
                <w:rFonts w:cs="Times New Roman"/>
                <w:color w:val="auto"/>
              </w:rPr>
            </w:pPr>
            <w:r>
              <w:rPr>
                <w:rFonts w:cs="Times New Roman"/>
                <w:color w:val="auto"/>
              </w:rPr>
              <w:t>建设单位通过以下措施减缓项目施工对周边声环境造成的影响：</w:t>
            </w:r>
          </w:p>
          <w:p w14:paraId="0A15452F">
            <w:pPr>
              <w:ind w:firstLine="480"/>
              <w:rPr>
                <w:rFonts w:cs="Times New Roman"/>
                <w:color w:val="auto"/>
              </w:rPr>
            </w:pPr>
            <w:r>
              <w:rPr>
                <w:rFonts w:cs="Times New Roman"/>
                <w:color w:val="auto"/>
              </w:rPr>
              <w:t>①合理安排施工时间制定施工计划，尽可能避免大量高噪声设备同时施工。</w:t>
            </w:r>
          </w:p>
          <w:p w14:paraId="4403886A">
            <w:pPr>
              <w:ind w:firstLine="480"/>
              <w:rPr>
                <w:rFonts w:cs="Times New Roman"/>
                <w:color w:val="auto"/>
              </w:rPr>
            </w:pPr>
            <w:r>
              <w:rPr>
                <w:rFonts w:cs="Times New Roman"/>
                <w:color w:val="auto"/>
              </w:rPr>
              <w:t>②施工时选用噪声符合国家相关标准的施工设备。加强设备维护和保养，保持机械润滑，减少运行噪声；同时加强管理，以减少因施工设备维护和保养不当产生的噪声。</w:t>
            </w:r>
          </w:p>
          <w:p w14:paraId="40453EC1">
            <w:pPr>
              <w:ind w:firstLine="480"/>
              <w:rPr>
                <w:rFonts w:cs="Times New Roman"/>
                <w:color w:val="auto"/>
              </w:rPr>
            </w:pPr>
            <w:r>
              <w:rPr>
                <w:rFonts w:cs="Times New Roman"/>
                <w:color w:val="auto"/>
              </w:rPr>
              <w:t>③按操作规范操作机械设</w:t>
            </w:r>
            <w:r>
              <w:rPr>
                <w:rFonts w:cs="Times New Roman"/>
                <w:color w:val="auto"/>
                <w:highlight w:val="yellow"/>
              </w:rPr>
              <w:t>备，减少操作过程中的碰撞噪</w:t>
            </w:r>
            <w:r>
              <w:rPr>
                <w:rFonts w:cs="Times New Roman"/>
                <w:color w:val="auto"/>
              </w:rPr>
              <w:t>声，并对工人进行环保方面的教育。</w:t>
            </w:r>
          </w:p>
          <w:p w14:paraId="3D5B37F9">
            <w:pPr>
              <w:ind w:firstLine="480"/>
              <w:rPr>
                <w:rFonts w:cs="Times New Roman"/>
                <w:color w:val="auto"/>
              </w:rPr>
            </w:pPr>
            <w:r>
              <w:rPr>
                <w:rFonts w:cs="Times New Roman"/>
                <w:color w:val="auto"/>
              </w:rPr>
              <w:t>④加强施工管理，优化施工场地布置。</w:t>
            </w:r>
          </w:p>
          <w:p w14:paraId="111D0989">
            <w:pPr>
              <w:ind w:firstLine="480"/>
              <w:rPr>
                <w:rFonts w:hint="default" w:eastAsia="宋体" w:cs="Times New Roman"/>
                <w:color w:val="auto"/>
                <w:lang w:val="en-US" w:eastAsia="zh-CN"/>
              </w:rPr>
            </w:pPr>
            <w:r>
              <w:rPr>
                <w:rFonts w:hint="eastAsia" w:cs="Times New Roman"/>
                <w:color w:val="auto"/>
                <w:lang w:val="en-US" w:eastAsia="zh-CN"/>
              </w:rPr>
              <w:t>⑤施工期间建设挡墙，减少噪声的传播距离。</w:t>
            </w:r>
          </w:p>
          <w:p w14:paraId="7A25E835">
            <w:pPr>
              <w:ind w:firstLine="480"/>
              <w:rPr>
                <w:rFonts w:cs="Times New Roman"/>
                <w:color w:val="auto"/>
              </w:rPr>
            </w:pPr>
            <w:r>
              <w:rPr>
                <w:rFonts w:hint="eastAsia" w:cs="Times New Roman"/>
                <w:color w:val="auto"/>
                <w:lang w:val="en-US" w:eastAsia="zh-CN"/>
              </w:rPr>
              <w:t>⑥</w:t>
            </w:r>
            <w:r>
              <w:rPr>
                <w:rFonts w:cs="Times New Roman"/>
                <w:color w:val="auto"/>
              </w:rPr>
              <w:t>施工期交通运输噪声对环境影响较大，应尽量减少夜间运输；适当限制大型载重车的车速；对运输车辆定期维修、养护。通过采取以上措施，施工期产生的噪声可满足《建筑施工场界环境噪声排放标准》（GB12523-2011），对周围环境影响较小。并且施工期噪声影响是一定时间、一定范围的，随着施工期的结束，噪声影响也将随之消失。</w:t>
            </w:r>
          </w:p>
          <w:p w14:paraId="2EA9B031">
            <w:pPr>
              <w:ind w:firstLine="482"/>
              <w:rPr>
                <w:rFonts w:cs="Times New Roman"/>
                <w:b/>
                <w:bCs/>
                <w:color w:val="auto"/>
              </w:rPr>
            </w:pPr>
            <w:r>
              <w:rPr>
                <w:rFonts w:cs="Times New Roman"/>
                <w:b/>
                <w:bCs/>
                <w:color w:val="auto"/>
              </w:rPr>
              <w:t>1.4固体废物环保措施</w:t>
            </w:r>
          </w:p>
          <w:p w14:paraId="688842D5">
            <w:pPr>
              <w:ind w:firstLine="480"/>
              <w:rPr>
                <w:rFonts w:cs="Times New Roman"/>
                <w:color w:val="auto"/>
              </w:rPr>
            </w:pPr>
            <w:r>
              <w:rPr>
                <w:rFonts w:cs="Times New Roman"/>
                <w:color w:val="auto"/>
              </w:rPr>
              <w:t>施工期产生的固体废物主要为建筑施工垃圾和生活垃圾。施工过程产生的建筑废物主要为新建过程中产生的多余土方及建设过程中产生的建筑垃圾；施工人员生活垃圾产生量以0.5kg/d•人计，则生活垃圾产生量为0.01</w:t>
            </w:r>
            <w:r>
              <w:rPr>
                <w:rFonts w:hint="eastAsia" w:cs="Times New Roman"/>
                <w:color w:val="auto"/>
                <w:lang w:val="en-US" w:eastAsia="zh-CN"/>
              </w:rPr>
              <w:t>t</w:t>
            </w:r>
            <w:r>
              <w:rPr>
                <w:rFonts w:cs="Times New Roman"/>
                <w:color w:val="auto"/>
              </w:rPr>
              <w:t>/d，施工期总生活垃圾产生量约为</w:t>
            </w:r>
            <w:r>
              <w:rPr>
                <w:rFonts w:hint="eastAsia" w:cs="Times New Roman"/>
                <w:color w:val="auto"/>
                <w:lang w:val="en-US" w:eastAsia="zh-CN"/>
              </w:rPr>
              <w:t>1.8</w:t>
            </w:r>
            <w:r>
              <w:rPr>
                <w:rFonts w:cs="Times New Roman"/>
                <w:color w:val="auto"/>
              </w:rPr>
              <w:t>t，全部投放至厂内封闭式垃圾桶内，由市政环卫部门定时清运。</w:t>
            </w:r>
          </w:p>
          <w:p w14:paraId="37BBD278">
            <w:pPr>
              <w:ind w:firstLine="480"/>
              <w:rPr>
                <w:rFonts w:cs="Times New Roman"/>
                <w:color w:val="auto"/>
              </w:rPr>
            </w:pPr>
            <w:r>
              <w:rPr>
                <w:rFonts w:cs="Times New Roman"/>
                <w:color w:val="auto"/>
              </w:rPr>
              <w:t>对施工过程产生的弃土及时回填，多余的土方和建筑垃圾等废物分类回收，不能回收处理的应及时清运至当地执法部门指定地点进行合理处置。为防止运输过程中垃圾遗撒，运输时应采用封盖、防风扬尘措施。施工人员的生活垃圾经设置临时垃圾箱进行集中收集，定期送至当地环卫部门指定地点合理处置。经以上措施，本项目施工期固体废物对周边环境的影响较小。</w:t>
            </w:r>
          </w:p>
        </w:tc>
      </w:tr>
      <w:tr w14:paraId="2EC88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dxa"/>
            <w:tcMar>
              <w:left w:w="28" w:type="dxa"/>
              <w:right w:w="28" w:type="dxa"/>
            </w:tcMar>
            <w:vAlign w:val="center"/>
          </w:tcPr>
          <w:p w14:paraId="29E87540">
            <w:pPr>
              <w:ind w:firstLine="0" w:firstLineChars="0"/>
              <w:jc w:val="center"/>
              <w:rPr>
                <w:rFonts w:cs="Times New Roman"/>
                <w:color w:val="auto"/>
                <w:szCs w:val="21"/>
              </w:rPr>
            </w:pPr>
            <w:bookmarkStart w:id="6" w:name="_Hlk78365085"/>
            <w:r>
              <w:rPr>
                <w:rFonts w:cs="Times New Roman"/>
                <w:bCs/>
                <w:color w:val="auto"/>
                <w:szCs w:val="21"/>
              </w:rPr>
              <w:t>运营期环境影响和保护措施</w:t>
            </w:r>
          </w:p>
        </w:tc>
        <w:tc>
          <w:tcPr>
            <w:tcW w:w="7754" w:type="dxa"/>
            <w:vAlign w:val="center"/>
          </w:tcPr>
          <w:p w14:paraId="29D27EC1">
            <w:pPr>
              <w:ind w:firstLine="482"/>
              <w:rPr>
                <w:rFonts w:cs="Times New Roman"/>
                <w:b/>
                <w:bCs/>
                <w:color w:val="auto"/>
              </w:rPr>
            </w:pPr>
            <w:bookmarkStart w:id="7" w:name="_Hlk78373195"/>
            <w:bookmarkStart w:id="8" w:name="_Hlk78372578"/>
            <w:r>
              <w:rPr>
                <w:rFonts w:cs="Times New Roman"/>
                <w:b/>
                <w:bCs/>
                <w:color w:val="auto"/>
              </w:rPr>
              <w:t>一、废气产排情况及防治措施可行性分析</w:t>
            </w:r>
          </w:p>
          <w:p w14:paraId="5EA5EB20">
            <w:pPr>
              <w:ind w:firstLine="482"/>
              <w:rPr>
                <w:rFonts w:cs="Times New Roman"/>
                <w:b/>
                <w:bCs/>
                <w:color w:val="auto"/>
              </w:rPr>
            </w:pPr>
            <w:r>
              <w:rPr>
                <w:rFonts w:cs="Times New Roman"/>
                <w:b/>
                <w:bCs/>
                <w:color w:val="auto"/>
              </w:rPr>
              <w:t>1、废气产</w:t>
            </w:r>
            <w:r>
              <w:rPr>
                <w:rFonts w:hint="eastAsia" w:cs="Times New Roman"/>
                <w:b/>
                <w:bCs/>
                <w:color w:val="auto"/>
              </w:rPr>
              <w:t>生</w:t>
            </w:r>
            <w:r>
              <w:rPr>
                <w:rFonts w:cs="Times New Roman"/>
                <w:b/>
                <w:bCs/>
                <w:color w:val="auto"/>
              </w:rPr>
              <w:t>情况</w:t>
            </w:r>
          </w:p>
          <w:p w14:paraId="729EEE24">
            <w:pPr>
              <w:ind w:firstLine="480"/>
              <w:rPr>
                <w:rFonts w:cs="Times New Roman"/>
                <w:color w:val="auto"/>
              </w:rPr>
            </w:pPr>
            <w:r>
              <w:rPr>
                <w:rFonts w:cs="Times New Roman"/>
                <w:color w:val="auto"/>
              </w:rPr>
              <w:t>本项目运营期大气污染物主要为粉尘，</w:t>
            </w:r>
            <w:r>
              <w:rPr>
                <w:rFonts w:hint="eastAsia" w:cs="Times New Roman"/>
                <w:color w:val="auto"/>
                <w:lang w:val="en-US" w:eastAsia="zh-CN"/>
              </w:rPr>
              <w:t>原料库</w:t>
            </w:r>
            <w:r>
              <w:rPr>
                <w:rFonts w:cs="Times New Roman"/>
                <w:color w:val="auto"/>
              </w:rPr>
              <w:t>粉尘（砂石卸料车扬尘、砂石进料产生的粉尘）；混凝土生产线（物料运输储存粉尘、物料混合搅拌粉尘）。</w:t>
            </w:r>
          </w:p>
          <w:p w14:paraId="5A921EF9">
            <w:pPr>
              <w:ind w:firstLine="482"/>
              <w:rPr>
                <w:rFonts w:cs="Times New Roman"/>
                <w:b/>
                <w:bCs/>
                <w:color w:val="auto"/>
              </w:rPr>
            </w:pPr>
            <w:r>
              <w:rPr>
                <w:rFonts w:cs="Times New Roman"/>
                <w:b/>
                <w:bCs/>
                <w:color w:val="auto"/>
              </w:rPr>
              <w:t>（1）砂石库料</w:t>
            </w:r>
          </w:p>
          <w:p w14:paraId="4DF6C19E">
            <w:pPr>
              <w:ind w:firstLine="480"/>
              <w:rPr>
                <w:rFonts w:cs="Times New Roman"/>
                <w:color w:val="auto"/>
              </w:rPr>
            </w:pPr>
            <w:r>
              <w:rPr>
                <w:rFonts w:cs="Times New Roman"/>
                <w:color w:val="auto"/>
              </w:rPr>
              <w:fldChar w:fldCharType="begin"/>
            </w:r>
            <w:r>
              <w:rPr>
                <w:rFonts w:cs="Times New Roman"/>
                <w:color w:val="auto"/>
              </w:rPr>
              <w:instrText xml:space="preserve"> = 1 \* GB3 \* MERGEFORMAT </w:instrText>
            </w:r>
            <w:r>
              <w:rPr>
                <w:rFonts w:cs="Times New Roman"/>
                <w:color w:val="auto"/>
              </w:rPr>
              <w:fldChar w:fldCharType="separate"/>
            </w:r>
            <w:r>
              <w:rPr>
                <w:rFonts w:cs="Times New Roman"/>
                <w:color w:val="auto"/>
              </w:rPr>
              <w:t>①</w:t>
            </w:r>
            <w:r>
              <w:rPr>
                <w:rFonts w:cs="Times New Roman"/>
                <w:color w:val="auto"/>
              </w:rPr>
              <w:fldChar w:fldCharType="end"/>
            </w:r>
            <w:r>
              <w:rPr>
                <w:rFonts w:cs="Times New Roman"/>
                <w:color w:val="auto"/>
              </w:rPr>
              <w:t>砂石进料产生无组织粉尘</w:t>
            </w:r>
          </w:p>
          <w:p w14:paraId="0ED281AD">
            <w:pPr>
              <w:ind w:firstLine="480"/>
              <w:rPr>
                <w:rFonts w:cs="Times New Roman"/>
                <w:color w:val="auto"/>
              </w:rPr>
            </w:pPr>
            <w:r>
              <w:rPr>
                <w:rFonts w:cs="Times New Roman"/>
                <w:color w:val="auto"/>
              </w:rPr>
              <w:t>本项目砂石料进料方式为铲车铲装给砂石配料仓内，经全封闭输送带进料至搅拌机主机仓；水泥则以压缩空气吹入散装水泥粉料仓，辅以螺旋输送机给粉料计量仓（又称粉料进料仓）供料，本项目各生产工序均采用电脑集中控制，各工序的连锁、联动的协调性、安全性非常强。</w:t>
            </w:r>
          </w:p>
          <w:p w14:paraId="1F96CDFF">
            <w:pPr>
              <w:ind w:firstLine="480"/>
              <w:rPr>
                <w:rFonts w:cs="Times New Roman"/>
                <w:color w:val="auto"/>
              </w:rPr>
            </w:pPr>
            <w:r>
              <w:rPr>
                <w:rFonts w:cs="Times New Roman"/>
                <w:color w:val="auto"/>
              </w:rPr>
              <w:t>本项目粉料设置于密闭的粉料仓内，粉料卸料过程中产生的少量粉尘全部密封在粉料仓内，由于粉料仓顶部设置除尘器，因此收集后的粉尘又逐渐沉降至仓筒内；砂石材料配料斗、投料斗均为全密闭（在配料仓的料斗上方设置彩钢板遮挡）并设有1台雾炮，用于洒水抑尘，根据《逸散性工业粉尘控制技术》第一章“一般逸散尘排放源”中第三节“物料的装卸运输”中“用水喷洒系统可达到50%的控制效率”，“转运的全封闭能有效减少逸散尘70%”。项目料仓全封闭能有效减少逸散尘70%，喷淋洒水降尘能达到50%控制效率，综合除尘效率以85%计，最后经全封闭皮带输送至搅拌站主机仓内。</w:t>
            </w:r>
          </w:p>
          <w:p w14:paraId="52A264CD">
            <w:pPr>
              <w:ind w:firstLine="480"/>
              <w:rPr>
                <w:rFonts w:cs="Times New Roman"/>
                <w:color w:val="auto"/>
              </w:rPr>
            </w:pPr>
            <w:r>
              <w:rPr>
                <w:rFonts w:cs="Times New Roman"/>
                <w:color w:val="auto"/>
              </w:rPr>
              <w:t>项目进料物料主要为砂子和碎石，进料量约为</w:t>
            </w:r>
            <w:r>
              <w:rPr>
                <w:rFonts w:hint="eastAsia" w:cs="Times New Roman"/>
                <w:color w:val="auto"/>
                <w:lang w:val="en-US" w:eastAsia="zh-CN"/>
              </w:rPr>
              <w:t>16000</w:t>
            </w:r>
            <w:r>
              <w:rPr>
                <w:rFonts w:cs="Times New Roman"/>
                <w:color w:val="auto"/>
              </w:rPr>
              <w:t>t/a，根据《逸散性工业粉尘控制技术》“水泥厂”装料产尘系数为0.02kg/t，则项目进料粉尘产生量约为</w:t>
            </w:r>
            <w:r>
              <w:rPr>
                <w:rFonts w:hint="eastAsia" w:cs="Times New Roman"/>
                <w:color w:val="auto"/>
                <w:lang w:val="en-US" w:eastAsia="zh-CN"/>
              </w:rPr>
              <w:t>0.32</w:t>
            </w:r>
            <w:r>
              <w:rPr>
                <w:rFonts w:cs="Times New Roman"/>
                <w:color w:val="auto"/>
              </w:rPr>
              <w:t>t/a，产生速率为</w:t>
            </w:r>
            <w:r>
              <w:rPr>
                <w:rFonts w:hint="eastAsia" w:cs="Times New Roman"/>
                <w:color w:val="auto"/>
                <w:lang w:val="en-US" w:eastAsia="zh-CN"/>
              </w:rPr>
              <w:t>0.218</w:t>
            </w:r>
            <w:r>
              <w:rPr>
                <w:rFonts w:cs="Times New Roman"/>
                <w:color w:val="auto"/>
              </w:rPr>
              <w:t>kg/h；粉尘排放量为</w:t>
            </w:r>
            <w:r>
              <w:rPr>
                <w:rFonts w:hint="eastAsia" w:cs="Times New Roman"/>
                <w:color w:val="auto"/>
                <w:lang w:val="en-US" w:eastAsia="zh-CN"/>
              </w:rPr>
              <w:t>0.0164</w:t>
            </w:r>
            <w:r>
              <w:rPr>
                <w:rFonts w:cs="Times New Roman"/>
                <w:color w:val="auto"/>
              </w:rPr>
              <w:t>t/a，排放速率为</w:t>
            </w:r>
            <w:r>
              <w:rPr>
                <w:rFonts w:hint="eastAsia" w:cs="Times New Roman"/>
                <w:color w:val="auto"/>
                <w:lang w:val="en-US" w:eastAsia="zh-CN"/>
              </w:rPr>
              <w:t>0.011</w:t>
            </w:r>
            <w:r>
              <w:rPr>
                <w:rFonts w:cs="Times New Roman"/>
                <w:color w:val="auto"/>
              </w:rPr>
              <w:t>kg/h。</w:t>
            </w:r>
          </w:p>
          <w:p w14:paraId="18F204A0">
            <w:pPr>
              <w:pStyle w:val="36"/>
              <w:rPr>
                <w:rFonts w:cs="Times New Roman"/>
                <w:color w:val="auto"/>
              </w:rPr>
            </w:pPr>
            <w:r>
              <w:rPr>
                <w:rFonts w:cs="Times New Roman"/>
                <w:color w:val="auto"/>
              </w:rPr>
              <w:t>表4-1  进料粉尘污染物产排情况一览表</w:t>
            </w:r>
          </w:p>
          <w:tbl>
            <w:tblPr>
              <w:tblStyle w:val="27"/>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080"/>
              <w:gridCol w:w="990"/>
              <w:gridCol w:w="810"/>
              <w:gridCol w:w="825"/>
              <w:gridCol w:w="945"/>
              <w:gridCol w:w="836"/>
              <w:gridCol w:w="937"/>
            </w:tblGrid>
            <w:tr w14:paraId="1C637E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6BE0BAA2">
                  <w:pPr>
                    <w:pStyle w:val="50"/>
                    <w:jc w:val="center"/>
                    <w:rPr>
                      <w:b/>
                      <w:bCs/>
                      <w:color w:val="auto"/>
                    </w:rPr>
                  </w:pPr>
                  <w:r>
                    <w:rPr>
                      <w:b/>
                      <w:bCs/>
                      <w:color w:val="auto"/>
                    </w:rPr>
                    <w:t>物料</w:t>
                  </w:r>
                </w:p>
              </w:tc>
              <w:tc>
                <w:tcPr>
                  <w:tcW w:w="716" w:type="pct"/>
                  <w:vAlign w:val="center"/>
                </w:tcPr>
                <w:p w14:paraId="35074BF2">
                  <w:pPr>
                    <w:pStyle w:val="50"/>
                    <w:jc w:val="center"/>
                    <w:rPr>
                      <w:b/>
                      <w:bCs/>
                      <w:color w:val="auto"/>
                    </w:rPr>
                  </w:pPr>
                  <w:r>
                    <w:rPr>
                      <w:b/>
                      <w:bCs/>
                      <w:color w:val="auto"/>
                    </w:rPr>
                    <w:t>产尘系数</w:t>
                  </w:r>
                </w:p>
              </w:tc>
              <w:tc>
                <w:tcPr>
                  <w:tcW w:w="656" w:type="pct"/>
                  <w:vAlign w:val="center"/>
                </w:tcPr>
                <w:p w14:paraId="0CFFCEAB">
                  <w:pPr>
                    <w:pStyle w:val="50"/>
                    <w:jc w:val="center"/>
                    <w:rPr>
                      <w:b/>
                      <w:bCs/>
                      <w:color w:val="auto"/>
                    </w:rPr>
                  </w:pPr>
                  <w:r>
                    <w:rPr>
                      <w:b/>
                      <w:bCs/>
                      <w:color w:val="auto"/>
                    </w:rPr>
                    <w:t>时间</w:t>
                  </w:r>
                </w:p>
              </w:tc>
              <w:tc>
                <w:tcPr>
                  <w:tcW w:w="1084" w:type="pct"/>
                  <w:gridSpan w:val="2"/>
                  <w:vAlign w:val="center"/>
                </w:tcPr>
                <w:p w14:paraId="65AD6991">
                  <w:pPr>
                    <w:pStyle w:val="50"/>
                    <w:jc w:val="center"/>
                    <w:rPr>
                      <w:b/>
                      <w:bCs/>
                      <w:color w:val="auto"/>
                    </w:rPr>
                  </w:pPr>
                  <w:r>
                    <w:rPr>
                      <w:b/>
                      <w:bCs/>
                      <w:color w:val="auto"/>
                    </w:rPr>
                    <w:t>产生量</w:t>
                  </w:r>
                </w:p>
              </w:tc>
              <w:tc>
                <w:tcPr>
                  <w:tcW w:w="627" w:type="pct"/>
                  <w:vAlign w:val="center"/>
                </w:tcPr>
                <w:p w14:paraId="34B22E78">
                  <w:pPr>
                    <w:pStyle w:val="50"/>
                    <w:jc w:val="center"/>
                    <w:rPr>
                      <w:b/>
                      <w:bCs/>
                      <w:color w:val="auto"/>
                    </w:rPr>
                  </w:pPr>
                  <w:r>
                    <w:rPr>
                      <w:b/>
                      <w:bCs/>
                      <w:color w:val="auto"/>
                    </w:rPr>
                    <w:t>抑尘率</w:t>
                  </w:r>
                </w:p>
              </w:tc>
              <w:tc>
                <w:tcPr>
                  <w:tcW w:w="1176" w:type="pct"/>
                  <w:gridSpan w:val="2"/>
                  <w:vAlign w:val="center"/>
                </w:tcPr>
                <w:p w14:paraId="2EF70203">
                  <w:pPr>
                    <w:pStyle w:val="50"/>
                    <w:jc w:val="center"/>
                    <w:rPr>
                      <w:b/>
                      <w:bCs/>
                      <w:color w:val="auto"/>
                    </w:rPr>
                  </w:pPr>
                  <w:r>
                    <w:rPr>
                      <w:b/>
                      <w:bCs/>
                      <w:color w:val="auto"/>
                    </w:rPr>
                    <w:t>排放量</w:t>
                  </w:r>
                </w:p>
              </w:tc>
            </w:tr>
            <w:tr w14:paraId="222B80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4B948CD1">
                  <w:pPr>
                    <w:pStyle w:val="50"/>
                    <w:jc w:val="center"/>
                    <w:rPr>
                      <w:color w:val="auto"/>
                    </w:rPr>
                  </w:pPr>
                  <w:r>
                    <w:rPr>
                      <w:color w:val="auto"/>
                    </w:rPr>
                    <w:t>t/a</w:t>
                  </w:r>
                </w:p>
              </w:tc>
              <w:tc>
                <w:tcPr>
                  <w:tcW w:w="716" w:type="pct"/>
                  <w:vAlign w:val="center"/>
                </w:tcPr>
                <w:p w14:paraId="7C6D965C">
                  <w:pPr>
                    <w:pStyle w:val="50"/>
                    <w:jc w:val="center"/>
                    <w:rPr>
                      <w:color w:val="auto"/>
                    </w:rPr>
                  </w:pPr>
                  <w:r>
                    <w:rPr>
                      <w:color w:val="auto"/>
                    </w:rPr>
                    <w:t>kg/t</w:t>
                  </w:r>
                </w:p>
              </w:tc>
              <w:tc>
                <w:tcPr>
                  <w:tcW w:w="656" w:type="pct"/>
                  <w:vAlign w:val="center"/>
                </w:tcPr>
                <w:p w14:paraId="68099599">
                  <w:pPr>
                    <w:pStyle w:val="50"/>
                    <w:jc w:val="center"/>
                    <w:rPr>
                      <w:color w:val="auto"/>
                    </w:rPr>
                  </w:pPr>
                  <w:r>
                    <w:rPr>
                      <w:color w:val="auto"/>
                    </w:rPr>
                    <w:t>h</w:t>
                  </w:r>
                </w:p>
              </w:tc>
              <w:tc>
                <w:tcPr>
                  <w:tcW w:w="537" w:type="pct"/>
                  <w:vAlign w:val="center"/>
                </w:tcPr>
                <w:p w14:paraId="501F0AB3">
                  <w:pPr>
                    <w:pStyle w:val="50"/>
                    <w:jc w:val="center"/>
                    <w:rPr>
                      <w:color w:val="auto"/>
                    </w:rPr>
                  </w:pPr>
                  <w:r>
                    <w:rPr>
                      <w:color w:val="auto"/>
                    </w:rPr>
                    <w:t>t/a</w:t>
                  </w:r>
                </w:p>
              </w:tc>
              <w:tc>
                <w:tcPr>
                  <w:tcW w:w="547" w:type="pct"/>
                  <w:vAlign w:val="center"/>
                </w:tcPr>
                <w:p w14:paraId="3FB68416">
                  <w:pPr>
                    <w:pStyle w:val="50"/>
                    <w:jc w:val="center"/>
                    <w:rPr>
                      <w:color w:val="auto"/>
                    </w:rPr>
                  </w:pPr>
                  <w:r>
                    <w:rPr>
                      <w:color w:val="auto"/>
                    </w:rPr>
                    <w:t>kg/h</w:t>
                  </w:r>
                </w:p>
              </w:tc>
              <w:tc>
                <w:tcPr>
                  <w:tcW w:w="627" w:type="pct"/>
                  <w:vAlign w:val="center"/>
                </w:tcPr>
                <w:p w14:paraId="6B0B3182">
                  <w:pPr>
                    <w:pStyle w:val="50"/>
                    <w:jc w:val="center"/>
                    <w:rPr>
                      <w:color w:val="auto"/>
                    </w:rPr>
                  </w:pPr>
                  <w:r>
                    <w:rPr>
                      <w:color w:val="auto"/>
                    </w:rPr>
                    <w:t>%</w:t>
                  </w:r>
                </w:p>
              </w:tc>
              <w:tc>
                <w:tcPr>
                  <w:tcW w:w="554" w:type="pct"/>
                  <w:vAlign w:val="center"/>
                </w:tcPr>
                <w:p w14:paraId="345AA0D1">
                  <w:pPr>
                    <w:pStyle w:val="50"/>
                    <w:jc w:val="center"/>
                    <w:rPr>
                      <w:color w:val="auto"/>
                    </w:rPr>
                  </w:pPr>
                  <w:r>
                    <w:rPr>
                      <w:color w:val="auto"/>
                    </w:rPr>
                    <w:t>t/a</w:t>
                  </w:r>
                </w:p>
              </w:tc>
              <w:tc>
                <w:tcPr>
                  <w:tcW w:w="621" w:type="pct"/>
                  <w:vAlign w:val="center"/>
                </w:tcPr>
                <w:p w14:paraId="51D80A4E">
                  <w:pPr>
                    <w:pStyle w:val="50"/>
                    <w:jc w:val="center"/>
                    <w:rPr>
                      <w:color w:val="auto"/>
                    </w:rPr>
                  </w:pPr>
                  <w:r>
                    <w:rPr>
                      <w:color w:val="auto"/>
                    </w:rPr>
                    <w:t>kg/h</w:t>
                  </w:r>
                </w:p>
              </w:tc>
            </w:tr>
            <w:tr w14:paraId="71110D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15EDC987">
                  <w:pPr>
                    <w:pStyle w:val="50"/>
                    <w:jc w:val="center"/>
                    <w:rPr>
                      <w:rFonts w:hint="default" w:eastAsia="宋体"/>
                      <w:color w:val="auto"/>
                      <w:lang w:val="en-US" w:eastAsia="zh-CN"/>
                    </w:rPr>
                  </w:pPr>
                  <w:r>
                    <w:rPr>
                      <w:rFonts w:hint="eastAsia"/>
                      <w:color w:val="auto"/>
                      <w:lang w:val="en-US" w:eastAsia="zh-CN"/>
                    </w:rPr>
                    <w:t>16000</w:t>
                  </w:r>
                </w:p>
              </w:tc>
              <w:tc>
                <w:tcPr>
                  <w:tcW w:w="716" w:type="pct"/>
                  <w:vAlign w:val="center"/>
                </w:tcPr>
                <w:p w14:paraId="2B69D749">
                  <w:pPr>
                    <w:pStyle w:val="50"/>
                    <w:jc w:val="center"/>
                    <w:rPr>
                      <w:color w:val="auto"/>
                    </w:rPr>
                  </w:pPr>
                  <w:r>
                    <w:rPr>
                      <w:color w:val="auto"/>
                    </w:rPr>
                    <w:t>0.02</w:t>
                  </w:r>
                </w:p>
              </w:tc>
              <w:tc>
                <w:tcPr>
                  <w:tcW w:w="656" w:type="pct"/>
                  <w:vAlign w:val="center"/>
                </w:tcPr>
                <w:p w14:paraId="37F9E56C">
                  <w:pPr>
                    <w:pStyle w:val="50"/>
                    <w:jc w:val="center"/>
                    <w:rPr>
                      <w:rFonts w:hint="default" w:eastAsia="宋体"/>
                      <w:color w:val="auto"/>
                      <w:lang w:val="en-US" w:eastAsia="zh-CN"/>
                    </w:rPr>
                  </w:pPr>
                  <w:r>
                    <w:rPr>
                      <w:rFonts w:hint="eastAsia"/>
                      <w:color w:val="auto"/>
                      <w:lang w:val="en-US" w:eastAsia="zh-CN"/>
                    </w:rPr>
                    <w:t>1500</w:t>
                  </w:r>
                </w:p>
              </w:tc>
              <w:tc>
                <w:tcPr>
                  <w:tcW w:w="537" w:type="pct"/>
                  <w:vAlign w:val="center"/>
                </w:tcPr>
                <w:p w14:paraId="04B9FD61">
                  <w:pPr>
                    <w:pStyle w:val="50"/>
                    <w:jc w:val="center"/>
                    <w:rPr>
                      <w:rFonts w:hint="default" w:eastAsia="宋体"/>
                      <w:color w:val="auto"/>
                      <w:lang w:val="en-US" w:eastAsia="zh-CN"/>
                    </w:rPr>
                  </w:pPr>
                  <w:r>
                    <w:rPr>
                      <w:rFonts w:hint="eastAsia"/>
                      <w:color w:val="auto"/>
                      <w:lang w:val="en-US" w:eastAsia="zh-CN"/>
                    </w:rPr>
                    <w:t>0.32</w:t>
                  </w:r>
                </w:p>
              </w:tc>
              <w:tc>
                <w:tcPr>
                  <w:tcW w:w="547" w:type="pct"/>
                  <w:vAlign w:val="center"/>
                </w:tcPr>
                <w:p w14:paraId="5D2008EF">
                  <w:pPr>
                    <w:pStyle w:val="50"/>
                    <w:jc w:val="center"/>
                    <w:rPr>
                      <w:rFonts w:hint="default" w:eastAsia="宋体"/>
                      <w:color w:val="auto"/>
                      <w:lang w:val="en-US" w:eastAsia="zh-CN"/>
                    </w:rPr>
                  </w:pPr>
                  <w:r>
                    <w:rPr>
                      <w:rFonts w:hint="eastAsia"/>
                      <w:color w:val="auto"/>
                    </w:rPr>
                    <w:t>0.</w:t>
                  </w:r>
                  <w:r>
                    <w:rPr>
                      <w:rFonts w:hint="eastAsia"/>
                      <w:color w:val="auto"/>
                      <w:lang w:val="en-US" w:eastAsia="zh-CN"/>
                    </w:rPr>
                    <w:t>213</w:t>
                  </w:r>
                </w:p>
              </w:tc>
              <w:tc>
                <w:tcPr>
                  <w:tcW w:w="627" w:type="pct"/>
                  <w:vAlign w:val="center"/>
                </w:tcPr>
                <w:p w14:paraId="03D6C787">
                  <w:pPr>
                    <w:pStyle w:val="50"/>
                    <w:jc w:val="center"/>
                    <w:rPr>
                      <w:color w:val="auto"/>
                    </w:rPr>
                  </w:pPr>
                  <w:r>
                    <w:rPr>
                      <w:color w:val="auto"/>
                    </w:rPr>
                    <w:t>85</w:t>
                  </w:r>
                </w:p>
              </w:tc>
              <w:tc>
                <w:tcPr>
                  <w:tcW w:w="554" w:type="pct"/>
                  <w:vAlign w:val="center"/>
                </w:tcPr>
                <w:p w14:paraId="2DDC63E0">
                  <w:pPr>
                    <w:pStyle w:val="50"/>
                    <w:jc w:val="center"/>
                    <w:rPr>
                      <w:rFonts w:hint="default" w:eastAsia="宋体"/>
                      <w:color w:val="auto"/>
                      <w:lang w:val="en-US" w:eastAsia="zh-CN"/>
                    </w:rPr>
                  </w:pPr>
                  <w:r>
                    <w:rPr>
                      <w:rFonts w:hint="eastAsia"/>
                      <w:color w:val="auto"/>
                      <w:lang w:val="en-US" w:eastAsia="zh-CN"/>
                    </w:rPr>
                    <w:t>0.048</w:t>
                  </w:r>
                </w:p>
              </w:tc>
              <w:tc>
                <w:tcPr>
                  <w:tcW w:w="621" w:type="pct"/>
                  <w:vAlign w:val="center"/>
                </w:tcPr>
                <w:p w14:paraId="23BFA3EE">
                  <w:pPr>
                    <w:pStyle w:val="50"/>
                    <w:jc w:val="center"/>
                    <w:rPr>
                      <w:rFonts w:hint="default" w:eastAsia="宋体"/>
                      <w:color w:val="auto"/>
                      <w:lang w:val="en-US" w:eastAsia="zh-CN"/>
                    </w:rPr>
                  </w:pPr>
                  <w:r>
                    <w:rPr>
                      <w:rFonts w:hint="eastAsia"/>
                      <w:color w:val="auto"/>
                    </w:rPr>
                    <w:t>0.</w:t>
                  </w:r>
                  <w:r>
                    <w:rPr>
                      <w:rFonts w:hint="eastAsia"/>
                      <w:color w:val="auto"/>
                      <w:lang w:val="en-US" w:eastAsia="zh-CN"/>
                    </w:rPr>
                    <w:t>03195</w:t>
                  </w:r>
                </w:p>
              </w:tc>
            </w:tr>
          </w:tbl>
          <w:p w14:paraId="37AC307F">
            <w:pPr>
              <w:ind w:firstLine="480"/>
              <w:rPr>
                <w:rFonts w:cs="Times New Roman"/>
                <w:color w:val="auto"/>
              </w:rPr>
            </w:pPr>
            <w:r>
              <w:rPr>
                <w:rFonts w:cs="Times New Roman"/>
                <w:color w:val="auto"/>
              </w:rPr>
              <w:fldChar w:fldCharType="begin"/>
            </w:r>
            <w:r>
              <w:rPr>
                <w:rFonts w:cs="Times New Roman"/>
                <w:color w:val="auto"/>
              </w:rPr>
              <w:instrText xml:space="preserve"> = 2 \* GB3 \* MERGEFORMAT </w:instrText>
            </w:r>
            <w:r>
              <w:rPr>
                <w:rFonts w:cs="Times New Roman"/>
                <w:color w:val="auto"/>
              </w:rPr>
              <w:fldChar w:fldCharType="separate"/>
            </w:r>
            <w:r>
              <w:rPr>
                <w:rFonts w:cs="Times New Roman"/>
                <w:color w:val="auto"/>
              </w:rPr>
              <w:t>②</w:t>
            </w:r>
            <w:r>
              <w:rPr>
                <w:rFonts w:cs="Times New Roman"/>
                <w:color w:val="auto"/>
              </w:rPr>
              <w:fldChar w:fldCharType="end"/>
            </w:r>
            <w:r>
              <w:rPr>
                <w:rFonts w:cs="Times New Roman"/>
                <w:color w:val="auto"/>
              </w:rPr>
              <w:t>砂石料装卸粉尘</w:t>
            </w:r>
          </w:p>
          <w:p w14:paraId="268E6C50">
            <w:pPr>
              <w:ind w:firstLine="480"/>
              <w:rPr>
                <w:rFonts w:cs="Times New Roman"/>
                <w:color w:val="auto"/>
              </w:rPr>
            </w:pPr>
            <w:r>
              <w:rPr>
                <w:rFonts w:cs="Times New Roman"/>
                <w:color w:val="auto"/>
              </w:rPr>
              <w:t>本项目砂石料装卸采用卡车装卸，根据《逸散性工业粉尘控制技术》可知，物料装卸粉尘产污系数为0.01kg</w:t>
            </w:r>
            <w:r>
              <w:rPr>
                <w:rFonts w:hint="eastAsia" w:cs="Times New Roman"/>
                <w:color w:val="auto"/>
              </w:rPr>
              <w:t>/</w:t>
            </w:r>
            <w:r>
              <w:rPr>
                <w:rFonts w:cs="Times New Roman"/>
                <w:color w:val="auto"/>
              </w:rPr>
              <w:t>t（卸料），本项目物料装卸量为</w:t>
            </w:r>
            <w:r>
              <w:rPr>
                <w:rFonts w:hint="eastAsia" w:cs="Times New Roman"/>
                <w:color w:val="auto"/>
                <w:lang w:val="en-US" w:eastAsia="zh-CN"/>
              </w:rPr>
              <w:t>16000</w:t>
            </w:r>
            <w:r>
              <w:rPr>
                <w:rFonts w:cs="Times New Roman"/>
                <w:color w:val="auto"/>
              </w:rPr>
              <w:t>t，则砂石料装卸粉尘产生量为</w:t>
            </w:r>
            <w:r>
              <w:rPr>
                <w:rFonts w:hint="eastAsia" w:cs="Times New Roman"/>
                <w:color w:val="auto"/>
                <w:lang w:val="en-US" w:eastAsia="zh-CN"/>
              </w:rPr>
              <w:t>0.16</w:t>
            </w:r>
            <w:r>
              <w:rPr>
                <w:rFonts w:cs="Times New Roman"/>
                <w:color w:val="auto"/>
              </w:rPr>
              <w:t>t/a，产生速率为</w:t>
            </w:r>
            <w:r>
              <w:rPr>
                <w:rFonts w:hint="eastAsia" w:cs="Times New Roman"/>
                <w:color w:val="auto"/>
              </w:rPr>
              <w:t>0.</w:t>
            </w:r>
            <w:r>
              <w:rPr>
                <w:rFonts w:hint="eastAsia" w:cs="Times New Roman"/>
                <w:color w:val="auto"/>
                <w:lang w:val="en-US" w:eastAsia="zh-CN"/>
              </w:rPr>
              <w:t>107</w:t>
            </w:r>
            <w:r>
              <w:rPr>
                <w:rFonts w:cs="Times New Roman"/>
                <w:color w:val="auto"/>
              </w:rPr>
              <w:t>kg/h。</w:t>
            </w:r>
          </w:p>
          <w:p w14:paraId="7DE3992F">
            <w:pPr>
              <w:ind w:firstLine="480"/>
              <w:rPr>
                <w:rFonts w:cs="Times New Roman"/>
                <w:color w:val="auto"/>
              </w:rPr>
            </w:pPr>
            <w:r>
              <w:rPr>
                <w:rFonts w:cs="Times New Roman"/>
                <w:color w:val="auto"/>
              </w:rPr>
              <w:t>项目装卸均在全封闭厂房内进行，根据《逸散性工业粉尘控制技术》第一章“一般逸散尘排放源”中第三节“物料的装卸运输”中“用水喷洒系统可达到50%的控制效率”，“转运的全封闭能有效减少逸散尘70%”。项目料仓全封闭能有效减少逸散尘70%，洒水降尘能达到50%控制效率，综合除尘效率以85%计，则粉尘排放量为0.</w:t>
            </w:r>
            <w:r>
              <w:rPr>
                <w:rFonts w:hint="eastAsia" w:cs="Times New Roman"/>
                <w:color w:val="auto"/>
                <w:lang w:val="en-US" w:eastAsia="zh-CN"/>
              </w:rPr>
              <w:t>02245</w:t>
            </w:r>
            <w:r>
              <w:rPr>
                <w:rFonts w:cs="Times New Roman"/>
                <w:color w:val="auto"/>
              </w:rPr>
              <w:t>t/a，排放速率为0.0</w:t>
            </w:r>
            <w:r>
              <w:rPr>
                <w:rFonts w:hint="eastAsia" w:cs="Times New Roman"/>
                <w:color w:val="auto"/>
                <w:lang w:val="en-US" w:eastAsia="zh-CN"/>
              </w:rPr>
              <w:t>15</w:t>
            </w:r>
            <w:r>
              <w:rPr>
                <w:rFonts w:cs="Times New Roman"/>
                <w:color w:val="auto"/>
              </w:rPr>
              <w:t>kg/h。</w:t>
            </w:r>
          </w:p>
          <w:p w14:paraId="06A7FFAE">
            <w:pPr>
              <w:pStyle w:val="36"/>
              <w:rPr>
                <w:rFonts w:cs="Times New Roman"/>
                <w:color w:val="auto"/>
              </w:rPr>
            </w:pPr>
            <w:r>
              <w:rPr>
                <w:rFonts w:cs="Times New Roman"/>
                <w:color w:val="auto"/>
              </w:rPr>
              <w:t>表4-2  砂石料装卸粉尘污染物产排情况一览表</w:t>
            </w:r>
          </w:p>
          <w:tbl>
            <w:tblPr>
              <w:tblStyle w:val="27"/>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053"/>
              <w:gridCol w:w="883"/>
              <w:gridCol w:w="711"/>
              <w:gridCol w:w="784"/>
              <w:gridCol w:w="716"/>
              <w:gridCol w:w="990"/>
              <w:gridCol w:w="903"/>
            </w:tblGrid>
            <w:tr w14:paraId="28B3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pct"/>
                  <w:tcBorders>
                    <w:tl2br w:val="nil"/>
                    <w:tr2bl w:val="nil"/>
                  </w:tcBorders>
                  <w:vAlign w:val="center"/>
                </w:tcPr>
                <w:p w14:paraId="418F382E">
                  <w:pPr>
                    <w:pStyle w:val="50"/>
                    <w:jc w:val="center"/>
                    <w:rPr>
                      <w:b/>
                      <w:bCs/>
                      <w:color w:val="auto"/>
                    </w:rPr>
                  </w:pPr>
                  <w:r>
                    <w:rPr>
                      <w:b/>
                      <w:bCs/>
                      <w:color w:val="auto"/>
                    </w:rPr>
                    <w:t>物料</w:t>
                  </w:r>
                </w:p>
              </w:tc>
              <w:tc>
                <w:tcPr>
                  <w:tcW w:w="736" w:type="pct"/>
                  <w:tcBorders>
                    <w:tl2br w:val="nil"/>
                    <w:tr2bl w:val="nil"/>
                  </w:tcBorders>
                  <w:vAlign w:val="center"/>
                </w:tcPr>
                <w:p w14:paraId="35978756">
                  <w:pPr>
                    <w:pStyle w:val="50"/>
                    <w:jc w:val="center"/>
                    <w:rPr>
                      <w:b/>
                      <w:bCs/>
                      <w:color w:val="auto"/>
                    </w:rPr>
                  </w:pPr>
                  <w:r>
                    <w:rPr>
                      <w:b/>
                      <w:bCs/>
                      <w:color w:val="auto"/>
                    </w:rPr>
                    <w:t>产尘系数</w:t>
                  </w:r>
                </w:p>
              </w:tc>
              <w:tc>
                <w:tcPr>
                  <w:tcW w:w="617" w:type="pct"/>
                  <w:tcBorders>
                    <w:tl2br w:val="nil"/>
                    <w:tr2bl w:val="nil"/>
                  </w:tcBorders>
                  <w:vAlign w:val="center"/>
                </w:tcPr>
                <w:p w14:paraId="1B7C09E9">
                  <w:pPr>
                    <w:pStyle w:val="50"/>
                    <w:jc w:val="center"/>
                    <w:rPr>
                      <w:b/>
                      <w:bCs/>
                      <w:color w:val="auto"/>
                    </w:rPr>
                  </w:pPr>
                  <w:r>
                    <w:rPr>
                      <w:b/>
                      <w:bCs/>
                      <w:color w:val="auto"/>
                    </w:rPr>
                    <w:t>时间</w:t>
                  </w:r>
                </w:p>
              </w:tc>
              <w:tc>
                <w:tcPr>
                  <w:tcW w:w="1045" w:type="pct"/>
                  <w:gridSpan w:val="2"/>
                  <w:tcBorders>
                    <w:tl2br w:val="nil"/>
                    <w:tr2bl w:val="nil"/>
                  </w:tcBorders>
                  <w:vAlign w:val="center"/>
                </w:tcPr>
                <w:p w14:paraId="27CC7F9F">
                  <w:pPr>
                    <w:pStyle w:val="50"/>
                    <w:jc w:val="center"/>
                    <w:rPr>
                      <w:b/>
                      <w:bCs/>
                      <w:color w:val="auto"/>
                    </w:rPr>
                  </w:pPr>
                  <w:r>
                    <w:rPr>
                      <w:b/>
                      <w:bCs/>
                      <w:color w:val="auto"/>
                    </w:rPr>
                    <w:t>产生量</w:t>
                  </w:r>
                </w:p>
              </w:tc>
              <w:tc>
                <w:tcPr>
                  <w:tcW w:w="500" w:type="pct"/>
                  <w:tcBorders>
                    <w:tl2br w:val="nil"/>
                    <w:tr2bl w:val="nil"/>
                  </w:tcBorders>
                  <w:vAlign w:val="center"/>
                </w:tcPr>
                <w:p w14:paraId="1A6C01EA">
                  <w:pPr>
                    <w:pStyle w:val="50"/>
                    <w:jc w:val="center"/>
                    <w:rPr>
                      <w:b/>
                      <w:bCs/>
                      <w:color w:val="auto"/>
                    </w:rPr>
                  </w:pPr>
                  <w:r>
                    <w:rPr>
                      <w:b/>
                      <w:bCs/>
                      <w:color w:val="auto"/>
                    </w:rPr>
                    <w:t>抑尘效率</w:t>
                  </w:r>
                </w:p>
              </w:tc>
              <w:tc>
                <w:tcPr>
                  <w:tcW w:w="1323" w:type="pct"/>
                  <w:gridSpan w:val="2"/>
                  <w:tcBorders>
                    <w:tl2br w:val="nil"/>
                    <w:tr2bl w:val="nil"/>
                  </w:tcBorders>
                  <w:vAlign w:val="center"/>
                </w:tcPr>
                <w:p w14:paraId="401B0B83">
                  <w:pPr>
                    <w:pStyle w:val="50"/>
                    <w:jc w:val="center"/>
                    <w:rPr>
                      <w:b/>
                      <w:bCs/>
                      <w:color w:val="auto"/>
                    </w:rPr>
                  </w:pPr>
                  <w:r>
                    <w:rPr>
                      <w:b/>
                      <w:bCs/>
                      <w:color w:val="auto"/>
                    </w:rPr>
                    <w:t>排放量</w:t>
                  </w:r>
                </w:p>
              </w:tc>
            </w:tr>
            <w:tr w14:paraId="2B29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pct"/>
                  <w:tcBorders>
                    <w:tl2br w:val="nil"/>
                    <w:tr2bl w:val="nil"/>
                  </w:tcBorders>
                  <w:vAlign w:val="center"/>
                </w:tcPr>
                <w:p w14:paraId="6C34B446">
                  <w:pPr>
                    <w:pStyle w:val="50"/>
                    <w:jc w:val="center"/>
                    <w:rPr>
                      <w:color w:val="auto"/>
                    </w:rPr>
                  </w:pPr>
                  <w:r>
                    <w:rPr>
                      <w:color w:val="auto"/>
                    </w:rPr>
                    <w:t>t/a</w:t>
                  </w:r>
                </w:p>
              </w:tc>
              <w:tc>
                <w:tcPr>
                  <w:tcW w:w="736" w:type="pct"/>
                  <w:tcBorders>
                    <w:tl2br w:val="nil"/>
                    <w:tr2bl w:val="nil"/>
                  </w:tcBorders>
                  <w:vAlign w:val="center"/>
                </w:tcPr>
                <w:p w14:paraId="47E080A5">
                  <w:pPr>
                    <w:pStyle w:val="50"/>
                    <w:jc w:val="center"/>
                    <w:rPr>
                      <w:color w:val="auto"/>
                    </w:rPr>
                  </w:pPr>
                  <w:r>
                    <w:rPr>
                      <w:color w:val="auto"/>
                    </w:rPr>
                    <w:t>kg/t</w:t>
                  </w:r>
                </w:p>
              </w:tc>
              <w:tc>
                <w:tcPr>
                  <w:tcW w:w="617" w:type="pct"/>
                  <w:tcBorders>
                    <w:tl2br w:val="nil"/>
                    <w:tr2bl w:val="nil"/>
                  </w:tcBorders>
                  <w:vAlign w:val="center"/>
                </w:tcPr>
                <w:p w14:paraId="3A366F4F">
                  <w:pPr>
                    <w:pStyle w:val="50"/>
                    <w:jc w:val="center"/>
                    <w:rPr>
                      <w:color w:val="auto"/>
                    </w:rPr>
                  </w:pPr>
                  <w:r>
                    <w:rPr>
                      <w:color w:val="auto"/>
                    </w:rPr>
                    <w:t>h</w:t>
                  </w:r>
                </w:p>
              </w:tc>
              <w:tc>
                <w:tcPr>
                  <w:tcW w:w="497" w:type="pct"/>
                  <w:tcBorders>
                    <w:tl2br w:val="nil"/>
                    <w:tr2bl w:val="nil"/>
                  </w:tcBorders>
                  <w:vAlign w:val="center"/>
                </w:tcPr>
                <w:p w14:paraId="615E4874">
                  <w:pPr>
                    <w:pStyle w:val="50"/>
                    <w:jc w:val="center"/>
                    <w:rPr>
                      <w:color w:val="auto"/>
                    </w:rPr>
                  </w:pPr>
                  <w:r>
                    <w:rPr>
                      <w:color w:val="auto"/>
                    </w:rPr>
                    <w:t>t/a</w:t>
                  </w:r>
                </w:p>
              </w:tc>
              <w:tc>
                <w:tcPr>
                  <w:tcW w:w="548" w:type="pct"/>
                  <w:tcBorders>
                    <w:tl2br w:val="nil"/>
                    <w:tr2bl w:val="nil"/>
                  </w:tcBorders>
                  <w:vAlign w:val="center"/>
                </w:tcPr>
                <w:p w14:paraId="4CC58C1D">
                  <w:pPr>
                    <w:pStyle w:val="50"/>
                    <w:jc w:val="center"/>
                    <w:rPr>
                      <w:color w:val="auto"/>
                    </w:rPr>
                  </w:pPr>
                  <w:r>
                    <w:rPr>
                      <w:color w:val="auto"/>
                    </w:rPr>
                    <w:t>kg/h</w:t>
                  </w:r>
                </w:p>
              </w:tc>
              <w:tc>
                <w:tcPr>
                  <w:tcW w:w="500" w:type="pct"/>
                  <w:tcBorders>
                    <w:tl2br w:val="nil"/>
                    <w:tr2bl w:val="nil"/>
                  </w:tcBorders>
                  <w:vAlign w:val="center"/>
                </w:tcPr>
                <w:p w14:paraId="7B1CCD42">
                  <w:pPr>
                    <w:pStyle w:val="50"/>
                    <w:jc w:val="center"/>
                    <w:rPr>
                      <w:color w:val="auto"/>
                    </w:rPr>
                  </w:pPr>
                  <w:r>
                    <w:rPr>
                      <w:color w:val="auto"/>
                    </w:rPr>
                    <w:t>%</w:t>
                  </w:r>
                </w:p>
              </w:tc>
              <w:tc>
                <w:tcPr>
                  <w:tcW w:w="692" w:type="pct"/>
                  <w:tcBorders>
                    <w:tl2br w:val="nil"/>
                    <w:tr2bl w:val="nil"/>
                  </w:tcBorders>
                  <w:vAlign w:val="center"/>
                </w:tcPr>
                <w:p w14:paraId="58370CDE">
                  <w:pPr>
                    <w:pStyle w:val="50"/>
                    <w:jc w:val="center"/>
                    <w:rPr>
                      <w:color w:val="auto"/>
                    </w:rPr>
                  </w:pPr>
                  <w:r>
                    <w:rPr>
                      <w:color w:val="auto"/>
                    </w:rPr>
                    <w:t>t/a</w:t>
                  </w:r>
                </w:p>
              </w:tc>
              <w:tc>
                <w:tcPr>
                  <w:tcW w:w="631" w:type="pct"/>
                  <w:tcBorders>
                    <w:tl2br w:val="nil"/>
                    <w:tr2bl w:val="nil"/>
                  </w:tcBorders>
                  <w:vAlign w:val="center"/>
                </w:tcPr>
                <w:p w14:paraId="10BE60E8">
                  <w:pPr>
                    <w:pStyle w:val="50"/>
                    <w:jc w:val="center"/>
                    <w:rPr>
                      <w:color w:val="auto"/>
                    </w:rPr>
                  </w:pPr>
                  <w:r>
                    <w:rPr>
                      <w:color w:val="auto"/>
                    </w:rPr>
                    <w:t>kg/h</w:t>
                  </w:r>
                </w:p>
              </w:tc>
            </w:tr>
            <w:tr w14:paraId="75F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pct"/>
                  <w:tcBorders>
                    <w:tl2br w:val="nil"/>
                    <w:tr2bl w:val="nil"/>
                  </w:tcBorders>
                  <w:vAlign w:val="center"/>
                </w:tcPr>
                <w:p w14:paraId="4A75486A">
                  <w:pPr>
                    <w:pStyle w:val="50"/>
                    <w:jc w:val="center"/>
                    <w:rPr>
                      <w:rFonts w:hint="default" w:eastAsia="宋体"/>
                      <w:color w:val="auto"/>
                      <w:lang w:val="en-US" w:eastAsia="zh-CN"/>
                    </w:rPr>
                  </w:pPr>
                  <w:r>
                    <w:rPr>
                      <w:rFonts w:hint="eastAsia"/>
                      <w:color w:val="auto"/>
                      <w:lang w:val="en-US" w:eastAsia="zh-CN"/>
                    </w:rPr>
                    <w:t>16000</w:t>
                  </w:r>
                </w:p>
              </w:tc>
              <w:tc>
                <w:tcPr>
                  <w:tcW w:w="736" w:type="pct"/>
                  <w:tcBorders>
                    <w:tl2br w:val="nil"/>
                    <w:tr2bl w:val="nil"/>
                  </w:tcBorders>
                  <w:vAlign w:val="center"/>
                </w:tcPr>
                <w:p w14:paraId="65FFA9F1">
                  <w:pPr>
                    <w:pStyle w:val="50"/>
                    <w:jc w:val="center"/>
                    <w:rPr>
                      <w:color w:val="auto"/>
                    </w:rPr>
                  </w:pPr>
                  <w:r>
                    <w:rPr>
                      <w:color w:val="auto"/>
                    </w:rPr>
                    <w:t>0.01</w:t>
                  </w:r>
                </w:p>
              </w:tc>
              <w:tc>
                <w:tcPr>
                  <w:tcW w:w="617" w:type="pct"/>
                  <w:tcBorders>
                    <w:tl2br w:val="nil"/>
                    <w:tr2bl w:val="nil"/>
                  </w:tcBorders>
                  <w:vAlign w:val="center"/>
                </w:tcPr>
                <w:p w14:paraId="15A1236B">
                  <w:pPr>
                    <w:pStyle w:val="50"/>
                    <w:jc w:val="center"/>
                    <w:rPr>
                      <w:rFonts w:hint="default" w:eastAsia="宋体"/>
                      <w:color w:val="auto"/>
                      <w:lang w:val="en-US" w:eastAsia="zh-CN"/>
                    </w:rPr>
                  </w:pPr>
                  <w:r>
                    <w:rPr>
                      <w:rFonts w:hint="eastAsia"/>
                      <w:color w:val="auto"/>
                      <w:lang w:val="en-US" w:eastAsia="zh-CN"/>
                    </w:rPr>
                    <w:t>1500</w:t>
                  </w:r>
                </w:p>
              </w:tc>
              <w:tc>
                <w:tcPr>
                  <w:tcW w:w="497" w:type="pct"/>
                  <w:tcBorders>
                    <w:tl2br w:val="nil"/>
                    <w:tr2bl w:val="nil"/>
                  </w:tcBorders>
                  <w:vAlign w:val="center"/>
                </w:tcPr>
                <w:p w14:paraId="699E83B1">
                  <w:pPr>
                    <w:pStyle w:val="50"/>
                    <w:jc w:val="center"/>
                    <w:rPr>
                      <w:rFonts w:hint="default" w:eastAsia="宋体"/>
                      <w:color w:val="auto"/>
                      <w:lang w:val="en-US" w:eastAsia="zh-CN"/>
                    </w:rPr>
                  </w:pPr>
                  <w:r>
                    <w:rPr>
                      <w:rFonts w:hint="eastAsia"/>
                      <w:color w:val="auto"/>
                      <w:lang w:val="en-US" w:eastAsia="zh-CN"/>
                    </w:rPr>
                    <w:t>0.16</w:t>
                  </w:r>
                </w:p>
              </w:tc>
              <w:tc>
                <w:tcPr>
                  <w:tcW w:w="548" w:type="pct"/>
                  <w:tcBorders>
                    <w:tl2br w:val="nil"/>
                    <w:tr2bl w:val="nil"/>
                  </w:tcBorders>
                  <w:vAlign w:val="center"/>
                </w:tcPr>
                <w:p w14:paraId="6FC34E94">
                  <w:pPr>
                    <w:pStyle w:val="50"/>
                    <w:jc w:val="center"/>
                    <w:rPr>
                      <w:rFonts w:hint="default" w:eastAsia="宋体"/>
                      <w:color w:val="auto"/>
                      <w:lang w:val="en-US" w:eastAsia="zh-CN"/>
                    </w:rPr>
                  </w:pPr>
                  <w:r>
                    <w:rPr>
                      <w:rFonts w:hint="eastAsia"/>
                      <w:color w:val="auto"/>
                    </w:rPr>
                    <w:t>0.</w:t>
                  </w:r>
                  <w:r>
                    <w:rPr>
                      <w:rFonts w:hint="eastAsia"/>
                      <w:color w:val="auto"/>
                      <w:lang w:val="en-US" w:eastAsia="zh-CN"/>
                    </w:rPr>
                    <w:t>107</w:t>
                  </w:r>
                </w:p>
              </w:tc>
              <w:tc>
                <w:tcPr>
                  <w:tcW w:w="500" w:type="pct"/>
                  <w:tcBorders>
                    <w:tl2br w:val="nil"/>
                    <w:tr2bl w:val="nil"/>
                  </w:tcBorders>
                  <w:vAlign w:val="center"/>
                </w:tcPr>
                <w:p w14:paraId="4350337C">
                  <w:pPr>
                    <w:pStyle w:val="50"/>
                    <w:jc w:val="center"/>
                    <w:rPr>
                      <w:color w:val="auto"/>
                    </w:rPr>
                  </w:pPr>
                  <w:r>
                    <w:rPr>
                      <w:color w:val="auto"/>
                    </w:rPr>
                    <w:t>85</w:t>
                  </w:r>
                </w:p>
              </w:tc>
              <w:tc>
                <w:tcPr>
                  <w:tcW w:w="692" w:type="pct"/>
                  <w:tcBorders>
                    <w:tl2br w:val="nil"/>
                    <w:tr2bl w:val="nil"/>
                  </w:tcBorders>
                  <w:vAlign w:val="center"/>
                </w:tcPr>
                <w:p w14:paraId="0833BD73">
                  <w:pPr>
                    <w:pStyle w:val="50"/>
                    <w:jc w:val="center"/>
                    <w:rPr>
                      <w:rFonts w:hint="default" w:eastAsia="宋体"/>
                      <w:color w:val="auto"/>
                      <w:lang w:val="en-US" w:eastAsia="zh-CN"/>
                    </w:rPr>
                  </w:pPr>
                  <w:r>
                    <w:rPr>
                      <w:rFonts w:hint="eastAsia"/>
                      <w:color w:val="auto"/>
                    </w:rPr>
                    <w:t>0.</w:t>
                  </w:r>
                  <w:r>
                    <w:rPr>
                      <w:rFonts w:hint="eastAsia"/>
                      <w:color w:val="auto"/>
                      <w:lang w:val="en-US" w:eastAsia="zh-CN"/>
                    </w:rPr>
                    <w:t>024</w:t>
                  </w:r>
                </w:p>
              </w:tc>
              <w:tc>
                <w:tcPr>
                  <w:tcW w:w="631" w:type="pct"/>
                  <w:tcBorders>
                    <w:tl2br w:val="nil"/>
                    <w:tr2bl w:val="nil"/>
                  </w:tcBorders>
                  <w:vAlign w:val="center"/>
                </w:tcPr>
                <w:p w14:paraId="1D263CE3">
                  <w:pPr>
                    <w:pStyle w:val="50"/>
                    <w:jc w:val="center"/>
                    <w:rPr>
                      <w:rFonts w:hint="default" w:eastAsia="宋体"/>
                      <w:color w:val="auto"/>
                      <w:lang w:val="en-US" w:eastAsia="zh-CN"/>
                    </w:rPr>
                  </w:pPr>
                  <w:r>
                    <w:rPr>
                      <w:rFonts w:hint="eastAsia"/>
                      <w:color w:val="auto"/>
                    </w:rPr>
                    <w:t>0.0</w:t>
                  </w:r>
                  <w:r>
                    <w:rPr>
                      <w:rFonts w:hint="eastAsia"/>
                      <w:color w:val="auto"/>
                      <w:lang w:val="en-US" w:eastAsia="zh-CN"/>
                    </w:rPr>
                    <w:t>16</w:t>
                  </w:r>
                </w:p>
              </w:tc>
            </w:tr>
          </w:tbl>
          <w:p w14:paraId="236AA2C4">
            <w:pPr>
              <w:ind w:firstLine="482"/>
              <w:rPr>
                <w:rFonts w:cs="Times New Roman"/>
                <w:b/>
                <w:bCs/>
                <w:color w:val="auto"/>
              </w:rPr>
            </w:pPr>
            <w:r>
              <w:rPr>
                <w:rFonts w:cs="Times New Roman"/>
                <w:b/>
                <w:bCs/>
                <w:color w:val="auto"/>
              </w:rPr>
              <w:t>（2）混凝土生产线</w:t>
            </w:r>
          </w:p>
          <w:p w14:paraId="2B26A1AD">
            <w:pPr>
              <w:ind w:firstLine="480"/>
              <w:rPr>
                <w:rFonts w:cs="Times New Roman"/>
                <w:color w:val="auto"/>
              </w:rPr>
            </w:pPr>
            <w:r>
              <w:rPr>
                <w:rFonts w:cs="Times New Roman"/>
                <w:color w:val="auto"/>
              </w:rPr>
              <w:t>根据《排放源统计调查产排污核算方法和系数手册》中3021、3022、3029水泥制品制造行业系数手册，参考砼结构构件废气产排系数，项目物料输送储存及水泥制品制造行业系数手册，参考砼结构构件废气产排系数，物料混合搅拌工序废气产生系数详见表4-3。</w:t>
            </w:r>
          </w:p>
          <w:p w14:paraId="5D55F682">
            <w:pPr>
              <w:pStyle w:val="36"/>
              <w:rPr>
                <w:rFonts w:cs="Times New Roman"/>
                <w:color w:val="auto"/>
              </w:rPr>
            </w:pPr>
            <w:r>
              <w:rPr>
                <w:rFonts w:cs="Times New Roman"/>
                <w:color w:val="auto"/>
              </w:rPr>
              <w:t>表4-3  项目废气产生系数一览表</w:t>
            </w:r>
          </w:p>
          <w:tbl>
            <w:tblPr>
              <w:tblStyle w:val="27"/>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739"/>
              <w:gridCol w:w="710"/>
              <w:gridCol w:w="798"/>
              <w:gridCol w:w="1502"/>
              <w:gridCol w:w="819"/>
              <w:gridCol w:w="987"/>
              <w:gridCol w:w="977"/>
            </w:tblGrid>
            <w:tr w14:paraId="1A69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33" w:type="pct"/>
                  <w:tcBorders>
                    <w:tl2br w:val="nil"/>
                    <w:tr2bl w:val="nil"/>
                  </w:tcBorders>
                  <w:vAlign w:val="center"/>
                </w:tcPr>
                <w:p w14:paraId="0231743D">
                  <w:pPr>
                    <w:pStyle w:val="50"/>
                    <w:jc w:val="center"/>
                    <w:rPr>
                      <w:b/>
                      <w:bCs/>
                      <w:color w:val="auto"/>
                    </w:rPr>
                  </w:pPr>
                  <w:r>
                    <w:rPr>
                      <w:b/>
                      <w:bCs/>
                      <w:color w:val="auto"/>
                    </w:rPr>
                    <w:t>产品名称</w:t>
                  </w:r>
                </w:p>
              </w:tc>
              <w:tc>
                <w:tcPr>
                  <w:tcW w:w="516" w:type="pct"/>
                  <w:tcBorders>
                    <w:tl2br w:val="nil"/>
                    <w:tr2bl w:val="nil"/>
                  </w:tcBorders>
                  <w:vAlign w:val="center"/>
                </w:tcPr>
                <w:p w14:paraId="587D85CC">
                  <w:pPr>
                    <w:pStyle w:val="50"/>
                    <w:jc w:val="center"/>
                    <w:rPr>
                      <w:b/>
                      <w:bCs/>
                      <w:color w:val="auto"/>
                    </w:rPr>
                  </w:pPr>
                  <w:r>
                    <w:rPr>
                      <w:b/>
                      <w:bCs/>
                      <w:color w:val="auto"/>
                    </w:rPr>
                    <w:t>原料名称</w:t>
                  </w:r>
                </w:p>
              </w:tc>
              <w:tc>
                <w:tcPr>
                  <w:tcW w:w="496" w:type="pct"/>
                  <w:tcBorders>
                    <w:tl2br w:val="nil"/>
                    <w:tr2bl w:val="nil"/>
                  </w:tcBorders>
                  <w:vAlign w:val="center"/>
                </w:tcPr>
                <w:p w14:paraId="4A4141C0">
                  <w:pPr>
                    <w:pStyle w:val="50"/>
                    <w:jc w:val="center"/>
                    <w:rPr>
                      <w:b/>
                      <w:bCs/>
                      <w:color w:val="auto"/>
                    </w:rPr>
                  </w:pPr>
                  <w:r>
                    <w:rPr>
                      <w:b/>
                      <w:bCs/>
                      <w:color w:val="auto"/>
                    </w:rPr>
                    <w:t>工艺名称</w:t>
                  </w:r>
                </w:p>
              </w:tc>
              <w:tc>
                <w:tcPr>
                  <w:tcW w:w="557" w:type="pct"/>
                  <w:tcBorders>
                    <w:tl2br w:val="nil"/>
                    <w:tr2bl w:val="nil"/>
                  </w:tcBorders>
                  <w:vAlign w:val="center"/>
                </w:tcPr>
                <w:p w14:paraId="2828BB8E">
                  <w:pPr>
                    <w:pStyle w:val="50"/>
                    <w:jc w:val="center"/>
                    <w:rPr>
                      <w:b/>
                      <w:bCs/>
                      <w:color w:val="auto"/>
                    </w:rPr>
                  </w:pPr>
                  <w:r>
                    <w:rPr>
                      <w:b/>
                      <w:bCs/>
                      <w:color w:val="auto"/>
                    </w:rPr>
                    <w:t>污染物指标</w:t>
                  </w:r>
                </w:p>
              </w:tc>
              <w:tc>
                <w:tcPr>
                  <w:tcW w:w="1050" w:type="pct"/>
                  <w:tcBorders>
                    <w:tl2br w:val="nil"/>
                    <w:tr2bl w:val="nil"/>
                  </w:tcBorders>
                  <w:vAlign w:val="center"/>
                </w:tcPr>
                <w:p w14:paraId="1A93B1BF">
                  <w:pPr>
                    <w:pStyle w:val="50"/>
                    <w:jc w:val="center"/>
                    <w:rPr>
                      <w:b/>
                      <w:bCs/>
                      <w:color w:val="auto"/>
                    </w:rPr>
                  </w:pPr>
                  <w:r>
                    <w:rPr>
                      <w:b/>
                      <w:bCs/>
                      <w:color w:val="auto"/>
                    </w:rPr>
                    <w:t>系数单位</w:t>
                  </w:r>
                </w:p>
              </w:tc>
              <w:tc>
                <w:tcPr>
                  <w:tcW w:w="572" w:type="pct"/>
                  <w:tcBorders>
                    <w:tl2br w:val="nil"/>
                    <w:tr2bl w:val="nil"/>
                  </w:tcBorders>
                  <w:vAlign w:val="center"/>
                </w:tcPr>
                <w:p w14:paraId="6E6CD879">
                  <w:pPr>
                    <w:pStyle w:val="50"/>
                    <w:jc w:val="center"/>
                    <w:rPr>
                      <w:b/>
                      <w:bCs/>
                      <w:color w:val="auto"/>
                    </w:rPr>
                  </w:pPr>
                  <w:r>
                    <w:rPr>
                      <w:b/>
                      <w:bCs/>
                      <w:color w:val="auto"/>
                    </w:rPr>
                    <w:t>产污系数</w:t>
                  </w:r>
                </w:p>
              </w:tc>
              <w:tc>
                <w:tcPr>
                  <w:tcW w:w="690" w:type="pct"/>
                  <w:tcBorders>
                    <w:tl2br w:val="nil"/>
                    <w:tr2bl w:val="nil"/>
                  </w:tcBorders>
                  <w:vAlign w:val="center"/>
                </w:tcPr>
                <w:p w14:paraId="33501675">
                  <w:pPr>
                    <w:pStyle w:val="50"/>
                    <w:jc w:val="center"/>
                    <w:rPr>
                      <w:b/>
                      <w:bCs/>
                      <w:color w:val="auto"/>
                    </w:rPr>
                  </w:pPr>
                  <w:r>
                    <w:rPr>
                      <w:b/>
                      <w:bCs/>
                      <w:color w:val="auto"/>
                    </w:rPr>
                    <w:t>末端治理技术名称</w:t>
                  </w:r>
                </w:p>
              </w:tc>
              <w:tc>
                <w:tcPr>
                  <w:tcW w:w="683" w:type="pct"/>
                  <w:tcBorders>
                    <w:tl2br w:val="nil"/>
                    <w:tr2bl w:val="nil"/>
                  </w:tcBorders>
                  <w:vAlign w:val="center"/>
                </w:tcPr>
                <w:p w14:paraId="011C2736">
                  <w:pPr>
                    <w:pStyle w:val="50"/>
                    <w:jc w:val="center"/>
                    <w:rPr>
                      <w:b/>
                      <w:bCs/>
                      <w:color w:val="auto"/>
                    </w:rPr>
                  </w:pPr>
                  <w:r>
                    <w:rPr>
                      <w:b/>
                      <w:bCs/>
                      <w:color w:val="auto"/>
                    </w:rPr>
                    <w:t>治理效率</w:t>
                  </w:r>
                </w:p>
              </w:tc>
            </w:tr>
            <w:tr w14:paraId="1F01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33" w:type="pct"/>
                  <w:vMerge w:val="restart"/>
                  <w:tcBorders>
                    <w:tl2br w:val="nil"/>
                    <w:tr2bl w:val="nil"/>
                  </w:tcBorders>
                  <w:vAlign w:val="center"/>
                </w:tcPr>
                <w:p w14:paraId="4F83AA10">
                  <w:pPr>
                    <w:pStyle w:val="50"/>
                    <w:jc w:val="center"/>
                    <w:rPr>
                      <w:color w:val="auto"/>
                    </w:rPr>
                  </w:pPr>
                  <w:r>
                    <w:rPr>
                      <w:color w:val="auto"/>
                    </w:rPr>
                    <w:t>各种水泥制品</w:t>
                  </w:r>
                </w:p>
              </w:tc>
              <w:tc>
                <w:tcPr>
                  <w:tcW w:w="516" w:type="pct"/>
                  <w:vMerge w:val="restart"/>
                  <w:tcBorders>
                    <w:tl2br w:val="nil"/>
                    <w:tr2bl w:val="nil"/>
                  </w:tcBorders>
                  <w:vAlign w:val="center"/>
                </w:tcPr>
                <w:p w14:paraId="0B210545">
                  <w:pPr>
                    <w:pStyle w:val="50"/>
                    <w:jc w:val="center"/>
                    <w:rPr>
                      <w:color w:val="auto"/>
                    </w:rPr>
                  </w:pPr>
                  <w:r>
                    <w:rPr>
                      <w:color w:val="auto"/>
                    </w:rPr>
                    <w:t>水泥、砂子、石子等</w:t>
                  </w:r>
                </w:p>
              </w:tc>
              <w:tc>
                <w:tcPr>
                  <w:tcW w:w="496" w:type="pct"/>
                  <w:vMerge w:val="restart"/>
                  <w:tcBorders>
                    <w:tl2br w:val="nil"/>
                    <w:tr2bl w:val="nil"/>
                  </w:tcBorders>
                  <w:vAlign w:val="center"/>
                </w:tcPr>
                <w:p w14:paraId="08CDD24D">
                  <w:pPr>
                    <w:pStyle w:val="50"/>
                    <w:jc w:val="center"/>
                    <w:rPr>
                      <w:color w:val="auto"/>
                    </w:rPr>
                  </w:pPr>
                  <w:r>
                    <w:rPr>
                      <w:color w:val="auto"/>
                    </w:rPr>
                    <w:t>物料输送储存</w:t>
                  </w:r>
                </w:p>
              </w:tc>
              <w:tc>
                <w:tcPr>
                  <w:tcW w:w="557" w:type="pct"/>
                  <w:tcBorders>
                    <w:tl2br w:val="nil"/>
                    <w:tr2bl w:val="nil"/>
                  </w:tcBorders>
                  <w:vAlign w:val="center"/>
                </w:tcPr>
                <w:p w14:paraId="6DC76CE9">
                  <w:pPr>
                    <w:pStyle w:val="50"/>
                    <w:jc w:val="center"/>
                    <w:rPr>
                      <w:color w:val="auto"/>
                    </w:rPr>
                  </w:pPr>
                  <w:r>
                    <w:rPr>
                      <w:color w:val="auto"/>
                    </w:rPr>
                    <w:t>废气量</w:t>
                  </w:r>
                </w:p>
              </w:tc>
              <w:tc>
                <w:tcPr>
                  <w:tcW w:w="1050" w:type="pct"/>
                  <w:tcBorders>
                    <w:tl2br w:val="nil"/>
                    <w:tr2bl w:val="nil"/>
                  </w:tcBorders>
                  <w:vAlign w:val="center"/>
                </w:tcPr>
                <w:p w14:paraId="1865D9D6">
                  <w:pPr>
                    <w:pStyle w:val="50"/>
                    <w:jc w:val="center"/>
                    <w:rPr>
                      <w:color w:val="auto"/>
                    </w:rPr>
                  </w:pPr>
                  <w:r>
                    <w:rPr>
                      <w:color w:val="auto"/>
                    </w:rPr>
                    <w:t>标立方米/吨-产品</w:t>
                  </w:r>
                </w:p>
              </w:tc>
              <w:tc>
                <w:tcPr>
                  <w:tcW w:w="572" w:type="pct"/>
                  <w:tcBorders>
                    <w:tl2br w:val="nil"/>
                    <w:tr2bl w:val="nil"/>
                  </w:tcBorders>
                  <w:vAlign w:val="center"/>
                </w:tcPr>
                <w:p w14:paraId="5E8607DD">
                  <w:pPr>
                    <w:pStyle w:val="50"/>
                    <w:jc w:val="center"/>
                    <w:rPr>
                      <w:color w:val="auto"/>
                    </w:rPr>
                  </w:pPr>
                  <w:r>
                    <w:rPr>
                      <w:rFonts w:hint="eastAsia"/>
                      <w:color w:val="auto"/>
                    </w:rPr>
                    <w:t>22</w:t>
                  </w:r>
                </w:p>
              </w:tc>
              <w:tc>
                <w:tcPr>
                  <w:tcW w:w="690" w:type="pct"/>
                  <w:tcBorders>
                    <w:tl2br w:val="nil"/>
                    <w:tr2bl w:val="nil"/>
                  </w:tcBorders>
                  <w:vAlign w:val="center"/>
                </w:tcPr>
                <w:p w14:paraId="64EE5E0F">
                  <w:pPr>
                    <w:pStyle w:val="50"/>
                    <w:jc w:val="center"/>
                    <w:rPr>
                      <w:color w:val="auto"/>
                    </w:rPr>
                  </w:pPr>
                  <w:r>
                    <w:rPr>
                      <w:color w:val="auto"/>
                    </w:rPr>
                    <w:t>/</w:t>
                  </w:r>
                </w:p>
              </w:tc>
              <w:tc>
                <w:tcPr>
                  <w:tcW w:w="683" w:type="pct"/>
                  <w:tcBorders>
                    <w:tl2br w:val="nil"/>
                    <w:tr2bl w:val="nil"/>
                  </w:tcBorders>
                  <w:vAlign w:val="center"/>
                </w:tcPr>
                <w:p w14:paraId="12D3F9B5">
                  <w:pPr>
                    <w:pStyle w:val="50"/>
                    <w:jc w:val="center"/>
                    <w:rPr>
                      <w:color w:val="auto"/>
                    </w:rPr>
                  </w:pPr>
                  <w:r>
                    <w:rPr>
                      <w:color w:val="auto"/>
                    </w:rPr>
                    <w:t>/</w:t>
                  </w:r>
                </w:p>
              </w:tc>
            </w:tr>
            <w:tr w14:paraId="538B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33" w:type="pct"/>
                  <w:vMerge w:val="continue"/>
                  <w:tcBorders>
                    <w:tl2br w:val="nil"/>
                    <w:tr2bl w:val="nil"/>
                  </w:tcBorders>
                  <w:vAlign w:val="center"/>
                </w:tcPr>
                <w:p w14:paraId="773432F8">
                  <w:pPr>
                    <w:pStyle w:val="50"/>
                    <w:jc w:val="center"/>
                    <w:rPr>
                      <w:color w:val="auto"/>
                    </w:rPr>
                  </w:pPr>
                </w:p>
              </w:tc>
              <w:tc>
                <w:tcPr>
                  <w:tcW w:w="516" w:type="pct"/>
                  <w:vMerge w:val="continue"/>
                  <w:tcBorders>
                    <w:tl2br w:val="nil"/>
                    <w:tr2bl w:val="nil"/>
                  </w:tcBorders>
                  <w:vAlign w:val="center"/>
                </w:tcPr>
                <w:p w14:paraId="02E59A41">
                  <w:pPr>
                    <w:pStyle w:val="50"/>
                    <w:jc w:val="center"/>
                    <w:rPr>
                      <w:color w:val="auto"/>
                    </w:rPr>
                  </w:pPr>
                </w:p>
              </w:tc>
              <w:tc>
                <w:tcPr>
                  <w:tcW w:w="496" w:type="pct"/>
                  <w:vMerge w:val="continue"/>
                  <w:tcBorders>
                    <w:tl2br w:val="nil"/>
                    <w:tr2bl w:val="nil"/>
                  </w:tcBorders>
                  <w:vAlign w:val="center"/>
                </w:tcPr>
                <w:p w14:paraId="30986051">
                  <w:pPr>
                    <w:pStyle w:val="50"/>
                    <w:jc w:val="center"/>
                    <w:rPr>
                      <w:color w:val="auto"/>
                    </w:rPr>
                  </w:pPr>
                </w:p>
              </w:tc>
              <w:tc>
                <w:tcPr>
                  <w:tcW w:w="557" w:type="pct"/>
                  <w:tcBorders>
                    <w:tl2br w:val="nil"/>
                    <w:tr2bl w:val="nil"/>
                  </w:tcBorders>
                  <w:vAlign w:val="center"/>
                </w:tcPr>
                <w:p w14:paraId="1DEBDB94">
                  <w:pPr>
                    <w:pStyle w:val="50"/>
                    <w:jc w:val="center"/>
                    <w:rPr>
                      <w:color w:val="auto"/>
                    </w:rPr>
                  </w:pPr>
                  <w:r>
                    <w:rPr>
                      <w:color w:val="auto"/>
                    </w:rPr>
                    <w:t>颗粒物</w:t>
                  </w:r>
                </w:p>
              </w:tc>
              <w:tc>
                <w:tcPr>
                  <w:tcW w:w="1050" w:type="pct"/>
                  <w:tcBorders>
                    <w:tl2br w:val="nil"/>
                    <w:tr2bl w:val="nil"/>
                  </w:tcBorders>
                  <w:vAlign w:val="center"/>
                </w:tcPr>
                <w:p w14:paraId="2DDAA610">
                  <w:pPr>
                    <w:pStyle w:val="50"/>
                    <w:jc w:val="center"/>
                    <w:rPr>
                      <w:color w:val="auto"/>
                    </w:rPr>
                  </w:pPr>
                  <w:r>
                    <w:rPr>
                      <w:color w:val="auto"/>
                    </w:rPr>
                    <w:t>千克/吨-产品</w:t>
                  </w:r>
                </w:p>
              </w:tc>
              <w:tc>
                <w:tcPr>
                  <w:tcW w:w="572" w:type="pct"/>
                  <w:tcBorders>
                    <w:tl2br w:val="nil"/>
                    <w:tr2bl w:val="nil"/>
                  </w:tcBorders>
                  <w:vAlign w:val="center"/>
                </w:tcPr>
                <w:p w14:paraId="333977CB">
                  <w:pPr>
                    <w:pStyle w:val="50"/>
                    <w:jc w:val="center"/>
                    <w:rPr>
                      <w:color w:val="auto"/>
                    </w:rPr>
                  </w:pPr>
                  <w:r>
                    <w:rPr>
                      <w:color w:val="auto"/>
                    </w:rPr>
                    <w:t>0.</w:t>
                  </w:r>
                  <w:r>
                    <w:rPr>
                      <w:rFonts w:hint="eastAsia"/>
                      <w:color w:val="auto"/>
                    </w:rPr>
                    <w:t>12</w:t>
                  </w:r>
                </w:p>
              </w:tc>
              <w:tc>
                <w:tcPr>
                  <w:tcW w:w="690" w:type="pct"/>
                  <w:tcBorders>
                    <w:tl2br w:val="nil"/>
                    <w:tr2bl w:val="nil"/>
                  </w:tcBorders>
                  <w:vAlign w:val="center"/>
                </w:tcPr>
                <w:p w14:paraId="2FC73AC2">
                  <w:pPr>
                    <w:pStyle w:val="50"/>
                    <w:jc w:val="center"/>
                    <w:rPr>
                      <w:color w:val="auto"/>
                    </w:rPr>
                  </w:pPr>
                  <w:r>
                    <w:rPr>
                      <w:color w:val="auto"/>
                    </w:rPr>
                    <w:t>袋式除尘</w:t>
                  </w:r>
                </w:p>
              </w:tc>
              <w:tc>
                <w:tcPr>
                  <w:tcW w:w="683" w:type="pct"/>
                  <w:tcBorders>
                    <w:tl2br w:val="nil"/>
                    <w:tr2bl w:val="nil"/>
                  </w:tcBorders>
                  <w:vAlign w:val="center"/>
                </w:tcPr>
                <w:p w14:paraId="6E4C217B">
                  <w:pPr>
                    <w:pStyle w:val="50"/>
                    <w:jc w:val="center"/>
                    <w:rPr>
                      <w:color w:val="auto"/>
                    </w:rPr>
                  </w:pPr>
                  <w:r>
                    <w:rPr>
                      <w:rFonts w:hint="eastAsia"/>
                      <w:color w:val="auto"/>
                    </w:rPr>
                    <w:t>93</w:t>
                  </w:r>
                </w:p>
              </w:tc>
            </w:tr>
            <w:tr w14:paraId="23AD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3" w:type="pct"/>
                  <w:vMerge w:val="continue"/>
                  <w:tcBorders>
                    <w:tl2br w:val="nil"/>
                    <w:tr2bl w:val="nil"/>
                  </w:tcBorders>
                  <w:vAlign w:val="center"/>
                </w:tcPr>
                <w:p w14:paraId="3E92A3E8">
                  <w:pPr>
                    <w:pStyle w:val="50"/>
                    <w:jc w:val="center"/>
                    <w:rPr>
                      <w:color w:val="auto"/>
                    </w:rPr>
                  </w:pPr>
                </w:p>
              </w:tc>
              <w:tc>
                <w:tcPr>
                  <w:tcW w:w="516" w:type="pct"/>
                  <w:vMerge w:val="continue"/>
                  <w:tcBorders>
                    <w:tl2br w:val="nil"/>
                    <w:tr2bl w:val="nil"/>
                  </w:tcBorders>
                  <w:vAlign w:val="center"/>
                </w:tcPr>
                <w:p w14:paraId="33E39FB2">
                  <w:pPr>
                    <w:pStyle w:val="50"/>
                    <w:jc w:val="center"/>
                    <w:rPr>
                      <w:color w:val="auto"/>
                    </w:rPr>
                  </w:pPr>
                </w:p>
              </w:tc>
              <w:tc>
                <w:tcPr>
                  <w:tcW w:w="496" w:type="pct"/>
                  <w:vMerge w:val="restart"/>
                  <w:tcBorders>
                    <w:tl2br w:val="nil"/>
                    <w:tr2bl w:val="nil"/>
                  </w:tcBorders>
                  <w:vAlign w:val="center"/>
                </w:tcPr>
                <w:p w14:paraId="77B9CBD6">
                  <w:pPr>
                    <w:pStyle w:val="50"/>
                    <w:jc w:val="center"/>
                    <w:rPr>
                      <w:color w:val="auto"/>
                    </w:rPr>
                  </w:pPr>
                  <w:r>
                    <w:rPr>
                      <w:color w:val="auto"/>
                    </w:rPr>
                    <w:t>物料混合搅拌</w:t>
                  </w:r>
                </w:p>
              </w:tc>
              <w:tc>
                <w:tcPr>
                  <w:tcW w:w="557" w:type="pct"/>
                  <w:tcBorders>
                    <w:tl2br w:val="nil"/>
                    <w:tr2bl w:val="nil"/>
                  </w:tcBorders>
                  <w:vAlign w:val="center"/>
                </w:tcPr>
                <w:p w14:paraId="7BB7867C">
                  <w:pPr>
                    <w:pStyle w:val="50"/>
                    <w:jc w:val="center"/>
                    <w:rPr>
                      <w:color w:val="auto"/>
                    </w:rPr>
                  </w:pPr>
                  <w:r>
                    <w:rPr>
                      <w:color w:val="auto"/>
                    </w:rPr>
                    <w:t>废气量</w:t>
                  </w:r>
                </w:p>
              </w:tc>
              <w:tc>
                <w:tcPr>
                  <w:tcW w:w="1050" w:type="pct"/>
                  <w:tcBorders>
                    <w:tl2br w:val="nil"/>
                    <w:tr2bl w:val="nil"/>
                  </w:tcBorders>
                  <w:vAlign w:val="center"/>
                </w:tcPr>
                <w:p w14:paraId="44C81CBB">
                  <w:pPr>
                    <w:pStyle w:val="50"/>
                    <w:jc w:val="center"/>
                    <w:rPr>
                      <w:color w:val="auto"/>
                    </w:rPr>
                  </w:pPr>
                  <w:r>
                    <w:rPr>
                      <w:color w:val="auto"/>
                    </w:rPr>
                    <w:t>标立方米/吨-产品</w:t>
                  </w:r>
                </w:p>
              </w:tc>
              <w:tc>
                <w:tcPr>
                  <w:tcW w:w="572" w:type="pct"/>
                  <w:tcBorders>
                    <w:tl2br w:val="nil"/>
                    <w:tr2bl w:val="nil"/>
                  </w:tcBorders>
                  <w:vAlign w:val="center"/>
                </w:tcPr>
                <w:p w14:paraId="45CA1C2C">
                  <w:pPr>
                    <w:pStyle w:val="50"/>
                    <w:jc w:val="center"/>
                    <w:rPr>
                      <w:color w:val="auto"/>
                    </w:rPr>
                  </w:pPr>
                  <w:r>
                    <w:rPr>
                      <w:rFonts w:hint="eastAsia"/>
                      <w:color w:val="auto"/>
                    </w:rPr>
                    <w:t>25</w:t>
                  </w:r>
                </w:p>
              </w:tc>
              <w:tc>
                <w:tcPr>
                  <w:tcW w:w="690" w:type="pct"/>
                  <w:tcBorders>
                    <w:tl2br w:val="nil"/>
                    <w:tr2bl w:val="nil"/>
                  </w:tcBorders>
                  <w:vAlign w:val="center"/>
                </w:tcPr>
                <w:p w14:paraId="02E46901">
                  <w:pPr>
                    <w:pStyle w:val="50"/>
                    <w:jc w:val="center"/>
                    <w:rPr>
                      <w:color w:val="auto"/>
                    </w:rPr>
                  </w:pPr>
                  <w:r>
                    <w:rPr>
                      <w:color w:val="auto"/>
                    </w:rPr>
                    <w:t>/</w:t>
                  </w:r>
                </w:p>
              </w:tc>
              <w:tc>
                <w:tcPr>
                  <w:tcW w:w="683" w:type="pct"/>
                  <w:tcBorders>
                    <w:tl2br w:val="nil"/>
                    <w:tr2bl w:val="nil"/>
                  </w:tcBorders>
                  <w:vAlign w:val="center"/>
                </w:tcPr>
                <w:p w14:paraId="0A87F578">
                  <w:pPr>
                    <w:pStyle w:val="50"/>
                    <w:jc w:val="center"/>
                    <w:rPr>
                      <w:color w:val="auto"/>
                    </w:rPr>
                  </w:pPr>
                  <w:r>
                    <w:rPr>
                      <w:color w:val="auto"/>
                    </w:rPr>
                    <w:t>/</w:t>
                  </w:r>
                </w:p>
              </w:tc>
            </w:tr>
            <w:tr w14:paraId="0A48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3" w:type="pct"/>
                  <w:vMerge w:val="continue"/>
                  <w:tcBorders>
                    <w:tl2br w:val="nil"/>
                    <w:tr2bl w:val="nil"/>
                  </w:tcBorders>
                  <w:vAlign w:val="center"/>
                </w:tcPr>
                <w:p w14:paraId="7B1F0EBE">
                  <w:pPr>
                    <w:pStyle w:val="50"/>
                    <w:jc w:val="center"/>
                    <w:rPr>
                      <w:color w:val="auto"/>
                    </w:rPr>
                  </w:pPr>
                </w:p>
              </w:tc>
              <w:tc>
                <w:tcPr>
                  <w:tcW w:w="516" w:type="pct"/>
                  <w:vMerge w:val="continue"/>
                  <w:tcBorders>
                    <w:tl2br w:val="nil"/>
                    <w:tr2bl w:val="nil"/>
                  </w:tcBorders>
                  <w:vAlign w:val="center"/>
                </w:tcPr>
                <w:p w14:paraId="691C9B8E">
                  <w:pPr>
                    <w:pStyle w:val="50"/>
                    <w:jc w:val="center"/>
                    <w:rPr>
                      <w:color w:val="auto"/>
                    </w:rPr>
                  </w:pPr>
                </w:p>
              </w:tc>
              <w:tc>
                <w:tcPr>
                  <w:tcW w:w="496" w:type="pct"/>
                  <w:vMerge w:val="continue"/>
                  <w:tcBorders>
                    <w:tl2br w:val="nil"/>
                    <w:tr2bl w:val="nil"/>
                  </w:tcBorders>
                  <w:vAlign w:val="center"/>
                </w:tcPr>
                <w:p w14:paraId="02F4F379">
                  <w:pPr>
                    <w:pStyle w:val="50"/>
                    <w:jc w:val="center"/>
                    <w:rPr>
                      <w:color w:val="auto"/>
                    </w:rPr>
                  </w:pPr>
                </w:p>
              </w:tc>
              <w:tc>
                <w:tcPr>
                  <w:tcW w:w="557" w:type="pct"/>
                  <w:tcBorders>
                    <w:tl2br w:val="nil"/>
                    <w:tr2bl w:val="nil"/>
                  </w:tcBorders>
                  <w:vAlign w:val="center"/>
                </w:tcPr>
                <w:p w14:paraId="03556918">
                  <w:pPr>
                    <w:pStyle w:val="50"/>
                    <w:jc w:val="center"/>
                    <w:rPr>
                      <w:color w:val="auto"/>
                    </w:rPr>
                  </w:pPr>
                  <w:r>
                    <w:rPr>
                      <w:color w:val="auto"/>
                    </w:rPr>
                    <w:t>颗粒物</w:t>
                  </w:r>
                </w:p>
              </w:tc>
              <w:tc>
                <w:tcPr>
                  <w:tcW w:w="1050" w:type="pct"/>
                  <w:tcBorders>
                    <w:tl2br w:val="nil"/>
                    <w:tr2bl w:val="nil"/>
                  </w:tcBorders>
                  <w:vAlign w:val="center"/>
                </w:tcPr>
                <w:p w14:paraId="3F325864">
                  <w:pPr>
                    <w:pStyle w:val="50"/>
                    <w:jc w:val="center"/>
                    <w:rPr>
                      <w:color w:val="auto"/>
                    </w:rPr>
                  </w:pPr>
                  <w:r>
                    <w:rPr>
                      <w:color w:val="auto"/>
                    </w:rPr>
                    <w:t>千克/吨-产品</w:t>
                  </w:r>
                </w:p>
              </w:tc>
              <w:tc>
                <w:tcPr>
                  <w:tcW w:w="572" w:type="pct"/>
                  <w:tcBorders>
                    <w:tl2br w:val="nil"/>
                    <w:tr2bl w:val="nil"/>
                  </w:tcBorders>
                  <w:vAlign w:val="center"/>
                </w:tcPr>
                <w:p w14:paraId="083E5788">
                  <w:pPr>
                    <w:pStyle w:val="50"/>
                    <w:jc w:val="center"/>
                    <w:rPr>
                      <w:color w:val="auto"/>
                    </w:rPr>
                  </w:pPr>
                  <w:r>
                    <w:rPr>
                      <w:rFonts w:hint="eastAsia"/>
                      <w:color w:val="auto"/>
                    </w:rPr>
                    <w:t>0.13</w:t>
                  </w:r>
                </w:p>
              </w:tc>
              <w:tc>
                <w:tcPr>
                  <w:tcW w:w="690" w:type="pct"/>
                  <w:tcBorders>
                    <w:tl2br w:val="nil"/>
                    <w:tr2bl w:val="nil"/>
                  </w:tcBorders>
                  <w:vAlign w:val="center"/>
                </w:tcPr>
                <w:p w14:paraId="33F68E22">
                  <w:pPr>
                    <w:pStyle w:val="50"/>
                    <w:jc w:val="center"/>
                    <w:rPr>
                      <w:color w:val="auto"/>
                    </w:rPr>
                  </w:pPr>
                  <w:r>
                    <w:rPr>
                      <w:color w:val="auto"/>
                    </w:rPr>
                    <w:t>袋式除尘</w:t>
                  </w:r>
                </w:p>
              </w:tc>
              <w:tc>
                <w:tcPr>
                  <w:tcW w:w="683" w:type="pct"/>
                  <w:tcBorders>
                    <w:tl2br w:val="nil"/>
                    <w:tr2bl w:val="nil"/>
                  </w:tcBorders>
                  <w:vAlign w:val="center"/>
                </w:tcPr>
                <w:p w14:paraId="08DEAB55">
                  <w:pPr>
                    <w:pStyle w:val="50"/>
                    <w:jc w:val="center"/>
                    <w:rPr>
                      <w:color w:val="auto"/>
                    </w:rPr>
                  </w:pPr>
                  <w:r>
                    <w:rPr>
                      <w:rFonts w:hint="eastAsia"/>
                      <w:color w:val="auto"/>
                    </w:rPr>
                    <w:t>93</w:t>
                  </w:r>
                </w:p>
              </w:tc>
            </w:tr>
          </w:tbl>
          <w:p w14:paraId="7D887E2E">
            <w:pPr>
              <w:ind w:firstLine="480"/>
              <w:rPr>
                <w:rFonts w:cs="Times New Roman"/>
                <w:color w:val="auto"/>
              </w:rPr>
            </w:pPr>
            <w:r>
              <w:rPr>
                <w:rFonts w:cs="Times New Roman"/>
                <w:color w:val="auto"/>
              </w:rPr>
              <w:fldChar w:fldCharType="begin"/>
            </w:r>
            <w:r>
              <w:rPr>
                <w:rFonts w:cs="Times New Roman"/>
                <w:color w:val="auto"/>
              </w:rPr>
              <w:instrText xml:space="preserve"> = 1 \* GB3 \* MERGEFORMAT </w:instrText>
            </w:r>
            <w:r>
              <w:rPr>
                <w:rFonts w:cs="Times New Roman"/>
                <w:color w:val="auto"/>
              </w:rPr>
              <w:fldChar w:fldCharType="separate"/>
            </w:r>
            <w:r>
              <w:rPr>
                <w:rFonts w:cs="Times New Roman"/>
                <w:color w:val="auto"/>
              </w:rPr>
              <w:t>①</w:t>
            </w:r>
            <w:r>
              <w:rPr>
                <w:rFonts w:cs="Times New Roman"/>
                <w:color w:val="auto"/>
              </w:rPr>
              <w:fldChar w:fldCharType="end"/>
            </w:r>
            <w:r>
              <w:rPr>
                <w:rFonts w:cs="Times New Roman"/>
                <w:color w:val="auto"/>
              </w:rPr>
              <w:t>物料运输储存粉尘</w:t>
            </w:r>
          </w:p>
          <w:p w14:paraId="388A9DD0">
            <w:pPr>
              <w:ind w:firstLine="480"/>
              <w:rPr>
                <w:rFonts w:cs="Times New Roman"/>
                <w:color w:val="auto"/>
              </w:rPr>
            </w:pPr>
            <w:r>
              <w:rPr>
                <w:rFonts w:cs="Times New Roman"/>
                <w:color w:val="auto"/>
              </w:rPr>
              <w:t>本项目水泥、</w:t>
            </w:r>
            <w:r>
              <w:rPr>
                <w:rFonts w:hint="eastAsia" w:cs="Times New Roman"/>
                <w:color w:val="auto"/>
                <w:lang w:val="en-US" w:eastAsia="zh-CN"/>
              </w:rPr>
              <w:t>粉煤灰</w:t>
            </w:r>
            <w:r>
              <w:rPr>
                <w:rFonts w:cs="Times New Roman"/>
                <w:color w:val="auto"/>
              </w:rPr>
              <w:t>采用粉料仓储存。在往料仓中输送粉料时均经过仓顶除尘器过滤后排放，根据现场勘查可知，本项目设置</w:t>
            </w:r>
            <w:r>
              <w:rPr>
                <w:rFonts w:hint="eastAsia" w:cs="Times New Roman"/>
                <w:color w:val="auto"/>
                <w:lang w:val="en-US" w:eastAsia="zh-CN"/>
              </w:rPr>
              <w:t>2</w:t>
            </w:r>
            <w:r>
              <w:rPr>
                <w:rFonts w:cs="Times New Roman"/>
                <w:color w:val="auto"/>
              </w:rPr>
              <w:t>个粉料仓，料仓高22m。采用除尘方式如下：库底采用负压吸风收尘装置，与库顶呼吸孔共用一台除尘器，配置脉冲袋式除尘器安装位置于筒仓仓顶，除尘效率达</w:t>
            </w:r>
            <w:r>
              <w:rPr>
                <w:rFonts w:hint="eastAsia" w:cs="Times New Roman"/>
                <w:color w:val="auto"/>
              </w:rPr>
              <w:t>93</w:t>
            </w:r>
            <w:r>
              <w:rPr>
                <w:rFonts w:cs="Times New Roman"/>
                <w:color w:val="auto"/>
              </w:rPr>
              <w:t>%</w:t>
            </w:r>
            <w:r>
              <w:rPr>
                <w:rFonts w:hint="eastAsia" w:cs="Times New Roman"/>
                <w:color w:val="auto"/>
                <w:lang w:eastAsia="zh-CN"/>
              </w:rPr>
              <w:t>，</w:t>
            </w:r>
            <w:r>
              <w:rPr>
                <w:rFonts w:hint="eastAsia" w:cs="Times New Roman"/>
                <w:color w:val="auto"/>
              </w:rPr>
              <w:t>然后排放</w:t>
            </w:r>
            <w:r>
              <w:rPr>
                <w:rFonts w:cs="Times New Roman"/>
                <w:color w:val="auto"/>
              </w:rPr>
              <w:t>。</w:t>
            </w:r>
          </w:p>
          <w:p w14:paraId="1F5B4EDD">
            <w:pPr>
              <w:ind w:firstLine="480"/>
              <w:rPr>
                <w:rFonts w:cs="Times New Roman"/>
                <w:color w:val="auto"/>
              </w:rPr>
            </w:pPr>
            <w:r>
              <w:rPr>
                <w:rFonts w:cs="Times New Roman"/>
                <w:color w:val="auto"/>
              </w:rPr>
              <w:t>本项目粉料物料输送储存粉尘产排情况见下表。</w:t>
            </w:r>
          </w:p>
          <w:p w14:paraId="64E656D3">
            <w:pPr>
              <w:pStyle w:val="36"/>
              <w:rPr>
                <w:rFonts w:cs="Times New Roman"/>
                <w:color w:val="auto"/>
              </w:rPr>
            </w:pPr>
            <w:r>
              <w:rPr>
                <w:rFonts w:cs="Times New Roman"/>
                <w:color w:val="auto"/>
              </w:rPr>
              <w:t>表4-4  物料输送贮存粉尘产排污一览表</w:t>
            </w:r>
          </w:p>
          <w:tbl>
            <w:tblPr>
              <w:tblStyle w:val="28"/>
              <w:tblW w:w="474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2491"/>
              <w:gridCol w:w="1793"/>
              <w:gridCol w:w="1720"/>
            </w:tblGrid>
            <w:tr w14:paraId="000584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2547" w:type="pct"/>
                  <w:gridSpan w:val="2"/>
                  <w:tcBorders>
                    <w:tl2br w:val="nil"/>
                    <w:tr2bl w:val="nil"/>
                  </w:tcBorders>
                  <w:vAlign w:val="center"/>
                </w:tcPr>
                <w:p w14:paraId="3EDA0AD4">
                  <w:pPr>
                    <w:pStyle w:val="50"/>
                    <w:jc w:val="center"/>
                    <w:rPr>
                      <w:b/>
                      <w:bCs/>
                      <w:color w:val="auto"/>
                    </w:rPr>
                  </w:pPr>
                  <w:r>
                    <w:rPr>
                      <w:b/>
                      <w:bCs/>
                      <w:color w:val="auto"/>
                    </w:rPr>
                    <w:t>排放源</w:t>
                  </w:r>
                </w:p>
              </w:tc>
              <w:tc>
                <w:tcPr>
                  <w:tcW w:w="1251" w:type="pct"/>
                  <w:tcBorders>
                    <w:tl2br w:val="nil"/>
                    <w:tr2bl w:val="nil"/>
                  </w:tcBorders>
                  <w:vAlign w:val="center"/>
                </w:tcPr>
                <w:p w14:paraId="2E3C0451">
                  <w:pPr>
                    <w:pStyle w:val="50"/>
                    <w:jc w:val="center"/>
                    <w:rPr>
                      <w:color w:val="auto"/>
                    </w:rPr>
                  </w:pPr>
                  <w:r>
                    <w:rPr>
                      <w:color w:val="auto"/>
                    </w:rPr>
                    <w:t>水泥粉料仓</w:t>
                  </w:r>
                </w:p>
              </w:tc>
              <w:tc>
                <w:tcPr>
                  <w:tcW w:w="1200" w:type="pct"/>
                  <w:tcBorders>
                    <w:tl2br w:val="nil"/>
                    <w:tr2bl w:val="nil"/>
                  </w:tcBorders>
                  <w:vAlign w:val="center"/>
                </w:tcPr>
                <w:p w14:paraId="3501AC55">
                  <w:pPr>
                    <w:pStyle w:val="50"/>
                    <w:jc w:val="center"/>
                    <w:rPr>
                      <w:color w:val="auto"/>
                    </w:rPr>
                  </w:pPr>
                  <w:r>
                    <w:rPr>
                      <w:rFonts w:hint="eastAsia"/>
                      <w:color w:val="auto"/>
                      <w:lang w:val="en-US" w:eastAsia="zh-CN"/>
                    </w:rPr>
                    <w:t>粉煤灰</w:t>
                  </w:r>
                  <w:r>
                    <w:rPr>
                      <w:color w:val="auto"/>
                    </w:rPr>
                    <w:t>粉料仓</w:t>
                  </w:r>
                </w:p>
              </w:tc>
            </w:tr>
            <w:tr w14:paraId="40C947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7" w:type="pct"/>
                  <w:gridSpan w:val="2"/>
                  <w:tcBorders>
                    <w:tl2br w:val="nil"/>
                    <w:tr2bl w:val="nil"/>
                  </w:tcBorders>
                  <w:vAlign w:val="center"/>
                </w:tcPr>
                <w:p w14:paraId="7286F0FA">
                  <w:pPr>
                    <w:pStyle w:val="50"/>
                    <w:jc w:val="center"/>
                    <w:rPr>
                      <w:b/>
                      <w:bCs/>
                      <w:color w:val="auto"/>
                    </w:rPr>
                  </w:pPr>
                  <w:r>
                    <w:rPr>
                      <w:b/>
                      <w:bCs/>
                      <w:color w:val="auto"/>
                    </w:rPr>
                    <w:t>筒仓物料量（t/a）</w:t>
                  </w:r>
                </w:p>
              </w:tc>
              <w:tc>
                <w:tcPr>
                  <w:tcW w:w="1251" w:type="pct"/>
                  <w:tcBorders>
                    <w:tl2br w:val="nil"/>
                    <w:tr2bl w:val="nil"/>
                  </w:tcBorders>
                  <w:vAlign w:val="center"/>
                </w:tcPr>
                <w:p w14:paraId="5E665765">
                  <w:pPr>
                    <w:pStyle w:val="50"/>
                    <w:jc w:val="center"/>
                    <w:rPr>
                      <w:rFonts w:hint="default" w:eastAsia="宋体"/>
                      <w:color w:val="auto"/>
                      <w:lang w:val="en-US" w:eastAsia="zh-CN"/>
                    </w:rPr>
                  </w:pPr>
                  <w:r>
                    <w:rPr>
                      <w:rFonts w:hint="eastAsia"/>
                      <w:color w:val="auto"/>
                      <w:lang w:val="en-US" w:eastAsia="zh-CN"/>
                    </w:rPr>
                    <w:t>3000</w:t>
                  </w:r>
                </w:p>
              </w:tc>
              <w:tc>
                <w:tcPr>
                  <w:tcW w:w="1200" w:type="pct"/>
                  <w:tcBorders>
                    <w:tl2br w:val="nil"/>
                    <w:tr2bl w:val="nil"/>
                  </w:tcBorders>
                  <w:vAlign w:val="center"/>
                </w:tcPr>
                <w:p w14:paraId="347927D1">
                  <w:pPr>
                    <w:pStyle w:val="50"/>
                    <w:jc w:val="center"/>
                    <w:rPr>
                      <w:rFonts w:hint="default" w:eastAsia="宋体"/>
                      <w:color w:val="auto"/>
                      <w:lang w:val="en-US" w:eastAsia="zh-CN"/>
                    </w:rPr>
                  </w:pPr>
                  <w:r>
                    <w:rPr>
                      <w:rFonts w:hint="eastAsia"/>
                      <w:color w:val="auto"/>
                      <w:lang w:val="en-US" w:eastAsia="zh-CN"/>
                    </w:rPr>
                    <w:t>300</w:t>
                  </w:r>
                </w:p>
              </w:tc>
            </w:tr>
            <w:tr w14:paraId="55D07E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7" w:type="pct"/>
                  <w:gridSpan w:val="2"/>
                  <w:tcBorders>
                    <w:tl2br w:val="nil"/>
                    <w:tr2bl w:val="nil"/>
                  </w:tcBorders>
                  <w:vAlign w:val="center"/>
                </w:tcPr>
                <w:p w14:paraId="0B6F6C9D">
                  <w:pPr>
                    <w:pStyle w:val="50"/>
                    <w:jc w:val="center"/>
                    <w:rPr>
                      <w:b/>
                      <w:bCs/>
                      <w:color w:val="auto"/>
                    </w:rPr>
                  </w:pPr>
                  <w:r>
                    <w:rPr>
                      <w:b/>
                      <w:bCs/>
                      <w:color w:val="auto"/>
                    </w:rPr>
                    <w:t>运行时间（h）</w:t>
                  </w:r>
                </w:p>
              </w:tc>
              <w:tc>
                <w:tcPr>
                  <w:tcW w:w="2452" w:type="pct"/>
                  <w:gridSpan w:val="2"/>
                  <w:tcBorders>
                    <w:tl2br w:val="nil"/>
                    <w:tr2bl w:val="nil"/>
                  </w:tcBorders>
                  <w:vAlign w:val="center"/>
                </w:tcPr>
                <w:p w14:paraId="5B033E8F">
                  <w:pPr>
                    <w:pStyle w:val="50"/>
                    <w:jc w:val="center"/>
                    <w:rPr>
                      <w:rFonts w:hint="eastAsia"/>
                      <w:color w:val="auto"/>
                      <w:lang w:val="en-US" w:eastAsia="zh-CN"/>
                    </w:rPr>
                  </w:pPr>
                  <w:r>
                    <w:rPr>
                      <w:rFonts w:hint="eastAsia"/>
                      <w:color w:val="auto"/>
                      <w:lang w:val="en-US" w:eastAsia="zh-CN"/>
                    </w:rPr>
                    <w:t>1500</w:t>
                  </w:r>
                </w:p>
              </w:tc>
            </w:tr>
            <w:tr w14:paraId="312F25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7" w:type="pct"/>
                  <w:gridSpan w:val="2"/>
                  <w:tcBorders>
                    <w:tl2br w:val="nil"/>
                    <w:tr2bl w:val="nil"/>
                  </w:tcBorders>
                  <w:vAlign w:val="center"/>
                </w:tcPr>
                <w:p w14:paraId="02EAB6BE">
                  <w:pPr>
                    <w:pStyle w:val="50"/>
                    <w:jc w:val="center"/>
                    <w:rPr>
                      <w:b/>
                      <w:bCs/>
                      <w:color w:val="auto"/>
                    </w:rPr>
                  </w:pPr>
                  <w:r>
                    <w:rPr>
                      <w:b/>
                      <w:bCs/>
                      <w:color w:val="auto"/>
                    </w:rPr>
                    <w:t>排放系数</w:t>
                  </w:r>
                </w:p>
              </w:tc>
              <w:tc>
                <w:tcPr>
                  <w:tcW w:w="2452" w:type="pct"/>
                  <w:gridSpan w:val="2"/>
                  <w:tcBorders>
                    <w:tl2br w:val="nil"/>
                    <w:tr2bl w:val="nil"/>
                  </w:tcBorders>
                  <w:vAlign w:val="center"/>
                </w:tcPr>
                <w:p w14:paraId="4B2781B5">
                  <w:pPr>
                    <w:pStyle w:val="50"/>
                    <w:jc w:val="center"/>
                    <w:rPr>
                      <w:color w:val="auto"/>
                    </w:rPr>
                  </w:pPr>
                  <w:r>
                    <w:rPr>
                      <w:color w:val="auto"/>
                    </w:rPr>
                    <w:t>0.1</w:t>
                  </w:r>
                  <w:r>
                    <w:rPr>
                      <w:rFonts w:hint="eastAsia"/>
                      <w:color w:val="auto"/>
                    </w:rPr>
                    <w:t>2</w:t>
                  </w:r>
                  <w:r>
                    <w:rPr>
                      <w:color w:val="auto"/>
                    </w:rPr>
                    <w:t>kg/t</w:t>
                  </w:r>
                </w:p>
              </w:tc>
            </w:tr>
            <w:tr w14:paraId="6A3918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7" w:type="pct"/>
                  <w:gridSpan w:val="2"/>
                  <w:tcBorders>
                    <w:tl2br w:val="nil"/>
                    <w:tr2bl w:val="nil"/>
                  </w:tcBorders>
                  <w:vAlign w:val="center"/>
                </w:tcPr>
                <w:p w14:paraId="26676038">
                  <w:pPr>
                    <w:pStyle w:val="50"/>
                    <w:jc w:val="center"/>
                    <w:rPr>
                      <w:b/>
                      <w:bCs/>
                      <w:color w:val="auto"/>
                    </w:rPr>
                  </w:pPr>
                  <w:r>
                    <w:rPr>
                      <w:b/>
                      <w:bCs/>
                      <w:color w:val="auto"/>
                    </w:rPr>
                    <w:t>废气量（Nm</w:t>
                  </w:r>
                  <w:r>
                    <w:rPr>
                      <w:b/>
                      <w:bCs/>
                      <w:color w:val="auto"/>
                      <w:vertAlign w:val="superscript"/>
                    </w:rPr>
                    <w:t>3</w:t>
                  </w:r>
                  <w:r>
                    <w:rPr>
                      <w:b/>
                      <w:bCs/>
                      <w:color w:val="auto"/>
                    </w:rPr>
                    <w:t>/t-产品）</w:t>
                  </w:r>
                </w:p>
              </w:tc>
              <w:tc>
                <w:tcPr>
                  <w:tcW w:w="2452" w:type="pct"/>
                  <w:gridSpan w:val="2"/>
                  <w:tcBorders>
                    <w:tl2br w:val="nil"/>
                    <w:tr2bl w:val="nil"/>
                  </w:tcBorders>
                  <w:vAlign w:val="center"/>
                </w:tcPr>
                <w:p w14:paraId="57B4F038">
                  <w:pPr>
                    <w:pStyle w:val="50"/>
                    <w:jc w:val="center"/>
                    <w:rPr>
                      <w:rFonts w:hint="eastAsia"/>
                      <w:color w:val="auto"/>
                    </w:rPr>
                  </w:pPr>
                  <w:r>
                    <w:rPr>
                      <w:rFonts w:hint="eastAsia"/>
                      <w:color w:val="auto"/>
                    </w:rPr>
                    <w:t>22.0</w:t>
                  </w:r>
                </w:p>
              </w:tc>
            </w:tr>
            <w:tr w14:paraId="717703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807" w:type="pct"/>
                  <w:tcBorders>
                    <w:tl2br w:val="nil"/>
                    <w:tr2bl w:val="nil"/>
                  </w:tcBorders>
                  <w:vAlign w:val="center"/>
                </w:tcPr>
                <w:p w14:paraId="3519753D">
                  <w:pPr>
                    <w:pStyle w:val="50"/>
                    <w:jc w:val="center"/>
                    <w:rPr>
                      <w:b/>
                      <w:bCs/>
                      <w:color w:val="auto"/>
                    </w:rPr>
                  </w:pPr>
                  <w:r>
                    <w:rPr>
                      <w:b/>
                      <w:bCs/>
                      <w:color w:val="auto"/>
                    </w:rPr>
                    <w:t>粉尘产生情况</w:t>
                  </w:r>
                </w:p>
              </w:tc>
              <w:tc>
                <w:tcPr>
                  <w:tcW w:w="1739" w:type="pct"/>
                  <w:tcBorders>
                    <w:tl2br w:val="nil"/>
                    <w:tr2bl w:val="nil"/>
                  </w:tcBorders>
                  <w:vAlign w:val="center"/>
                </w:tcPr>
                <w:p w14:paraId="315241A5">
                  <w:pPr>
                    <w:pStyle w:val="50"/>
                    <w:jc w:val="center"/>
                    <w:rPr>
                      <w:b/>
                      <w:bCs/>
                      <w:color w:val="auto"/>
                    </w:rPr>
                  </w:pPr>
                  <w:r>
                    <w:rPr>
                      <w:b/>
                      <w:bCs/>
                      <w:color w:val="auto"/>
                    </w:rPr>
                    <w:t>产生量（t/a）</w:t>
                  </w:r>
                </w:p>
              </w:tc>
              <w:tc>
                <w:tcPr>
                  <w:tcW w:w="1251" w:type="pct"/>
                  <w:tcBorders>
                    <w:tl2br w:val="nil"/>
                    <w:tr2bl w:val="nil"/>
                  </w:tcBorders>
                  <w:vAlign w:val="center"/>
                </w:tcPr>
                <w:p w14:paraId="6A27ED25">
                  <w:pPr>
                    <w:pStyle w:val="50"/>
                    <w:ind w:firstLine="0" w:firstLineChars="0"/>
                    <w:jc w:val="center"/>
                    <w:rPr>
                      <w:rFonts w:hint="default" w:eastAsia="宋体"/>
                      <w:color w:val="auto"/>
                      <w:lang w:val="en-US" w:eastAsia="zh-CN"/>
                    </w:rPr>
                  </w:pPr>
                  <w:r>
                    <w:rPr>
                      <w:rFonts w:hint="eastAsia"/>
                      <w:color w:val="auto"/>
                      <w:lang w:val="en-US" w:eastAsia="zh-CN"/>
                    </w:rPr>
                    <w:t>0.36</w:t>
                  </w:r>
                </w:p>
              </w:tc>
              <w:tc>
                <w:tcPr>
                  <w:tcW w:w="1200" w:type="pct"/>
                  <w:tcBorders>
                    <w:tl2br w:val="nil"/>
                    <w:tr2bl w:val="nil"/>
                  </w:tcBorders>
                  <w:vAlign w:val="center"/>
                </w:tcPr>
                <w:p w14:paraId="63756C6F">
                  <w:pPr>
                    <w:pStyle w:val="50"/>
                    <w:jc w:val="center"/>
                    <w:rPr>
                      <w:rFonts w:hint="default" w:eastAsia="宋体"/>
                      <w:color w:val="auto"/>
                      <w:lang w:val="en-US" w:eastAsia="zh-CN"/>
                    </w:rPr>
                  </w:pPr>
                  <w:r>
                    <w:rPr>
                      <w:rFonts w:hint="eastAsia"/>
                      <w:color w:val="auto"/>
                      <w:lang w:val="en-US" w:eastAsia="zh-CN"/>
                    </w:rPr>
                    <w:t>0.036</w:t>
                  </w:r>
                </w:p>
              </w:tc>
            </w:tr>
            <w:tr w14:paraId="762B7A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7" w:type="pct"/>
                  <w:gridSpan w:val="2"/>
                  <w:tcBorders>
                    <w:tl2br w:val="nil"/>
                    <w:tr2bl w:val="nil"/>
                  </w:tcBorders>
                  <w:vAlign w:val="center"/>
                </w:tcPr>
                <w:p w14:paraId="2DDED4A6">
                  <w:pPr>
                    <w:pStyle w:val="50"/>
                    <w:jc w:val="center"/>
                    <w:rPr>
                      <w:b/>
                      <w:bCs/>
                      <w:color w:val="auto"/>
                    </w:rPr>
                  </w:pPr>
                  <w:r>
                    <w:rPr>
                      <w:b/>
                      <w:bCs/>
                      <w:color w:val="auto"/>
                    </w:rPr>
                    <w:t>风量（m</w:t>
                  </w:r>
                  <w:r>
                    <w:rPr>
                      <w:b/>
                      <w:bCs/>
                      <w:color w:val="auto"/>
                      <w:vertAlign w:val="superscript"/>
                    </w:rPr>
                    <w:t>3</w:t>
                  </w:r>
                  <w:r>
                    <w:rPr>
                      <w:b/>
                      <w:bCs/>
                      <w:color w:val="auto"/>
                    </w:rPr>
                    <w:t>/h）</w:t>
                  </w:r>
                </w:p>
              </w:tc>
              <w:tc>
                <w:tcPr>
                  <w:tcW w:w="1251" w:type="pct"/>
                  <w:tcBorders>
                    <w:tl2br w:val="nil"/>
                    <w:tr2bl w:val="nil"/>
                  </w:tcBorders>
                  <w:vAlign w:val="center"/>
                </w:tcPr>
                <w:p w14:paraId="475D2AA5">
                  <w:pPr>
                    <w:pStyle w:val="50"/>
                    <w:ind w:firstLine="0" w:firstLineChars="0"/>
                    <w:jc w:val="center"/>
                    <w:rPr>
                      <w:rFonts w:hint="default" w:eastAsia="宋体"/>
                      <w:color w:val="auto"/>
                      <w:lang w:val="en-US" w:eastAsia="zh-CN"/>
                    </w:rPr>
                  </w:pPr>
                  <w:r>
                    <w:rPr>
                      <w:rFonts w:hint="eastAsia"/>
                      <w:color w:val="auto"/>
                      <w:lang w:val="en-US" w:eastAsia="zh-CN"/>
                    </w:rPr>
                    <w:t>44</w:t>
                  </w:r>
                </w:p>
              </w:tc>
              <w:tc>
                <w:tcPr>
                  <w:tcW w:w="1200" w:type="pct"/>
                  <w:tcBorders>
                    <w:tl2br w:val="nil"/>
                    <w:tr2bl w:val="nil"/>
                  </w:tcBorders>
                  <w:vAlign w:val="center"/>
                </w:tcPr>
                <w:p w14:paraId="16A975D1">
                  <w:pPr>
                    <w:pStyle w:val="50"/>
                    <w:jc w:val="center"/>
                    <w:rPr>
                      <w:rFonts w:hint="default" w:eastAsia="宋体"/>
                      <w:color w:val="auto"/>
                      <w:lang w:val="en-US" w:eastAsia="zh-CN"/>
                    </w:rPr>
                  </w:pPr>
                  <w:r>
                    <w:rPr>
                      <w:rFonts w:hint="eastAsia"/>
                      <w:color w:val="auto"/>
                      <w:lang w:val="en-US" w:eastAsia="zh-CN"/>
                    </w:rPr>
                    <w:t>4.4</w:t>
                  </w:r>
                </w:p>
              </w:tc>
            </w:tr>
            <w:tr w14:paraId="044671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7" w:type="pct"/>
                  <w:gridSpan w:val="2"/>
                  <w:tcBorders>
                    <w:tl2br w:val="nil"/>
                    <w:tr2bl w:val="nil"/>
                  </w:tcBorders>
                  <w:vAlign w:val="center"/>
                </w:tcPr>
                <w:p w14:paraId="57522255">
                  <w:pPr>
                    <w:pStyle w:val="50"/>
                    <w:jc w:val="center"/>
                    <w:rPr>
                      <w:b/>
                      <w:bCs/>
                      <w:color w:val="auto"/>
                    </w:rPr>
                  </w:pPr>
                  <w:r>
                    <w:rPr>
                      <w:rFonts w:hint="eastAsia"/>
                      <w:b/>
                      <w:bCs/>
                      <w:color w:val="auto"/>
                      <w:lang w:eastAsia="zh-CN"/>
                    </w:rPr>
                    <w:t>旋风除尘</w:t>
                  </w:r>
                  <w:r>
                    <w:rPr>
                      <w:b/>
                      <w:bCs/>
                      <w:color w:val="auto"/>
                    </w:rPr>
                    <w:t>器处理后排放除尘效率（%）</w:t>
                  </w:r>
                </w:p>
              </w:tc>
              <w:tc>
                <w:tcPr>
                  <w:tcW w:w="1251" w:type="pct"/>
                  <w:tcBorders>
                    <w:tl2br w:val="nil"/>
                    <w:tr2bl w:val="nil"/>
                  </w:tcBorders>
                  <w:vAlign w:val="center"/>
                </w:tcPr>
                <w:p w14:paraId="69307D4F">
                  <w:pPr>
                    <w:pStyle w:val="50"/>
                    <w:ind w:firstLine="0" w:firstLineChars="0"/>
                    <w:jc w:val="center"/>
                    <w:rPr>
                      <w:color w:val="auto"/>
                    </w:rPr>
                  </w:pPr>
                  <w:r>
                    <w:rPr>
                      <w:rFonts w:hint="eastAsia"/>
                      <w:color w:val="auto"/>
                    </w:rPr>
                    <w:t>93</w:t>
                  </w:r>
                </w:p>
              </w:tc>
              <w:tc>
                <w:tcPr>
                  <w:tcW w:w="1200" w:type="pct"/>
                  <w:tcBorders>
                    <w:tl2br w:val="nil"/>
                    <w:tr2bl w:val="nil"/>
                  </w:tcBorders>
                  <w:vAlign w:val="center"/>
                </w:tcPr>
                <w:p w14:paraId="1D4E3947">
                  <w:pPr>
                    <w:pStyle w:val="50"/>
                    <w:jc w:val="center"/>
                    <w:rPr>
                      <w:color w:val="auto"/>
                    </w:rPr>
                  </w:pPr>
                  <w:r>
                    <w:rPr>
                      <w:rFonts w:hint="eastAsia"/>
                      <w:color w:val="auto"/>
                    </w:rPr>
                    <w:t>93</w:t>
                  </w:r>
                </w:p>
              </w:tc>
            </w:tr>
            <w:tr w14:paraId="00DE65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7" w:type="pct"/>
                  <w:tcBorders>
                    <w:tl2br w:val="nil"/>
                    <w:tr2bl w:val="nil"/>
                  </w:tcBorders>
                  <w:vAlign w:val="center"/>
                </w:tcPr>
                <w:p w14:paraId="6D90BC00">
                  <w:pPr>
                    <w:pStyle w:val="50"/>
                    <w:jc w:val="center"/>
                    <w:rPr>
                      <w:b/>
                      <w:bCs/>
                      <w:color w:val="auto"/>
                    </w:rPr>
                  </w:pPr>
                  <w:r>
                    <w:rPr>
                      <w:b/>
                      <w:bCs/>
                      <w:color w:val="auto"/>
                    </w:rPr>
                    <w:t>粉尘排放情况</w:t>
                  </w:r>
                </w:p>
              </w:tc>
              <w:tc>
                <w:tcPr>
                  <w:tcW w:w="1739" w:type="pct"/>
                  <w:tcBorders>
                    <w:tl2br w:val="nil"/>
                    <w:tr2bl w:val="nil"/>
                  </w:tcBorders>
                  <w:vAlign w:val="center"/>
                </w:tcPr>
                <w:p w14:paraId="45AEA158">
                  <w:pPr>
                    <w:pStyle w:val="50"/>
                    <w:jc w:val="center"/>
                    <w:rPr>
                      <w:b/>
                      <w:bCs/>
                      <w:color w:val="auto"/>
                    </w:rPr>
                  </w:pPr>
                  <w:r>
                    <w:rPr>
                      <w:b/>
                      <w:bCs/>
                      <w:color w:val="auto"/>
                    </w:rPr>
                    <w:t>排放量（t/a）</w:t>
                  </w:r>
                </w:p>
              </w:tc>
              <w:tc>
                <w:tcPr>
                  <w:tcW w:w="1251" w:type="pct"/>
                  <w:tcBorders>
                    <w:tl2br w:val="nil"/>
                    <w:tr2bl w:val="nil"/>
                  </w:tcBorders>
                  <w:vAlign w:val="center"/>
                </w:tcPr>
                <w:p w14:paraId="4746994D">
                  <w:pPr>
                    <w:pStyle w:val="50"/>
                    <w:ind w:firstLine="0" w:firstLineChars="0"/>
                    <w:jc w:val="center"/>
                    <w:rPr>
                      <w:rFonts w:hint="default" w:eastAsia="宋体"/>
                      <w:color w:val="auto"/>
                      <w:lang w:val="en-US" w:eastAsia="zh-CN"/>
                    </w:rPr>
                  </w:pPr>
                  <w:r>
                    <w:rPr>
                      <w:rFonts w:hint="eastAsia"/>
                      <w:color w:val="auto"/>
                      <w:lang w:val="en-US" w:eastAsia="zh-CN"/>
                    </w:rPr>
                    <w:t>0.0252</w:t>
                  </w:r>
                </w:p>
              </w:tc>
              <w:tc>
                <w:tcPr>
                  <w:tcW w:w="1200" w:type="pct"/>
                  <w:tcBorders>
                    <w:tl2br w:val="nil"/>
                    <w:tr2bl w:val="nil"/>
                  </w:tcBorders>
                  <w:vAlign w:val="center"/>
                </w:tcPr>
                <w:p w14:paraId="48C2EA8D">
                  <w:pPr>
                    <w:pStyle w:val="50"/>
                    <w:jc w:val="center"/>
                    <w:rPr>
                      <w:rFonts w:hint="default" w:eastAsia="宋体"/>
                      <w:color w:val="auto"/>
                      <w:lang w:val="en-US" w:eastAsia="zh-CN"/>
                    </w:rPr>
                  </w:pPr>
                  <w:r>
                    <w:rPr>
                      <w:rFonts w:hint="eastAsia"/>
                      <w:color w:val="auto"/>
                    </w:rPr>
                    <w:t>0.</w:t>
                  </w:r>
                  <w:r>
                    <w:rPr>
                      <w:rFonts w:hint="eastAsia"/>
                      <w:color w:val="auto"/>
                      <w:lang w:val="en-US" w:eastAsia="zh-CN"/>
                    </w:rPr>
                    <w:t>00252</w:t>
                  </w:r>
                </w:p>
              </w:tc>
            </w:tr>
            <w:tr w14:paraId="6EED09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7" w:type="pct"/>
                  <w:gridSpan w:val="2"/>
                  <w:tcBorders>
                    <w:tl2br w:val="nil"/>
                    <w:tr2bl w:val="nil"/>
                  </w:tcBorders>
                  <w:vAlign w:val="center"/>
                </w:tcPr>
                <w:p w14:paraId="2B05D30D">
                  <w:pPr>
                    <w:pStyle w:val="50"/>
                    <w:jc w:val="center"/>
                    <w:rPr>
                      <w:b/>
                      <w:bCs/>
                      <w:color w:val="auto"/>
                    </w:rPr>
                  </w:pPr>
                  <w:r>
                    <w:rPr>
                      <w:b/>
                      <w:bCs/>
                      <w:color w:val="auto"/>
                    </w:rPr>
                    <w:t>排放形式</w:t>
                  </w:r>
                </w:p>
              </w:tc>
              <w:tc>
                <w:tcPr>
                  <w:tcW w:w="2452" w:type="pct"/>
                  <w:gridSpan w:val="2"/>
                  <w:tcBorders>
                    <w:tl2br w:val="nil"/>
                    <w:tr2bl w:val="nil"/>
                  </w:tcBorders>
                  <w:vAlign w:val="center"/>
                </w:tcPr>
                <w:p w14:paraId="0ADE46D6">
                  <w:pPr>
                    <w:pStyle w:val="50"/>
                    <w:jc w:val="center"/>
                    <w:rPr>
                      <w:color w:val="auto"/>
                    </w:rPr>
                  </w:pPr>
                  <w:r>
                    <w:rPr>
                      <w:color w:val="auto"/>
                    </w:rPr>
                    <w:t>无组织</w:t>
                  </w:r>
                </w:p>
              </w:tc>
            </w:tr>
          </w:tbl>
          <w:p w14:paraId="280DB242">
            <w:pPr>
              <w:ind w:firstLine="480"/>
              <w:rPr>
                <w:rFonts w:cs="Times New Roman"/>
                <w:color w:val="auto"/>
              </w:rPr>
            </w:pPr>
            <w:r>
              <w:rPr>
                <w:rFonts w:cs="Times New Roman"/>
                <w:color w:val="auto"/>
              </w:rPr>
              <w:fldChar w:fldCharType="begin"/>
            </w:r>
            <w:r>
              <w:rPr>
                <w:rFonts w:cs="Times New Roman"/>
                <w:color w:val="auto"/>
              </w:rPr>
              <w:instrText xml:space="preserve"> = 2 \* GB3 \* MERGEFORMAT </w:instrText>
            </w:r>
            <w:r>
              <w:rPr>
                <w:rFonts w:cs="Times New Roman"/>
                <w:color w:val="auto"/>
              </w:rPr>
              <w:fldChar w:fldCharType="separate"/>
            </w:r>
            <w:r>
              <w:rPr>
                <w:rFonts w:cs="Times New Roman"/>
                <w:color w:val="auto"/>
              </w:rPr>
              <w:t>②</w:t>
            </w:r>
            <w:r>
              <w:rPr>
                <w:rFonts w:cs="Times New Roman"/>
                <w:color w:val="auto"/>
              </w:rPr>
              <w:fldChar w:fldCharType="end"/>
            </w:r>
            <w:r>
              <w:rPr>
                <w:rFonts w:cs="Times New Roman"/>
                <w:color w:val="auto"/>
              </w:rPr>
              <w:t>物料混合搅拌粉尘</w:t>
            </w:r>
          </w:p>
          <w:p w14:paraId="0F4E5AD5">
            <w:pPr>
              <w:ind w:firstLine="480"/>
              <w:rPr>
                <w:rFonts w:cs="Times New Roman"/>
                <w:color w:val="auto"/>
              </w:rPr>
            </w:pPr>
            <w:r>
              <w:rPr>
                <w:rFonts w:cs="Times New Roman"/>
                <w:color w:val="auto"/>
              </w:rPr>
              <w:t>粉料（水泥、砂</w:t>
            </w:r>
            <w:r>
              <w:rPr>
                <w:rFonts w:hint="eastAsia" w:cs="Times New Roman"/>
                <w:color w:val="auto"/>
                <w:lang w:eastAsia="zh-CN"/>
              </w:rPr>
              <w:t>、</w:t>
            </w:r>
            <w:r>
              <w:rPr>
                <w:rFonts w:hint="eastAsia" w:cs="Times New Roman"/>
                <w:color w:val="auto"/>
                <w:lang w:val="en-US" w:eastAsia="zh-CN"/>
              </w:rPr>
              <w:t>粉煤灰</w:t>
            </w:r>
            <w:r>
              <w:rPr>
                <w:rFonts w:cs="Times New Roman"/>
                <w:color w:val="auto"/>
              </w:rPr>
              <w:t>）由螺旋输送泵喂入粉料配料仓叠加计量后投入混合机进行混合，搅拌过程中产生粉尘。本项目搅拌机顶部装有专用脉冲袋式除尘器，该除尘器由垂直插入的滤芯和一自动反向空气喷射清洁系统组成。</w:t>
            </w:r>
          </w:p>
          <w:p w14:paraId="7DE38492">
            <w:pPr>
              <w:ind w:firstLine="480"/>
              <w:rPr>
                <w:rFonts w:cs="Times New Roman"/>
                <w:color w:val="auto"/>
              </w:rPr>
            </w:pPr>
            <w:r>
              <w:rPr>
                <w:rFonts w:cs="Times New Roman"/>
                <w:color w:val="auto"/>
              </w:rPr>
              <w:t>本项目物料混合搅拌粉尘产排情况见下表。</w:t>
            </w:r>
          </w:p>
          <w:p w14:paraId="641F1040">
            <w:pPr>
              <w:pStyle w:val="36"/>
              <w:rPr>
                <w:rFonts w:cs="Times New Roman"/>
                <w:color w:val="auto"/>
              </w:rPr>
            </w:pPr>
            <w:r>
              <w:rPr>
                <w:rFonts w:cs="Times New Roman"/>
                <w:color w:val="auto"/>
              </w:rPr>
              <w:t>表4-5  物料混合搅拌粉尘污染物产排情况一览表</w:t>
            </w:r>
          </w:p>
          <w:tbl>
            <w:tblPr>
              <w:tblStyle w:val="27"/>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3105"/>
              <w:gridCol w:w="1923"/>
            </w:tblGrid>
            <w:tr w14:paraId="5F8C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55" w:type="pct"/>
                  <w:gridSpan w:val="2"/>
                  <w:tcBorders>
                    <w:tl2br w:val="nil"/>
                    <w:tr2bl w:val="nil"/>
                  </w:tcBorders>
                  <w:vAlign w:val="center"/>
                </w:tcPr>
                <w:p w14:paraId="1761E665">
                  <w:pPr>
                    <w:pStyle w:val="50"/>
                    <w:jc w:val="center"/>
                    <w:rPr>
                      <w:b/>
                      <w:bCs/>
                      <w:color w:val="auto"/>
                    </w:rPr>
                  </w:pPr>
                  <w:r>
                    <w:rPr>
                      <w:b/>
                      <w:bCs/>
                      <w:color w:val="auto"/>
                    </w:rPr>
                    <w:t>产品量（t/a）</w:t>
                  </w:r>
                </w:p>
              </w:tc>
              <w:tc>
                <w:tcPr>
                  <w:tcW w:w="1344" w:type="pct"/>
                  <w:tcBorders>
                    <w:tl2br w:val="nil"/>
                    <w:tr2bl w:val="nil"/>
                  </w:tcBorders>
                  <w:vAlign w:val="center"/>
                </w:tcPr>
                <w:p w14:paraId="4ED125A6">
                  <w:pPr>
                    <w:pStyle w:val="50"/>
                    <w:jc w:val="center"/>
                    <w:rPr>
                      <w:rFonts w:hint="default" w:eastAsia="宋体"/>
                      <w:color w:val="auto"/>
                      <w:lang w:val="en-US" w:eastAsia="zh-CN"/>
                    </w:rPr>
                  </w:pPr>
                  <w:r>
                    <w:rPr>
                      <w:rFonts w:hint="eastAsia"/>
                      <w:color w:val="auto"/>
                      <w:lang w:val="en-US" w:eastAsia="zh-CN"/>
                    </w:rPr>
                    <w:t>9500</w:t>
                  </w:r>
                </w:p>
              </w:tc>
            </w:tr>
            <w:tr w14:paraId="2BAE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655" w:type="pct"/>
                  <w:gridSpan w:val="2"/>
                  <w:tcBorders>
                    <w:tl2br w:val="nil"/>
                    <w:tr2bl w:val="nil"/>
                  </w:tcBorders>
                  <w:vAlign w:val="center"/>
                </w:tcPr>
                <w:p w14:paraId="25F02CF5">
                  <w:pPr>
                    <w:pStyle w:val="50"/>
                    <w:jc w:val="center"/>
                    <w:rPr>
                      <w:b/>
                      <w:bCs/>
                      <w:color w:val="auto"/>
                    </w:rPr>
                  </w:pPr>
                  <w:r>
                    <w:rPr>
                      <w:b/>
                      <w:bCs/>
                      <w:color w:val="auto"/>
                    </w:rPr>
                    <w:t>运行时间（h）</w:t>
                  </w:r>
                </w:p>
              </w:tc>
              <w:tc>
                <w:tcPr>
                  <w:tcW w:w="1344" w:type="pct"/>
                  <w:tcBorders>
                    <w:tl2br w:val="nil"/>
                    <w:tr2bl w:val="nil"/>
                  </w:tcBorders>
                  <w:vAlign w:val="center"/>
                </w:tcPr>
                <w:p w14:paraId="5663D82F">
                  <w:pPr>
                    <w:pStyle w:val="50"/>
                    <w:jc w:val="center"/>
                    <w:rPr>
                      <w:rFonts w:hint="default" w:eastAsia="宋体"/>
                      <w:color w:val="auto"/>
                      <w:lang w:val="en-US" w:eastAsia="zh-CN"/>
                    </w:rPr>
                  </w:pPr>
                  <w:r>
                    <w:rPr>
                      <w:rFonts w:hint="eastAsia"/>
                      <w:color w:val="auto"/>
                      <w:lang w:val="en-US" w:eastAsia="zh-CN"/>
                    </w:rPr>
                    <w:t>1500</w:t>
                  </w:r>
                </w:p>
              </w:tc>
            </w:tr>
            <w:tr w14:paraId="5154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55" w:type="pct"/>
                  <w:gridSpan w:val="2"/>
                  <w:tcBorders>
                    <w:tl2br w:val="nil"/>
                    <w:tr2bl w:val="nil"/>
                  </w:tcBorders>
                  <w:vAlign w:val="center"/>
                </w:tcPr>
                <w:p w14:paraId="6B19F6B5">
                  <w:pPr>
                    <w:pStyle w:val="50"/>
                    <w:jc w:val="center"/>
                    <w:rPr>
                      <w:b/>
                      <w:bCs/>
                      <w:color w:val="auto"/>
                    </w:rPr>
                  </w:pPr>
                  <w:r>
                    <w:rPr>
                      <w:b/>
                      <w:bCs/>
                      <w:color w:val="auto"/>
                    </w:rPr>
                    <w:t>排放系数</w:t>
                  </w:r>
                </w:p>
              </w:tc>
              <w:tc>
                <w:tcPr>
                  <w:tcW w:w="1344" w:type="pct"/>
                  <w:tcBorders>
                    <w:tl2br w:val="nil"/>
                    <w:tr2bl w:val="nil"/>
                  </w:tcBorders>
                  <w:vAlign w:val="center"/>
                </w:tcPr>
                <w:p w14:paraId="5466F0C4">
                  <w:pPr>
                    <w:pStyle w:val="50"/>
                    <w:jc w:val="center"/>
                    <w:rPr>
                      <w:color w:val="auto"/>
                    </w:rPr>
                  </w:pPr>
                  <w:r>
                    <w:rPr>
                      <w:rFonts w:hint="eastAsia"/>
                      <w:color w:val="auto"/>
                    </w:rPr>
                    <w:t>0.13</w:t>
                  </w:r>
                  <w:r>
                    <w:rPr>
                      <w:color w:val="auto"/>
                    </w:rPr>
                    <w:t>kg/t</w:t>
                  </w:r>
                </w:p>
              </w:tc>
            </w:tr>
            <w:tr w14:paraId="2013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55" w:type="pct"/>
                  <w:gridSpan w:val="2"/>
                  <w:tcBorders>
                    <w:tl2br w:val="nil"/>
                    <w:tr2bl w:val="nil"/>
                  </w:tcBorders>
                  <w:vAlign w:val="center"/>
                </w:tcPr>
                <w:p w14:paraId="091745B9">
                  <w:pPr>
                    <w:pStyle w:val="50"/>
                    <w:jc w:val="center"/>
                    <w:rPr>
                      <w:b/>
                      <w:bCs/>
                      <w:color w:val="auto"/>
                    </w:rPr>
                  </w:pPr>
                  <w:r>
                    <w:rPr>
                      <w:b/>
                      <w:bCs/>
                      <w:color w:val="auto"/>
                    </w:rPr>
                    <w:t>废气量（Nm</w:t>
                  </w:r>
                  <w:r>
                    <w:rPr>
                      <w:b/>
                      <w:bCs/>
                      <w:color w:val="auto"/>
                      <w:vertAlign w:val="superscript"/>
                    </w:rPr>
                    <w:t>3</w:t>
                  </w:r>
                  <w:r>
                    <w:rPr>
                      <w:b/>
                      <w:bCs/>
                      <w:color w:val="auto"/>
                    </w:rPr>
                    <w:t>/t-产品）</w:t>
                  </w:r>
                </w:p>
              </w:tc>
              <w:tc>
                <w:tcPr>
                  <w:tcW w:w="1344" w:type="pct"/>
                  <w:tcBorders>
                    <w:tl2br w:val="nil"/>
                    <w:tr2bl w:val="nil"/>
                  </w:tcBorders>
                  <w:vAlign w:val="center"/>
                </w:tcPr>
                <w:p w14:paraId="504A0317">
                  <w:pPr>
                    <w:pStyle w:val="50"/>
                    <w:jc w:val="center"/>
                    <w:rPr>
                      <w:color w:val="auto"/>
                    </w:rPr>
                  </w:pPr>
                  <w:r>
                    <w:rPr>
                      <w:rFonts w:hint="eastAsia"/>
                      <w:color w:val="auto"/>
                    </w:rPr>
                    <w:t>25</w:t>
                  </w:r>
                </w:p>
              </w:tc>
            </w:tr>
            <w:tr w14:paraId="755D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484" w:type="pct"/>
                  <w:tcBorders>
                    <w:tl2br w:val="nil"/>
                    <w:tr2bl w:val="nil"/>
                  </w:tcBorders>
                  <w:vAlign w:val="center"/>
                </w:tcPr>
                <w:p w14:paraId="1313363D">
                  <w:pPr>
                    <w:pStyle w:val="50"/>
                    <w:jc w:val="center"/>
                    <w:rPr>
                      <w:b/>
                      <w:bCs/>
                      <w:color w:val="auto"/>
                    </w:rPr>
                  </w:pPr>
                  <w:r>
                    <w:rPr>
                      <w:b/>
                      <w:bCs/>
                      <w:color w:val="auto"/>
                    </w:rPr>
                    <w:t>粉尘产生情况</w:t>
                  </w:r>
                </w:p>
              </w:tc>
              <w:tc>
                <w:tcPr>
                  <w:tcW w:w="2170" w:type="pct"/>
                  <w:tcBorders>
                    <w:tl2br w:val="nil"/>
                    <w:tr2bl w:val="nil"/>
                  </w:tcBorders>
                  <w:vAlign w:val="center"/>
                </w:tcPr>
                <w:p w14:paraId="42275522">
                  <w:pPr>
                    <w:pStyle w:val="50"/>
                    <w:jc w:val="center"/>
                    <w:rPr>
                      <w:b/>
                      <w:bCs/>
                      <w:color w:val="auto"/>
                    </w:rPr>
                  </w:pPr>
                  <w:r>
                    <w:rPr>
                      <w:b/>
                      <w:bCs/>
                      <w:color w:val="auto"/>
                    </w:rPr>
                    <w:t>产生量（t/a）</w:t>
                  </w:r>
                </w:p>
              </w:tc>
              <w:tc>
                <w:tcPr>
                  <w:tcW w:w="1344" w:type="pct"/>
                  <w:tcBorders>
                    <w:tl2br w:val="nil"/>
                    <w:tr2bl w:val="nil"/>
                  </w:tcBorders>
                  <w:vAlign w:val="center"/>
                </w:tcPr>
                <w:p w14:paraId="271E198A">
                  <w:pPr>
                    <w:pStyle w:val="50"/>
                    <w:jc w:val="center"/>
                    <w:rPr>
                      <w:rFonts w:hint="default" w:eastAsia="宋体"/>
                      <w:color w:val="auto"/>
                      <w:lang w:val="en-US" w:eastAsia="zh-CN"/>
                    </w:rPr>
                  </w:pPr>
                  <w:r>
                    <w:rPr>
                      <w:rFonts w:hint="eastAsia"/>
                      <w:color w:val="auto"/>
                      <w:lang w:val="en-US" w:eastAsia="zh-CN"/>
                    </w:rPr>
                    <w:t>1.235</w:t>
                  </w:r>
                </w:p>
              </w:tc>
            </w:tr>
            <w:tr w14:paraId="33E6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55" w:type="pct"/>
                  <w:gridSpan w:val="2"/>
                  <w:tcBorders>
                    <w:tl2br w:val="nil"/>
                    <w:tr2bl w:val="nil"/>
                  </w:tcBorders>
                  <w:vAlign w:val="center"/>
                </w:tcPr>
                <w:p w14:paraId="3AE10D4E">
                  <w:pPr>
                    <w:pStyle w:val="50"/>
                    <w:jc w:val="center"/>
                    <w:rPr>
                      <w:b/>
                      <w:bCs/>
                      <w:color w:val="auto"/>
                    </w:rPr>
                  </w:pPr>
                  <w:r>
                    <w:rPr>
                      <w:b/>
                      <w:bCs/>
                      <w:color w:val="auto"/>
                    </w:rPr>
                    <w:t>风量（m</w:t>
                  </w:r>
                  <w:r>
                    <w:rPr>
                      <w:b/>
                      <w:bCs/>
                      <w:color w:val="auto"/>
                      <w:vertAlign w:val="superscript"/>
                    </w:rPr>
                    <w:t>3</w:t>
                  </w:r>
                  <w:r>
                    <w:rPr>
                      <w:b/>
                      <w:bCs/>
                      <w:color w:val="auto"/>
                    </w:rPr>
                    <w:t>/h）</w:t>
                  </w:r>
                </w:p>
              </w:tc>
              <w:tc>
                <w:tcPr>
                  <w:tcW w:w="1344" w:type="pct"/>
                  <w:tcBorders>
                    <w:tl2br w:val="nil"/>
                    <w:tr2bl w:val="nil"/>
                  </w:tcBorders>
                  <w:vAlign w:val="center"/>
                </w:tcPr>
                <w:p w14:paraId="109F296A">
                  <w:pPr>
                    <w:pStyle w:val="50"/>
                    <w:jc w:val="center"/>
                    <w:rPr>
                      <w:rFonts w:hint="default" w:eastAsia="宋体"/>
                      <w:color w:val="auto"/>
                      <w:lang w:val="en-US" w:eastAsia="zh-CN"/>
                    </w:rPr>
                  </w:pPr>
                  <w:r>
                    <w:rPr>
                      <w:rFonts w:hint="eastAsia"/>
                      <w:color w:val="auto"/>
                      <w:lang w:val="en-US" w:eastAsia="zh-CN"/>
                    </w:rPr>
                    <w:t>158.33</w:t>
                  </w:r>
                </w:p>
              </w:tc>
            </w:tr>
            <w:tr w14:paraId="202C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55" w:type="pct"/>
                  <w:gridSpan w:val="2"/>
                  <w:tcBorders>
                    <w:tl2br w:val="nil"/>
                    <w:tr2bl w:val="nil"/>
                  </w:tcBorders>
                  <w:vAlign w:val="center"/>
                </w:tcPr>
                <w:p w14:paraId="04F55FAF">
                  <w:pPr>
                    <w:pStyle w:val="50"/>
                    <w:jc w:val="center"/>
                    <w:rPr>
                      <w:b/>
                      <w:bCs/>
                      <w:color w:val="auto"/>
                    </w:rPr>
                  </w:pPr>
                  <w:r>
                    <w:rPr>
                      <w:b/>
                      <w:bCs/>
                      <w:color w:val="auto"/>
                    </w:rPr>
                    <w:t>袋除尘器处理后经全封闭车间排放除尘效率（%）</w:t>
                  </w:r>
                </w:p>
              </w:tc>
              <w:tc>
                <w:tcPr>
                  <w:tcW w:w="1344" w:type="pct"/>
                  <w:tcBorders>
                    <w:tl2br w:val="nil"/>
                    <w:tr2bl w:val="nil"/>
                  </w:tcBorders>
                  <w:vAlign w:val="center"/>
                </w:tcPr>
                <w:p w14:paraId="1D28CD75">
                  <w:pPr>
                    <w:pStyle w:val="50"/>
                    <w:jc w:val="center"/>
                    <w:rPr>
                      <w:color w:val="auto"/>
                    </w:rPr>
                  </w:pPr>
                  <w:r>
                    <w:rPr>
                      <w:rFonts w:hint="eastAsia"/>
                      <w:color w:val="auto"/>
                    </w:rPr>
                    <w:t>93</w:t>
                  </w:r>
                </w:p>
              </w:tc>
            </w:tr>
            <w:tr w14:paraId="2A06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484" w:type="pct"/>
                  <w:tcBorders>
                    <w:tl2br w:val="nil"/>
                    <w:tr2bl w:val="nil"/>
                  </w:tcBorders>
                  <w:vAlign w:val="center"/>
                </w:tcPr>
                <w:p w14:paraId="4F12848B">
                  <w:pPr>
                    <w:pStyle w:val="50"/>
                    <w:jc w:val="center"/>
                    <w:rPr>
                      <w:b/>
                      <w:bCs/>
                      <w:color w:val="auto"/>
                    </w:rPr>
                  </w:pPr>
                  <w:r>
                    <w:rPr>
                      <w:b/>
                      <w:bCs/>
                      <w:color w:val="auto"/>
                    </w:rPr>
                    <w:t>粉尘排放情况</w:t>
                  </w:r>
                </w:p>
              </w:tc>
              <w:tc>
                <w:tcPr>
                  <w:tcW w:w="2170" w:type="pct"/>
                  <w:tcBorders>
                    <w:tl2br w:val="nil"/>
                    <w:tr2bl w:val="nil"/>
                  </w:tcBorders>
                  <w:vAlign w:val="center"/>
                </w:tcPr>
                <w:p w14:paraId="7A9614BC">
                  <w:pPr>
                    <w:pStyle w:val="50"/>
                    <w:jc w:val="center"/>
                    <w:rPr>
                      <w:b/>
                      <w:bCs/>
                      <w:color w:val="auto"/>
                    </w:rPr>
                  </w:pPr>
                  <w:r>
                    <w:rPr>
                      <w:b/>
                      <w:bCs/>
                      <w:color w:val="auto"/>
                    </w:rPr>
                    <w:t>排放量（t/a）</w:t>
                  </w:r>
                </w:p>
              </w:tc>
              <w:tc>
                <w:tcPr>
                  <w:tcW w:w="1344" w:type="pct"/>
                  <w:tcBorders>
                    <w:tl2br w:val="nil"/>
                    <w:tr2bl w:val="nil"/>
                  </w:tcBorders>
                  <w:vAlign w:val="center"/>
                </w:tcPr>
                <w:p w14:paraId="20A61357">
                  <w:pPr>
                    <w:pStyle w:val="50"/>
                    <w:jc w:val="center"/>
                    <w:rPr>
                      <w:rFonts w:hint="default" w:eastAsia="宋体"/>
                      <w:color w:val="auto"/>
                      <w:lang w:val="en-US" w:eastAsia="zh-CN"/>
                    </w:rPr>
                  </w:pPr>
                  <w:r>
                    <w:rPr>
                      <w:rFonts w:hint="eastAsia"/>
                      <w:color w:val="auto"/>
                      <w:lang w:val="en-US" w:eastAsia="zh-CN"/>
                    </w:rPr>
                    <w:t>0.08645</w:t>
                  </w:r>
                </w:p>
              </w:tc>
            </w:tr>
            <w:tr w14:paraId="73D0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55" w:type="pct"/>
                  <w:gridSpan w:val="2"/>
                  <w:tcBorders>
                    <w:tl2br w:val="nil"/>
                    <w:tr2bl w:val="nil"/>
                  </w:tcBorders>
                  <w:vAlign w:val="center"/>
                </w:tcPr>
                <w:p w14:paraId="76C91689">
                  <w:pPr>
                    <w:pStyle w:val="50"/>
                    <w:jc w:val="center"/>
                    <w:rPr>
                      <w:b/>
                      <w:bCs/>
                      <w:color w:val="auto"/>
                    </w:rPr>
                  </w:pPr>
                  <w:r>
                    <w:rPr>
                      <w:b/>
                      <w:bCs/>
                      <w:color w:val="auto"/>
                    </w:rPr>
                    <w:t>排放形式</w:t>
                  </w:r>
                </w:p>
              </w:tc>
              <w:tc>
                <w:tcPr>
                  <w:tcW w:w="1344" w:type="pct"/>
                  <w:tcBorders>
                    <w:tl2br w:val="nil"/>
                    <w:tr2bl w:val="nil"/>
                  </w:tcBorders>
                  <w:vAlign w:val="center"/>
                </w:tcPr>
                <w:p w14:paraId="6C8585D5">
                  <w:pPr>
                    <w:pStyle w:val="50"/>
                    <w:jc w:val="center"/>
                    <w:rPr>
                      <w:color w:val="auto"/>
                    </w:rPr>
                  </w:pPr>
                  <w:r>
                    <w:rPr>
                      <w:color w:val="auto"/>
                    </w:rPr>
                    <w:t>无组织</w:t>
                  </w:r>
                </w:p>
              </w:tc>
            </w:tr>
          </w:tbl>
          <w:p w14:paraId="71C38507">
            <w:pPr>
              <w:ind w:firstLine="480"/>
              <w:rPr>
                <w:rFonts w:cs="Times New Roman"/>
                <w:color w:val="auto"/>
              </w:rPr>
            </w:pPr>
            <w:r>
              <w:rPr>
                <w:rFonts w:cs="Times New Roman"/>
                <w:color w:val="auto"/>
              </w:rPr>
              <w:t>本项目大气污染源产排及治理情况汇总见下表。</w:t>
            </w:r>
          </w:p>
          <w:p w14:paraId="331F444E">
            <w:pPr>
              <w:pStyle w:val="36"/>
              <w:rPr>
                <w:rFonts w:cs="Times New Roman"/>
                <w:color w:val="auto"/>
              </w:rPr>
            </w:pPr>
            <w:r>
              <w:rPr>
                <w:rFonts w:cs="Times New Roman"/>
                <w:color w:val="auto"/>
              </w:rPr>
              <w:t>表4-</w:t>
            </w:r>
            <w:r>
              <w:rPr>
                <w:rFonts w:hint="eastAsia" w:cs="Times New Roman"/>
                <w:color w:val="auto"/>
                <w:lang w:val="en-US" w:eastAsia="zh-CN"/>
              </w:rPr>
              <w:t>6</w:t>
            </w:r>
            <w:r>
              <w:rPr>
                <w:rFonts w:cs="Times New Roman"/>
                <w:color w:val="auto"/>
              </w:rPr>
              <w:t xml:space="preserve">  大气污染物产生、排放、治理情况汇总表</w:t>
            </w:r>
          </w:p>
          <w:tbl>
            <w:tblPr>
              <w:tblStyle w:val="27"/>
              <w:tblW w:w="4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0"/>
              <w:gridCol w:w="275"/>
              <w:gridCol w:w="698"/>
              <w:gridCol w:w="706"/>
              <w:gridCol w:w="644"/>
              <w:gridCol w:w="585"/>
              <w:gridCol w:w="1304"/>
              <w:gridCol w:w="675"/>
              <w:gridCol w:w="780"/>
              <w:gridCol w:w="1235"/>
              <w:gridCol w:w="28"/>
            </w:tblGrid>
            <w:tr w14:paraId="5C75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9" w:type="pct"/>
                <w:trHeight w:val="340" w:hRule="atLeast"/>
                <w:jc w:val="center"/>
              </w:trPr>
              <w:tc>
                <w:tcPr>
                  <w:tcW w:w="365" w:type="pct"/>
                  <w:gridSpan w:val="2"/>
                  <w:vMerge w:val="restart"/>
                  <w:tcBorders>
                    <w:tl2br w:val="nil"/>
                    <w:tr2bl w:val="nil"/>
                  </w:tcBorders>
                  <w:tcMar>
                    <w:left w:w="28" w:type="dxa"/>
                    <w:right w:w="28" w:type="dxa"/>
                  </w:tcMar>
                  <w:vAlign w:val="center"/>
                </w:tcPr>
                <w:p w14:paraId="73F6C97D">
                  <w:pPr>
                    <w:pStyle w:val="50"/>
                    <w:jc w:val="center"/>
                    <w:rPr>
                      <w:b/>
                      <w:bCs/>
                      <w:color w:val="auto"/>
                    </w:rPr>
                  </w:pPr>
                  <w:r>
                    <w:rPr>
                      <w:b/>
                      <w:bCs/>
                      <w:color w:val="auto"/>
                    </w:rPr>
                    <w:t>污染源</w:t>
                  </w:r>
                </w:p>
              </w:tc>
              <w:tc>
                <w:tcPr>
                  <w:tcW w:w="486" w:type="pct"/>
                  <w:vMerge w:val="restart"/>
                  <w:tcBorders>
                    <w:tl2br w:val="nil"/>
                    <w:tr2bl w:val="nil"/>
                  </w:tcBorders>
                  <w:tcMar>
                    <w:left w:w="28" w:type="dxa"/>
                    <w:right w:w="28" w:type="dxa"/>
                  </w:tcMar>
                  <w:vAlign w:val="center"/>
                </w:tcPr>
                <w:p w14:paraId="73E36F07">
                  <w:pPr>
                    <w:pStyle w:val="50"/>
                    <w:jc w:val="center"/>
                    <w:rPr>
                      <w:b/>
                      <w:bCs/>
                      <w:color w:val="auto"/>
                    </w:rPr>
                  </w:pPr>
                  <w:r>
                    <w:rPr>
                      <w:b/>
                      <w:bCs/>
                      <w:color w:val="auto"/>
                    </w:rPr>
                    <w:t>排放方式</w:t>
                  </w:r>
                </w:p>
              </w:tc>
              <w:tc>
                <w:tcPr>
                  <w:tcW w:w="491" w:type="pct"/>
                  <w:vMerge w:val="restart"/>
                  <w:tcBorders>
                    <w:tl2br w:val="nil"/>
                    <w:tr2bl w:val="nil"/>
                  </w:tcBorders>
                  <w:tcMar>
                    <w:left w:w="28" w:type="dxa"/>
                    <w:right w:w="28" w:type="dxa"/>
                  </w:tcMar>
                  <w:vAlign w:val="center"/>
                </w:tcPr>
                <w:p w14:paraId="07BFDCE7">
                  <w:pPr>
                    <w:pStyle w:val="50"/>
                    <w:jc w:val="center"/>
                    <w:rPr>
                      <w:b/>
                      <w:bCs/>
                      <w:color w:val="auto"/>
                    </w:rPr>
                  </w:pPr>
                  <w:r>
                    <w:rPr>
                      <w:b/>
                      <w:bCs/>
                      <w:color w:val="auto"/>
                    </w:rPr>
                    <w:t>污染因子</w:t>
                  </w:r>
                </w:p>
              </w:tc>
              <w:tc>
                <w:tcPr>
                  <w:tcW w:w="855" w:type="pct"/>
                  <w:gridSpan w:val="2"/>
                  <w:tcBorders>
                    <w:tl2br w:val="nil"/>
                    <w:tr2bl w:val="nil"/>
                  </w:tcBorders>
                  <w:tcMar>
                    <w:left w:w="28" w:type="dxa"/>
                    <w:right w:w="28" w:type="dxa"/>
                  </w:tcMar>
                  <w:vAlign w:val="center"/>
                </w:tcPr>
                <w:p w14:paraId="6758F464">
                  <w:pPr>
                    <w:pStyle w:val="50"/>
                    <w:jc w:val="center"/>
                    <w:rPr>
                      <w:b/>
                      <w:bCs/>
                      <w:color w:val="auto"/>
                    </w:rPr>
                  </w:pPr>
                  <w:r>
                    <w:rPr>
                      <w:b/>
                      <w:bCs/>
                      <w:color w:val="auto"/>
                    </w:rPr>
                    <w:t>污染物产生情况</w:t>
                  </w:r>
                </w:p>
              </w:tc>
              <w:tc>
                <w:tcPr>
                  <w:tcW w:w="908" w:type="pct"/>
                  <w:tcBorders>
                    <w:tl2br w:val="nil"/>
                    <w:tr2bl w:val="nil"/>
                  </w:tcBorders>
                  <w:tcMar>
                    <w:left w:w="28" w:type="dxa"/>
                    <w:right w:w="28" w:type="dxa"/>
                  </w:tcMar>
                  <w:vAlign w:val="center"/>
                </w:tcPr>
                <w:p w14:paraId="07091EA9">
                  <w:pPr>
                    <w:pStyle w:val="50"/>
                    <w:jc w:val="center"/>
                    <w:rPr>
                      <w:b/>
                      <w:bCs/>
                      <w:color w:val="auto"/>
                    </w:rPr>
                  </w:pPr>
                  <w:r>
                    <w:rPr>
                      <w:b/>
                      <w:bCs/>
                      <w:color w:val="auto"/>
                    </w:rPr>
                    <w:t>治理措施</w:t>
                  </w:r>
                </w:p>
              </w:tc>
              <w:tc>
                <w:tcPr>
                  <w:tcW w:w="1013" w:type="pct"/>
                  <w:gridSpan w:val="2"/>
                  <w:tcBorders>
                    <w:tl2br w:val="nil"/>
                    <w:tr2bl w:val="nil"/>
                  </w:tcBorders>
                  <w:tcMar>
                    <w:left w:w="28" w:type="dxa"/>
                    <w:right w:w="28" w:type="dxa"/>
                  </w:tcMar>
                  <w:vAlign w:val="center"/>
                </w:tcPr>
                <w:p w14:paraId="18498064">
                  <w:pPr>
                    <w:pStyle w:val="50"/>
                    <w:jc w:val="center"/>
                    <w:rPr>
                      <w:b/>
                      <w:bCs/>
                      <w:color w:val="auto"/>
                    </w:rPr>
                  </w:pPr>
                  <w:r>
                    <w:rPr>
                      <w:b/>
                      <w:bCs/>
                      <w:color w:val="auto"/>
                    </w:rPr>
                    <w:t>污染物排放情况</w:t>
                  </w:r>
                </w:p>
              </w:tc>
              <w:tc>
                <w:tcPr>
                  <w:tcW w:w="860" w:type="pct"/>
                  <w:tcBorders>
                    <w:tl2br w:val="nil"/>
                    <w:tr2bl w:val="nil"/>
                  </w:tcBorders>
                  <w:tcMar>
                    <w:left w:w="28" w:type="dxa"/>
                    <w:right w:w="28" w:type="dxa"/>
                  </w:tcMar>
                  <w:vAlign w:val="center"/>
                </w:tcPr>
                <w:p w14:paraId="4E890240">
                  <w:pPr>
                    <w:pStyle w:val="50"/>
                    <w:jc w:val="center"/>
                    <w:rPr>
                      <w:b/>
                      <w:bCs/>
                      <w:color w:val="auto"/>
                    </w:rPr>
                  </w:pPr>
                  <w:r>
                    <w:rPr>
                      <w:b/>
                      <w:bCs/>
                      <w:color w:val="auto"/>
                    </w:rPr>
                    <w:t>达标情况</w:t>
                  </w:r>
                </w:p>
              </w:tc>
            </w:tr>
            <w:tr w14:paraId="4295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5" w:type="pct"/>
                  <w:gridSpan w:val="2"/>
                  <w:vMerge w:val="continue"/>
                  <w:tcBorders>
                    <w:tl2br w:val="nil"/>
                    <w:tr2bl w:val="nil"/>
                  </w:tcBorders>
                  <w:tcMar>
                    <w:left w:w="28" w:type="dxa"/>
                    <w:right w:w="28" w:type="dxa"/>
                  </w:tcMar>
                  <w:vAlign w:val="center"/>
                </w:tcPr>
                <w:p w14:paraId="09180636">
                  <w:pPr>
                    <w:pStyle w:val="50"/>
                    <w:jc w:val="center"/>
                    <w:rPr>
                      <w:color w:val="auto"/>
                    </w:rPr>
                  </w:pPr>
                </w:p>
              </w:tc>
              <w:tc>
                <w:tcPr>
                  <w:tcW w:w="486" w:type="pct"/>
                  <w:vMerge w:val="continue"/>
                  <w:tcBorders>
                    <w:tl2br w:val="nil"/>
                    <w:tr2bl w:val="nil"/>
                  </w:tcBorders>
                  <w:tcMar>
                    <w:left w:w="28" w:type="dxa"/>
                    <w:right w:w="28" w:type="dxa"/>
                  </w:tcMar>
                  <w:vAlign w:val="center"/>
                </w:tcPr>
                <w:p w14:paraId="4D636875">
                  <w:pPr>
                    <w:pStyle w:val="50"/>
                    <w:jc w:val="center"/>
                    <w:rPr>
                      <w:color w:val="auto"/>
                    </w:rPr>
                  </w:pPr>
                </w:p>
              </w:tc>
              <w:tc>
                <w:tcPr>
                  <w:tcW w:w="491" w:type="pct"/>
                  <w:vMerge w:val="continue"/>
                  <w:tcBorders>
                    <w:tl2br w:val="nil"/>
                    <w:tr2bl w:val="nil"/>
                  </w:tcBorders>
                  <w:tcMar>
                    <w:left w:w="28" w:type="dxa"/>
                    <w:right w:w="28" w:type="dxa"/>
                  </w:tcMar>
                  <w:vAlign w:val="center"/>
                </w:tcPr>
                <w:p w14:paraId="7954A1ED">
                  <w:pPr>
                    <w:pStyle w:val="50"/>
                    <w:jc w:val="center"/>
                    <w:rPr>
                      <w:color w:val="auto"/>
                    </w:rPr>
                  </w:pPr>
                </w:p>
              </w:tc>
              <w:tc>
                <w:tcPr>
                  <w:tcW w:w="448" w:type="pct"/>
                  <w:tcBorders>
                    <w:tl2br w:val="nil"/>
                    <w:tr2bl w:val="nil"/>
                  </w:tcBorders>
                  <w:tcMar>
                    <w:left w:w="28" w:type="dxa"/>
                    <w:right w:w="28" w:type="dxa"/>
                  </w:tcMar>
                  <w:vAlign w:val="center"/>
                </w:tcPr>
                <w:p w14:paraId="37F91113">
                  <w:pPr>
                    <w:pStyle w:val="50"/>
                    <w:jc w:val="center"/>
                    <w:rPr>
                      <w:b/>
                      <w:bCs/>
                      <w:color w:val="auto"/>
                    </w:rPr>
                  </w:pPr>
                  <w:r>
                    <w:rPr>
                      <w:b/>
                      <w:bCs/>
                      <w:color w:val="auto"/>
                    </w:rPr>
                    <w:t>mg/m</w:t>
                  </w:r>
                  <w:r>
                    <w:rPr>
                      <w:b/>
                      <w:bCs/>
                      <w:color w:val="auto"/>
                      <w:vertAlign w:val="superscript"/>
                    </w:rPr>
                    <w:t>3</w:t>
                  </w:r>
                </w:p>
              </w:tc>
              <w:tc>
                <w:tcPr>
                  <w:tcW w:w="407" w:type="pct"/>
                  <w:tcBorders>
                    <w:tl2br w:val="nil"/>
                    <w:tr2bl w:val="nil"/>
                  </w:tcBorders>
                  <w:tcMar>
                    <w:left w:w="28" w:type="dxa"/>
                    <w:right w:w="28" w:type="dxa"/>
                  </w:tcMar>
                  <w:vAlign w:val="center"/>
                </w:tcPr>
                <w:p w14:paraId="22C58598">
                  <w:pPr>
                    <w:pStyle w:val="50"/>
                    <w:jc w:val="center"/>
                    <w:rPr>
                      <w:b/>
                      <w:bCs/>
                      <w:color w:val="auto"/>
                    </w:rPr>
                  </w:pPr>
                  <w:r>
                    <w:rPr>
                      <w:b/>
                      <w:bCs/>
                      <w:color w:val="auto"/>
                    </w:rPr>
                    <w:t>t/a</w:t>
                  </w:r>
                </w:p>
              </w:tc>
              <w:tc>
                <w:tcPr>
                  <w:tcW w:w="908" w:type="pct"/>
                  <w:tcBorders>
                    <w:tl2br w:val="nil"/>
                    <w:tr2bl w:val="nil"/>
                  </w:tcBorders>
                  <w:tcMar>
                    <w:left w:w="28" w:type="dxa"/>
                    <w:right w:w="28" w:type="dxa"/>
                  </w:tcMar>
                  <w:vAlign w:val="center"/>
                </w:tcPr>
                <w:p w14:paraId="12E6E2DF">
                  <w:pPr>
                    <w:pStyle w:val="50"/>
                    <w:jc w:val="center"/>
                    <w:rPr>
                      <w:b/>
                      <w:bCs/>
                      <w:color w:val="auto"/>
                    </w:rPr>
                  </w:pPr>
                  <w:r>
                    <w:rPr>
                      <w:b/>
                      <w:bCs/>
                      <w:color w:val="auto"/>
                    </w:rPr>
                    <w:t>设施名称、效率等</w:t>
                  </w:r>
                </w:p>
              </w:tc>
              <w:tc>
                <w:tcPr>
                  <w:tcW w:w="470" w:type="pct"/>
                  <w:tcBorders>
                    <w:tl2br w:val="nil"/>
                    <w:tr2bl w:val="nil"/>
                  </w:tcBorders>
                  <w:tcMar>
                    <w:left w:w="28" w:type="dxa"/>
                    <w:right w:w="28" w:type="dxa"/>
                  </w:tcMar>
                  <w:vAlign w:val="center"/>
                </w:tcPr>
                <w:p w14:paraId="111F6C36">
                  <w:pPr>
                    <w:pStyle w:val="50"/>
                    <w:jc w:val="center"/>
                    <w:rPr>
                      <w:b/>
                      <w:bCs/>
                      <w:color w:val="auto"/>
                    </w:rPr>
                  </w:pPr>
                  <w:r>
                    <w:rPr>
                      <w:b/>
                      <w:bCs/>
                      <w:color w:val="auto"/>
                    </w:rPr>
                    <w:t>mg/m</w:t>
                  </w:r>
                  <w:r>
                    <w:rPr>
                      <w:b/>
                      <w:bCs/>
                      <w:color w:val="auto"/>
                      <w:vertAlign w:val="superscript"/>
                    </w:rPr>
                    <w:t>3</w:t>
                  </w:r>
                </w:p>
              </w:tc>
              <w:tc>
                <w:tcPr>
                  <w:tcW w:w="543" w:type="pct"/>
                  <w:tcBorders>
                    <w:tl2br w:val="nil"/>
                    <w:tr2bl w:val="nil"/>
                  </w:tcBorders>
                  <w:tcMar>
                    <w:left w:w="28" w:type="dxa"/>
                    <w:right w:w="28" w:type="dxa"/>
                  </w:tcMar>
                  <w:vAlign w:val="center"/>
                </w:tcPr>
                <w:p w14:paraId="25D31A16">
                  <w:pPr>
                    <w:pStyle w:val="50"/>
                    <w:jc w:val="center"/>
                    <w:rPr>
                      <w:b/>
                      <w:bCs/>
                      <w:color w:val="auto"/>
                    </w:rPr>
                  </w:pPr>
                  <w:r>
                    <w:rPr>
                      <w:b/>
                      <w:bCs/>
                      <w:color w:val="auto"/>
                    </w:rPr>
                    <w:t>t/a</w:t>
                  </w:r>
                </w:p>
              </w:tc>
              <w:tc>
                <w:tcPr>
                  <w:tcW w:w="879" w:type="pct"/>
                  <w:gridSpan w:val="2"/>
                  <w:tcBorders>
                    <w:tl2br w:val="nil"/>
                    <w:tr2bl w:val="nil"/>
                  </w:tcBorders>
                  <w:tcMar>
                    <w:left w:w="28" w:type="dxa"/>
                    <w:right w:w="28" w:type="dxa"/>
                  </w:tcMar>
                  <w:vAlign w:val="center"/>
                </w:tcPr>
                <w:p w14:paraId="65CDF012">
                  <w:pPr>
                    <w:pStyle w:val="50"/>
                    <w:jc w:val="center"/>
                    <w:rPr>
                      <w:color w:val="auto"/>
                    </w:rPr>
                  </w:pPr>
                </w:p>
              </w:tc>
            </w:tr>
            <w:tr w14:paraId="28B4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5" w:type="pct"/>
                  <w:gridSpan w:val="2"/>
                  <w:tcBorders>
                    <w:tl2br w:val="nil"/>
                    <w:tr2bl w:val="nil"/>
                  </w:tcBorders>
                  <w:tcMar>
                    <w:left w:w="28" w:type="dxa"/>
                    <w:right w:w="28" w:type="dxa"/>
                  </w:tcMar>
                  <w:vAlign w:val="center"/>
                </w:tcPr>
                <w:p w14:paraId="0203B79B">
                  <w:pPr>
                    <w:pStyle w:val="50"/>
                    <w:jc w:val="center"/>
                    <w:rPr>
                      <w:color w:val="auto"/>
                    </w:rPr>
                  </w:pPr>
                  <w:r>
                    <w:rPr>
                      <w:color w:val="auto"/>
                    </w:rPr>
                    <w:t>砂石料进料粉尘</w:t>
                  </w:r>
                </w:p>
              </w:tc>
              <w:tc>
                <w:tcPr>
                  <w:tcW w:w="486" w:type="pct"/>
                  <w:vMerge w:val="restart"/>
                  <w:tcBorders>
                    <w:tl2br w:val="nil"/>
                    <w:tr2bl w:val="nil"/>
                  </w:tcBorders>
                  <w:tcMar>
                    <w:left w:w="28" w:type="dxa"/>
                    <w:right w:w="28" w:type="dxa"/>
                  </w:tcMar>
                  <w:vAlign w:val="center"/>
                </w:tcPr>
                <w:p w14:paraId="37F831EC">
                  <w:pPr>
                    <w:pStyle w:val="50"/>
                    <w:jc w:val="center"/>
                    <w:rPr>
                      <w:color w:val="auto"/>
                    </w:rPr>
                  </w:pPr>
                  <w:r>
                    <w:rPr>
                      <w:color w:val="auto"/>
                    </w:rPr>
                    <w:t>无组织</w:t>
                  </w:r>
                </w:p>
                <w:p w14:paraId="5E97689A">
                  <w:pPr>
                    <w:pStyle w:val="50"/>
                    <w:jc w:val="center"/>
                    <w:rPr>
                      <w:color w:val="auto"/>
                    </w:rPr>
                  </w:pPr>
                  <w:r>
                    <w:rPr>
                      <w:color w:val="auto"/>
                    </w:rPr>
                    <w:t>排放</w:t>
                  </w:r>
                </w:p>
              </w:tc>
              <w:tc>
                <w:tcPr>
                  <w:tcW w:w="491" w:type="pct"/>
                  <w:tcBorders>
                    <w:tl2br w:val="nil"/>
                    <w:tr2bl w:val="nil"/>
                  </w:tcBorders>
                  <w:tcMar>
                    <w:left w:w="28" w:type="dxa"/>
                    <w:right w:w="28" w:type="dxa"/>
                  </w:tcMar>
                  <w:vAlign w:val="center"/>
                </w:tcPr>
                <w:p w14:paraId="74823EDA">
                  <w:pPr>
                    <w:pStyle w:val="50"/>
                    <w:jc w:val="center"/>
                    <w:rPr>
                      <w:color w:val="auto"/>
                    </w:rPr>
                  </w:pPr>
                  <w:r>
                    <w:rPr>
                      <w:color w:val="auto"/>
                    </w:rPr>
                    <w:t>颗粒物</w:t>
                  </w:r>
                </w:p>
              </w:tc>
              <w:tc>
                <w:tcPr>
                  <w:tcW w:w="448" w:type="pct"/>
                  <w:tcBorders>
                    <w:tl2br w:val="nil"/>
                    <w:tr2bl w:val="nil"/>
                  </w:tcBorders>
                  <w:tcMar>
                    <w:left w:w="28" w:type="dxa"/>
                    <w:right w:w="28" w:type="dxa"/>
                  </w:tcMar>
                  <w:vAlign w:val="center"/>
                </w:tcPr>
                <w:p w14:paraId="372081BD">
                  <w:pPr>
                    <w:pStyle w:val="50"/>
                    <w:jc w:val="center"/>
                    <w:rPr>
                      <w:color w:val="auto"/>
                    </w:rPr>
                  </w:pPr>
                  <w:r>
                    <w:rPr>
                      <w:color w:val="auto"/>
                    </w:rPr>
                    <w:t>-</w:t>
                  </w:r>
                </w:p>
              </w:tc>
              <w:tc>
                <w:tcPr>
                  <w:tcW w:w="407" w:type="pct"/>
                  <w:tcBorders>
                    <w:tl2br w:val="nil"/>
                    <w:tr2bl w:val="nil"/>
                  </w:tcBorders>
                  <w:tcMar>
                    <w:left w:w="28" w:type="dxa"/>
                    <w:right w:w="28" w:type="dxa"/>
                  </w:tcMar>
                  <w:vAlign w:val="center"/>
                </w:tcPr>
                <w:p w14:paraId="434B71A8">
                  <w:pPr>
                    <w:pStyle w:val="50"/>
                    <w:jc w:val="center"/>
                    <w:rPr>
                      <w:rFonts w:hint="default" w:eastAsia="宋体"/>
                      <w:color w:val="auto"/>
                      <w:lang w:val="en-US" w:eastAsia="zh-CN"/>
                    </w:rPr>
                  </w:pPr>
                  <w:r>
                    <w:rPr>
                      <w:rFonts w:hint="eastAsia"/>
                      <w:color w:val="auto"/>
                      <w:lang w:val="en-US" w:eastAsia="zh-CN"/>
                    </w:rPr>
                    <w:t>0.32</w:t>
                  </w:r>
                </w:p>
              </w:tc>
              <w:tc>
                <w:tcPr>
                  <w:tcW w:w="908" w:type="pct"/>
                  <w:tcBorders>
                    <w:tl2br w:val="nil"/>
                    <w:tr2bl w:val="nil"/>
                  </w:tcBorders>
                  <w:tcMar>
                    <w:left w:w="28" w:type="dxa"/>
                    <w:right w:w="28" w:type="dxa"/>
                  </w:tcMar>
                  <w:vAlign w:val="center"/>
                </w:tcPr>
                <w:p w14:paraId="1A383019">
                  <w:pPr>
                    <w:pStyle w:val="50"/>
                    <w:jc w:val="center"/>
                    <w:rPr>
                      <w:color w:val="auto"/>
                    </w:rPr>
                  </w:pPr>
                  <w:r>
                    <w:rPr>
                      <w:color w:val="auto"/>
                    </w:rPr>
                    <w:t>全封闭进料斗+雾炮洒水抑尘，抑尘效率85%</w:t>
                  </w:r>
                </w:p>
              </w:tc>
              <w:tc>
                <w:tcPr>
                  <w:tcW w:w="470" w:type="pct"/>
                  <w:tcBorders>
                    <w:tl2br w:val="nil"/>
                    <w:tr2bl w:val="nil"/>
                  </w:tcBorders>
                  <w:tcMar>
                    <w:left w:w="28" w:type="dxa"/>
                    <w:right w:w="28" w:type="dxa"/>
                  </w:tcMar>
                  <w:vAlign w:val="center"/>
                </w:tcPr>
                <w:p w14:paraId="747BCECA">
                  <w:pPr>
                    <w:pStyle w:val="50"/>
                    <w:jc w:val="center"/>
                    <w:rPr>
                      <w:color w:val="auto"/>
                    </w:rPr>
                  </w:pPr>
                  <w:r>
                    <w:rPr>
                      <w:color w:val="auto"/>
                    </w:rPr>
                    <w:t>-</w:t>
                  </w:r>
                </w:p>
              </w:tc>
              <w:tc>
                <w:tcPr>
                  <w:tcW w:w="543" w:type="pct"/>
                  <w:tcBorders>
                    <w:tl2br w:val="nil"/>
                    <w:tr2bl w:val="nil"/>
                  </w:tcBorders>
                  <w:tcMar>
                    <w:left w:w="28" w:type="dxa"/>
                    <w:right w:w="28" w:type="dxa"/>
                  </w:tcMar>
                  <w:vAlign w:val="center"/>
                </w:tcPr>
                <w:p w14:paraId="05F5D4AA">
                  <w:pPr>
                    <w:pStyle w:val="50"/>
                    <w:jc w:val="center"/>
                    <w:rPr>
                      <w:rFonts w:hint="default" w:eastAsia="宋体"/>
                      <w:color w:val="auto"/>
                      <w:lang w:val="en-US" w:eastAsia="zh-CN"/>
                    </w:rPr>
                  </w:pPr>
                  <w:r>
                    <w:rPr>
                      <w:rFonts w:hint="eastAsia"/>
                      <w:color w:val="auto"/>
                      <w:lang w:val="en-US" w:eastAsia="zh-CN"/>
                    </w:rPr>
                    <w:t>0.048</w:t>
                  </w:r>
                </w:p>
              </w:tc>
              <w:tc>
                <w:tcPr>
                  <w:tcW w:w="879" w:type="pct"/>
                  <w:gridSpan w:val="2"/>
                  <w:vMerge w:val="restart"/>
                  <w:tcBorders>
                    <w:tl2br w:val="nil"/>
                    <w:tr2bl w:val="nil"/>
                  </w:tcBorders>
                  <w:tcMar>
                    <w:left w:w="28" w:type="dxa"/>
                    <w:right w:w="28" w:type="dxa"/>
                  </w:tcMar>
                  <w:vAlign w:val="center"/>
                </w:tcPr>
                <w:p w14:paraId="03214B35">
                  <w:pPr>
                    <w:pStyle w:val="50"/>
                    <w:jc w:val="center"/>
                    <w:rPr>
                      <w:color w:val="auto"/>
                    </w:rPr>
                  </w:pPr>
                  <w:r>
                    <w:rPr>
                      <w:color w:val="auto"/>
                    </w:rPr>
                    <w:t>《水泥工业大气污染物排放标准》（GB4915-2013）表3标准限值要求，颗粒物0.5mg/m</w:t>
                  </w:r>
                  <w:r>
                    <w:rPr>
                      <w:color w:val="auto"/>
                      <w:vertAlign w:val="superscript"/>
                    </w:rPr>
                    <w:t>3</w:t>
                  </w:r>
                  <w:r>
                    <w:rPr>
                      <w:color w:val="auto"/>
                    </w:rPr>
                    <w:t>.</w:t>
                  </w:r>
                </w:p>
              </w:tc>
            </w:tr>
            <w:tr w14:paraId="0289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5" w:type="pct"/>
                  <w:gridSpan w:val="2"/>
                  <w:tcBorders>
                    <w:tl2br w:val="nil"/>
                    <w:tr2bl w:val="nil"/>
                  </w:tcBorders>
                  <w:tcMar>
                    <w:left w:w="28" w:type="dxa"/>
                    <w:right w:w="28" w:type="dxa"/>
                  </w:tcMar>
                  <w:vAlign w:val="center"/>
                </w:tcPr>
                <w:p w14:paraId="37970E76">
                  <w:pPr>
                    <w:pStyle w:val="50"/>
                    <w:jc w:val="center"/>
                    <w:rPr>
                      <w:color w:val="auto"/>
                    </w:rPr>
                  </w:pPr>
                  <w:r>
                    <w:rPr>
                      <w:color w:val="auto"/>
                    </w:rPr>
                    <w:t>砂石料装卸粉尘</w:t>
                  </w:r>
                </w:p>
              </w:tc>
              <w:tc>
                <w:tcPr>
                  <w:tcW w:w="486" w:type="pct"/>
                  <w:vMerge w:val="continue"/>
                  <w:tcBorders>
                    <w:tl2br w:val="nil"/>
                    <w:tr2bl w:val="nil"/>
                  </w:tcBorders>
                  <w:tcMar>
                    <w:left w:w="28" w:type="dxa"/>
                    <w:right w:w="28" w:type="dxa"/>
                  </w:tcMar>
                  <w:vAlign w:val="center"/>
                </w:tcPr>
                <w:p w14:paraId="61E895C6">
                  <w:pPr>
                    <w:pStyle w:val="50"/>
                    <w:jc w:val="center"/>
                    <w:rPr>
                      <w:color w:val="auto"/>
                    </w:rPr>
                  </w:pPr>
                </w:p>
              </w:tc>
              <w:tc>
                <w:tcPr>
                  <w:tcW w:w="491" w:type="pct"/>
                  <w:tcBorders>
                    <w:tl2br w:val="nil"/>
                    <w:tr2bl w:val="nil"/>
                  </w:tcBorders>
                  <w:tcMar>
                    <w:left w:w="28" w:type="dxa"/>
                    <w:right w:w="28" w:type="dxa"/>
                  </w:tcMar>
                  <w:vAlign w:val="center"/>
                </w:tcPr>
                <w:p w14:paraId="43C79D32">
                  <w:pPr>
                    <w:pStyle w:val="50"/>
                    <w:jc w:val="center"/>
                    <w:rPr>
                      <w:color w:val="auto"/>
                    </w:rPr>
                  </w:pPr>
                  <w:r>
                    <w:rPr>
                      <w:color w:val="auto"/>
                    </w:rPr>
                    <w:t>颗粒物</w:t>
                  </w:r>
                </w:p>
              </w:tc>
              <w:tc>
                <w:tcPr>
                  <w:tcW w:w="448" w:type="pct"/>
                  <w:tcBorders>
                    <w:tl2br w:val="nil"/>
                    <w:tr2bl w:val="nil"/>
                  </w:tcBorders>
                  <w:tcMar>
                    <w:left w:w="28" w:type="dxa"/>
                    <w:right w:w="28" w:type="dxa"/>
                  </w:tcMar>
                  <w:vAlign w:val="center"/>
                </w:tcPr>
                <w:p w14:paraId="331AFA9A">
                  <w:pPr>
                    <w:pStyle w:val="50"/>
                    <w:jc w:val="center"/>
                    <w:rPr>
                      <w:color w:val="auto"/>
                    </w:rPr>
                  </w:pPr>
                  <w:r>
                    <w:rPr>
                      <w:color w:val="auto"/>
                    </w:rPr>
                    <w:t>-</w:t>
                  </w:r>
                </w:p>
              </w:tc>
              <w:tc>
                <w:tcPr>
                  <w:tcW w:w="407" w:type="pct"/>
                  <w:tcBorders>
                    <w:tl2br w:val="nil"/>
                    <w:tr2bl w:val="nil"/>
                  </w:tcBorders>
                  <w:tcMar>
                    <w:left w:w="28" w:type="dxa"/>
                    <w:right w:w="28" w:type="dxa"/>
                  </w:tcMar>
                  <w:vAlign w:val="center"/>
                </w:tcPr>
                <w:p w14:paraId="1E7EE081">
                  <w:pPr>
                    <w:pStyle w:val="50"/>
                    <w:jc w:val="center"/>
                    <w:rPr>
                      <w:rFonts w:hint="default" w:eastAsia="宋体"/>
                      <w:color w:val="auto"/>
                      <w:lang w:val="en-US" w:eastAsia="zh-CN"/>
                    </w:rPr>
                  </w:pPr>
                  <w:r>
                    <w:rPr>
                      <w:rFonts w:hint="eastAsia"/>
                      <w:color w:val="auto"/>
                      <w:lang w:val="en-US" w:eastAsia="zh-CN"/>
                    </w:rPr>
                    <w:t>0.16</w:t>
                  </w:r>
                </w:p>
              </w:tc>
              <w:tc>
                <w:tcPr>
                  <w:tcW w:w="908" w:type="pct"/>
                  <w:tcBorders>
                    <w:tl2br w:val="nil"/>
                    <w:tr2bl w:val="nil"/>
                  </w:tcBorders>
                  <w:tcMar>
                    <w:left w:w="28" w:type="dxa"/>
                    <w:right w:w="28" w:type="dxa"/>
                  </w:tcMar>
                  <w:vAlign w:val="center"/>
                </w:tcPr>
                <w:p w14:paraId="7429D51F">
                  <w:pPr>
                    <w:pStyle w:val="50"/>
                    <w:jc w:val="center"/>
                    <w:rPr>
                      <w:color w:val="auto"/>
                    </w:rPr>
                  </w:pPr>
                  <w:r>
                    <w:rPr>
                      <w:color w:val="auto"/>
                    </w:rPr>
                    <w:t>全封闭堆场+洒水抑尘，抑尘效率达85%</w:t>
                  </w:r>
                </w:p>
              </w:tc>
              <w:tc>
                <w:tcPr>
                  <w:tcW w:w="470" w:type="pct"/>
                  <w:tcBorders>
                    <w:tl2br w:val="nil"/>
                    <w:tr2bl w:val="nil"/>
                  </w:tcBorders>
                  <w:tcMar>
                    <w:left w:w="28" w:type="dxa"/>
                    <w:right w:w="28" w:type="dxa"/>
                  </w:tcMar>
                  <w:vAlign w:val="center"/>
                </w:tcPr>
                <w:p w14:paraId="5F4A17BE">
                  <w:pPr>
                    <w:pStyle w:val="50"/>
                    <w:jc w:val="center"/>
                    <w:rPr>
                      <w:color w:val="auto"/>
                    </w:rPr>
                  </w:pPr>
                  <w:r>
                    <w:rPr>
                      <w:color w:val="auto"/>
                    </w:rPr>
                    <w:t>-</w:t>
                  </w:r>
                </w:p>
              </w:tc>
              <w:tc>
                <w:tcPr>
                  <w:tcW w:w="543" w:type="pct"/>
                  <w:tcBorders>
                    <w:tl2br w:val="nil"/>
                    <w:tr2bl w:val="nil"/>
                  </w:tcBorders>
                  <w:tcMar>
                    <w:left w:w="28" w:type="dxa"/>
                    <w:right w:w="28" w:type="dxa"/>
                  </w:tcMar>
                  <w:vAlign w:val="center"/>
                </w:tcPr>
                <w:p w14:paraId="6F49C06C">
                  <w:pPr>
                    <w:pStyle w:val="50"/>
                    <w:jc w:val="center"/>
                    <w:rPr>
                      <w:rFonts w:hint="default" w:eastAsia="宋体"/>
                      <w:color w:val="auto"/>
                      <w:lang w:val="en-US" w:eastAsia="zh-CN"/>
                    </w:rPr>
                  </w:pPr>
                  <w:r>
                    <w:rPr>
                      <w:rFonts w:hint="eastAsia"/>
                      <w:color w:val="auto"/>
                    </w:rPr>
                    <w:t>0.</w:t>
                  </w:r>
                  <w:r>
                    <w:rPr>
                      <w:rFonts w:hint="eastAsia"/>
                      <w:color w:val="auto"/>
                      <w:lang w:val="en-US" w:eastAsia="zh-CN"/>
                    </w:rPr>
                    <w:t>024</w:t>
                  </w:r>
                </w:p>
              </w:tc>
              <w:tc>
                <w:tcPr>
                  <w:tcW w:w="879" w:type="pct"/>
                  <w:gridSpan w:val="2"/>
                  <w:vMerge w:val="continue"/>
                  <w:tcBorders>
                    <w:tl2br w:val="nil"/>
                    <w:tr2bl w:val="nil"/>
                  </w:tcBorders>
                  <w:tcMar>
                    <w:left w:w="28" w:type="dxa"/>
                    <w:right w:w="28" w:type="dxa"/>
                  </w:tcMar>
                  <w:vAlign w:val="center"/>
                </w:tcPr>
                <w:p w14:paraId="29389A7F">
                  <w:pPr>
                    <w:pStyle w:val="50"/>
                    <w:jc w:val="center"/>
                    <w:rPr>
                      <w:color w:val="auto"/>
                    </w:rPr>
                  </w:pPr>
                </w:p>
              </w:tc>
            </w:tr>
            <w:tr w14:paraId="49DB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74" w:type="pct"/>
                  <w:vMerge w:val="restart"/>
                  <w:tcBorders>
                    <w:tl2br w:val="nil"/>
                    <w:tr2bl w:val="nil"/>
                  </w:tcBorders>
                  <w:tcMar>
                    <w:left w:w="28" w:type="dxa"/>
                    <w:right w:w="28" w:type="dxa"/>
                  </w:tcMar>
                  <w:vAlign w:val="center"/>
                </w:tcPr>
                <w:p w14:paraId="38023C2D">
                  <w:pPr>
                    <w:pStyle w:val="50"/>
                    <w:jc w:val="center"/>
                    <w:rPr>
                      <w:color w:val="auto"/>
                    </w:rPr>
                  </w:pPr>
                  <w:r>
                    <w:rPr>
                      <w:color w:val="auto"/>
                    </w:rPr>
                    <w:t>物料输送储存粉尘</w:t>
                  </w:r>
                </w:p>
              </w:tc>
              <w:tc>
                <w:tcPr>
                  <w:tcW w:w="191" w:type="pct"/>
                  <w:tcBorders>
                    <w:tl2br w:val="nil"/>
                    <w:tr2bl w:val="nil"/>
                  </w:tcBorders>
                  <w:tcMar>
                    <w:left w:w="28" w:type="dxa"/>
                    <w:right w:w="28" w:type="dxa"/>
                  </w:tcMar>
                  <w:vAlign w:val="center"/>
                </w:tcPr>
                <w:p w14:paraId="617CDA18">
                  <w:pPr>
                    <w:pStyle w:val="50"/>
                    <w:jc w:val="center"/>
                    <w:rPr>
                      <w:color w:val="auto"/>
                    </w:rPr>
                  </w:pPr>
                  <w:r>
                    <w:rPr>
                      <w:color w:val="auto"/>
                    </w:rPr>
                    <w:t>水泥粉料仓</w:t>
                  </w:r>
                </w:p>
              </w:tc>
              <w:tc>
                <w:tcPr>
                  <w:tcW w:w="486" w:type="pct"/>
                  <w:vMerge w:val="continue"/>
                  <w:tcBorders>
                    <w:tl2br w:val="nil"/>
                    <w:tr2bl w:val="nil"/>
                  </w:tcBorders>
                  <w:tcMar>
                    <w:left w:w="28" w:type="dxa"/>
                    <w:right w:w="28" w:type="dxa"/>
                  </w:tcMar>
                  <w:vAlign w:val="center"/>
                </w:tcPr>
                <w:p w14:paraId="5276D290">
                  <w:pPr>
                    <w:pStyle w:val="50"/>
                    <w:jc w:val="center"/>
                    <w:rPr>
                      <w:color w:val="auto"/>
                    </w:rPr>
                  </w:pPr>
                </w:p>
              </w:tc>
              <w:tc>
                <w:tcPr>
                  <w:tcW w:w="491" w:type="pct"/>
                  <w:tcBorders>
                    <w:tl2br w:val="nil"/>
                    <w:tr2bl w:val="nil"/>
                  </w:tcBorders>
                  <w:tcMar>
                    <w:left w:w="28" w:type="dxa"/>
                    <w:right w:w="28" w:type="dxa"/>
                  </w:tcMar>
                  <w:vAlign w:val="center"/>
                </w:tcPr>
                <w:p w14:paraId="2CFA8BD1">
                  <w:pPr>
                    <w:pStyle w:val="50"/>
                    <w:jc w:val="center"/>
                    <w:rPr>
                      <w:color w:val="auto"/>
                    </w:rPr>
                  </w:pPr>
                  <w:r>
                    <w:rPr>
                      <w:color w:val="auto"/>
                    </w:rPr>
                    <w:t>颗粒物</w:t>
                  </w:r>
                </w:p>
              </w:tc>
              <w:tc>
                <w:tcPr>
                  <w:tcW w:w="448" w:type="pct"/>
                  <w:tcBorders>
                    <w:tl2br w:val="nil"/>
                    <w:tr2bl w:val="nil"/>
                  </w:tcBorders>
                  <w:tcMar>
                    <w:left w:w="28" w:type="dxa"/>
                    <w:right w:w="28" w:type="dxa"/>
                  </w:tcMar>
                  <w:vAlign w:val="center"/>
                </w:tcPr>
                <w:p w14:paraId="7A538046">
                  <w:pPr>
                    <w:pStyle w:val="50"/>
                    <w:jc w:val="center"/>
                    <w:rPr>
                      <w:rFonts w:hint="default" w:eastAsia="宋体"/>
                      <w:color w:val="auto"/>
                      <w:lang w:val="en-US" w:eastAsia="zh-CN"/>
                    </w:rPr>
                  </w:pPr>
                  <w:r>
                    <w:rPr>
                      <w:rFonts w:hint="eastAsia"/>
                      <w:color w:val="auto"/>
                      <w:lang w:val="en-US" w:eastAsia="zh-CN"/>
                    </w:rPr>
                    <w:t>-</w:t>
                  </w:r>
                </w:p>
              </w:tc>
              <w:tc>
                <w:tcPr>
                  <w:tcW w:w="407" w:type="pct"/>
                  <w:tcBorders>
                    <w:tl2br w:val="nil"/>
                    <w:tr2bl w:val="nil"/>
                  </w:tcBorders>
                  <w:tcMar>
                    <w:left w:w="28" w:type="dxa"/>
                    <w:right w:w="28" w:type="dxa"/>
                  </w:tcMar>
                  <w:vAlign w:val="center"/>
                </w:tcPr>
                <w:p w14:paraId="33065F96">
                  <w:pPr>
                    <w:pStyle w:val="50"/>
                    <w:jc w:val="center"/>
                    <w:rPr>
                      <w:rFonts w:hint="default" w:eastAsia="宋体"/>
                      <w:color w:val="auto"/>
                      <w:lang w:val="en-US" w:eastAsia="zh-CN"/>
                    </w:rPr>
                  </w:pPr>
                  <w:r>
                    <w:rPr>
                      <w:rFonts w:hint="eastAsia"/>
                      <w:color w:val="auto"/>
                      <w:lang w:val="en-US" w:eastAsia="zh-CN"/>
                    </w:rPr>
                    <w:t>0.36</w:t>
                  </w:r>
                </w:p>
              </w:tc>
              <w:tc>
                <w:tcPr>
                  <w:tcW w:w="908" w:type="pct"/>
                  <w:tcBorders>
                    <w:tl2br w:val="nil"/>
                    <w:tr2bl w:val="nil"/>
                  </w:tcBorders>
                  <w:tcMar>
                    <w:left w:w="28" w:type="dxa"/>
                    <w:right w:w="28" w:type="dxa"/>
                  </w:tcMar>
                  <w:vAlign w:val="center"/>
                </w:tcPr>
                <w:p w14:paraId="15BDCC99">
                  <w:pPr>
                    <w:pStyle w:val="50"/>
                    <w:jc w:val="center"/>
                    <w:rPr>
                      <w:color w:val="auto"/>
                    </w:rPr>
                  </w:pPr>
                  <w:r>
                    <w:rPr>
                      <w:color w:val="auto"/>
                    </w:rPr>
                    <w:t>脉冲袋式除尘器（除尘效率9</w:t>
                  </w:r>
                  <w:r>
                    <w:rPr>
                      <w:rFonts w:hint="eastAsia"/>
                      <w:color w:val="auto"/>
                    </w:rPr>
                    <w:t>3</w:t>
                  </w:r>
                  <w:r>
                    <w:rPr>
                      <w:color w:val="auto"/>
                    </w:rPr>
                    <w:t>%）排放（无组织）</w:t>
                  </w:r>
                </w:p>
              </w:tc>
              <w:tc>
                <w:tcPr>
                  <w:tcW w:w="470" w:type="pct"/>
                  <w:tcBorders>
                    <w:tl2br w:val="nil"/>
                    <w:tr2bl w:val="nil"/>
                  </w:tcBorders>
                  <w:tcMar>
                    <w:left w:w="28" w:type="dxa"/>
                    <w:right w:w="28" w:type="dxa"/>
                  </w:tcMar>
                  <w:vAlign w:val="center"/>
                </w:tcPr>
                <w:p w14:paraId="5279573A">
                  <w:pPr>
                    <w:pStyle w:val="50"/>
                    <w:jc w:val="center"/>
                    <w:rPr>
                      <w:rFonts w:hint="default" w:eastAsia="宋体"/>
                      <w:color w:val="auto"/>
                      <w:lang w:val="en-US" w:eastAsia="zh-CN"/>
                    </w:rPr>
                  </w:pPr>
                  <w:r>
                    <w:rPr>
                      <w:rFonts w:hint="eastAsia"/>
                      <w:color w:val="auto"/>
                      <w:lang w:val="en-US" w:eastAsia="zh-CN"/>
                    </w:rPr>
                    <w:t>-</w:t>
                  </w:r>
                </w:p>
              </w:tc>
              <w:tc>
                <w:tcPr>
                  <w:tcW w:w="543" w:type="pct"/>
                  <w:tcBorders>
                    <w:tl2br w:val="nil"/>
                    <w:tr2bl w:val="nil"/>
                  </w:tcBorders>
                  <w:tcMar>
                    <w:left w:w="28" w:type="dxa"/>
                    <w:right w:w="28" w:type="dxa"/>
                  </w:tcMar>
                  <w:vAlign w:val="center"/>
                </w:tcPr>
                <w:p w14:paraId="26EA0463">
                  <w:pPr>
                    <w:pStyle w:val="50"/>
                    <w:jc w:val="center"/>
                    <w:rPr>
                      <w:rFonts w:hint="default" w:eastAsia="宋体"/>
                      <w:color w:val="auto"/>
                      <w:lang w:val="en-US" w:eastAsia="zh-CN"/>
                    </w:rPr>
                  </w:pPr>
                  <w:r>
                    <w:rPr>
                      <w:rFonts w:hint="eastAsia"/>
                      <w:color w:val="auto"/>
                      <w:lang w:val="en-US" w:eastAsia="zh-CN"/>
                    </w:rPr>
                    <w:t>0.0252</w:t>
                  </w:r>
                </w:p>
              </w:tc>
              <w:tc>
                <w:tcPr>
                  <w:tcW w:w="879" w:type="pct"/>
                  <w:gridSpan w:val="2"/>
                  <w:vMerge w:val="continue"/>
                  <w:tcBorders>
                    <w:tl2br w:val="nil"/>
                    <w:tr2bl w:val="nil"/>
                  </w:tcBorders>
                  <w:tcMar>
                    <w:left w:w="28" w:type="dxa"/>
                    <w:right w:w="28" w:type="dxa"/>
                  </w:tcMar>
                  <w:vAlign w:val="center"/>
                </w:tcPr>
                <w:p w14:paraId="10C38403">
                  <w:pPr>
                    <w:pStyle w:val="50"/>
                    <w:jc w:val="center"/>
                    <w:rPr>
                      <w:color w:val="auto"/>
                    </w:rPr>
                  </w:pPr>
                </w:p>
              </w:tc>
            </w:tr>
            <w:tr w14:paraId="1A31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74" w:type="pct"/>
                  <w:vMerge w:val="continue"/>
                  <w:tcBorders>
                    <w:tl2br w:val="nil"/>
                    <w:tr2bl w:val="nil"/>
                  </w:tcBorders>
                  <w:tcMar>
                    <w:left w:w="28" w:type="dxa"/>
                    <w:right w:w="28" w:type="dxa"/>
                  </w:tcMar>
                  <w:vAlign w:val="center"/>
                </w:tcPr>
                <w:p w14:paraId="7F1B3F9A">
                  <w:pPr>
                    <w:pStyle w:val="50"/>
                    <w:jc w:val="center"/>
                    <w:rPr>
                      <w:color w:val="auto"/>
                    </w:rPr>
                  </w:pPr>
                </w:p>
              </w:tc>
              <w:tc>
                <w:tcPr>
                  <w:tcW w:w="191" w:type="pct"/>
                  <w:tcBorders>
                    <w:tl2br w:val="nil"/>
                    <w:tr2bl w:val="nil"/>
                  </w:tcBorders>
                  <w:tcMar>
                    <w:left w:w="28" w:type="dxa"/>
                    <w:right w:w="28" w:type="dxa"/>
                  </w:tcMar>
                  <w:vAlign w:val="center"/>
                </w:tcPr>
                <w:p w14:paraId="7CD1AA56">
                  <w:pPr>
                    <w:pStyle w:val="50"/>
                    <w:jc w:val="center"/>
                    <w:rPr>
                      <w:color w:val="auto"/>
                    </w:rPr>
                  </w:pPr>
                  <w:r>
                    <w:rPr>
                      <w:rFonts w:hint="eastAsia"/>
                      <w:color w:val="auto"/>
                      <w:lang w:val="en-US" w:eastAsia="zh-CN"/>
                    </w:rPr>
                    <w:t>粉煤灰</w:t>
                  </w:r>
                  <w:r>
                    <w:rPr>
                      <w:color w:val="auto"/>
                    </w:rPr>
                    <w:t>粉料仓</w:t>
                  </w:r>
                </w:p>
              </w:tc>
              <w:tc>
                <w:tcPr>
                  <w:tcW w:w="486" w:type="pct"/>
                  <w:vMerge w:val="continue"/>
                  <w:tcBorders>
                    <w:tl2br w:val="nil"/>
                    <w:tr2bl w:val="nil"/>
                  </w:tcBorders>
                  <w:tcMar>
                    <w:left w:w="28" w:type="dxa"/>
                    <w:right w:w="28" w:type="dxa"/>
                  </w:tcMar>
                  <w:vAlign w:val="center"/>
                </w:tcPr>
                <w:p w14:paraId="3B7887C3">
                  <w:pPr>
                    <w:pStyle w:val="50"/>
                    <w:jc w:val="center"/>
                    <w:rPr>
                      <w:color w:val="auto"/>
                    </w:rPr>
                  </w:pPr>
                </w:p>
              </w:tc>
              <w:tc>
                <w:tcPr>
                  <w:tcW w:w="491" w:type="pct"/>
                  <w:tcBorders>
                    <w:tl2br w:val="nil"/>
                    <w:tr2bl w:val="nil"/>
                  </w:tcBorders>
                  <w:tcMar>
                    <w:left w:w="28" w:type="dxa"/>
                    <w:right w:w="28" w:type="dxa"/>
                  </w:tcMar>
                  <w:vAlign w:val="center"/>
                </w:tcPr>
                <w:p w14:paraId="70355A20">
                  <w:pPr>
                    <w:pStyle w:val="50"/>
                    <w:jc w:val="center"/>
                    <w:rPr>
                      <w:rFonts w:hint="eastAsia" w:eastAsia="宋体"/>
                      <w:color w:val="auto"/>
                      <w:lang w:val="en-US" w:eastAsia="zh-CN"/>
                    </w:rPr>
                  </w:pPr>
                  <w:r>
                    <w:rPr>
                      <w:rFonts w:hint="eastAsia"/>
                      <w:color w:val="auto"/>
                      <w:lang w:val="en-US" w:eastAsia="zh-CN"/>
                    </w:rPr>
                    <w:t>颗粒物</w:t>
                  </w:r>
                </w:p>
              </w:tc>
              <w:tc>
                <w:tcPr>
                  <w:tcW w:w="448" w:type="pct"/>
                  <w:tcBorders>
                    <w:tl2br w:val="nil"/>
                    <w:tr2bl w:val="nil"/>
                  </w:tcBorders>
                  <w:tcMar>
                    <w:left w:w="28" w:type="dxa"/>
                    <w:right w:w="28" w:type="dxa"/>
                  </w:tcMar>
                  <w:vAlign w:val="center"/>
                </w:tcPr>
                <w:p w14:paraId="1DA4E68D">
                  <w:pPr>
                    <w:pStyle w:val="50"/>
                    <w:jc w:val="center"/>
                    <w:rPr>
                      <w:rFonts w:hint="default"/>
                      <w:color w:val="auto"/>
                      <w:lang w:val="en-US" w:eastAsia="zh-CN"/>
                    </w:rPr>
                  </w:pPr>
                  <w:r>
                    <w:rPr>
                      <w:rFonts w:hint="eastAsia"/>
                      <w:color w:val="auto"/>
                      <w:lang w:val="en-US" w:eastAsia="zh-CN"/>
                    </w:rPr>
                    <w:t>-</w:t>
                  </w:r>
                </w:p>
              </w:tc>
              <w:tc>
                <w:tcPr>
                  <w:tcW w:w="407" w:type="pct"/>
                  <w:tcBorders>
                    <w:tl2br w:val="nil"/>
                    <w:tr2bl w:val="nil"/>
                  </w:tcBorders>
                  <w:tcMar>
                    <w:left w:w="28" w:type="dxa"/>
                    <w:right w:w="28" w:type="dxa"/>
                  </w:tcMar>
                  <w:vAlign w:val="center"/>
                </w:tcPr>
                <w:p w14:paraId="7FFAB878">
                  <w:pPr>
                    <w:pStyle w:val="50"/>
                    <w:jc w:val="center"/>
                    <w:rPr>
                      <w:rFonts w:hint="default"/>
                      <w:color w:val="auto"/>
                      <w:lang w:val="en-US" w:eastAsia="zh-CN"/>
                    </w:rPr>
                  </w:pPr>
                  <w:r>
                    <w:rPr>
                      <w:rFonts w:hint="eastAsia"/>
                      <w:color w:val="auto"/>
                      <w:lang w:val="en-US" w:eastAsia="zh-CN"/>
                    </w:rPr>
                    <w:t>0.036</w:t>
                  </w:r>
                </w:p>
              </w:tc>
              <w:tc>
                <w:tcPr>
                  <w:tcW w:w="908" w:type="pct"/>
                  <w:tcBorders>
                    <w:tl2br w:val="nil"/>
                    <w:tr2bl w:val="nil"/>
                  </w:tcBorders>
                  <w:tcMar>
                    <w:left w:w="28" w:type="dxa"/>
                    <w:right w:w="28" w:type="dxa"/>
                  </w:tcMar>
                  <w:vAlign w:val="center"/>
                </w:tcPr>
                <w:p w14:paraId="4E165BB5">
                  <w:pPr>
                    <w:pStyle w:val="50"/>
                    <w:jc w:val="center"/>
                    <w:rPr>
                      <w:color w:val="auto"/>
                    </w:rPr>
                  </w:pPr>
                  <w:r>
                    <w:rPr>
                      <w:color w:val="auto"/>
                    </w:rPr>
                    <w:t>脉冲袋式除尘器（除尘效率9</w:t>
                  </w:r>
                  <w:r>
                    <w:rPr>
                      <w:rFonts w:hint="eastAsia"/>
                      <w:color w:val="auto"/>
                    </w:rPr>
                    <w:t>3</w:t>
                  </w:r>
                  <w:r>
                    <w:rPr>
                      <w:color w:val="auto"/>
                    </w:rPr>
                    <w:t>%）排放（无组织）</w:t>
                  </w:r>
                </w:p>
              </w:tc>
              <w:tc>
                <w:tcPr>
                  <w:tcW w:w="470" w:type="pct"/>
                  <w:tcBorders>
                    <w:tl2br w:val="nil"/>
                    <w:tr2bl w:val="nil"/>
                  </w:tcBorders>
                  <w:tcMar>
                    <w:left w:w="28" w:type="dxa"/>
                    <w:right w:w="28" w:type="dxa"/>
                  </w:tcMar>
                  <w:vAlign w:val="center"/>
                </w:tcPr>
                <w:p w14:paraId="79C4909B">
                  <w:pPr>
                    <w:pStyle w:val="50"/>
                    <w:jc w:val="center"/>
                    <w:rPr>
                      <w:rFonts w:hint="default" w:eastAsia="宋体"/>
                      <w:color w:val="auto"/>
                      <w:lang w:val="en-US" w:eastAsia="zh-CN"/>
                    </w:rPr>
                  </w:pPr>
                  <w:r>
                    <w:rPr>
                      <w:rFonts w:hint="eastAsia"/>
                      <w:color w:val="auto"/>
                      <w:lang w:val="en-US" w:eastAsia="zh-CN"/>
                    </w:rPr>
                    <w:t>-</w:t>
                  </w:r>
                </w:p>
              </w:tc>
              <w:tc>
                <w:tcPr>
                  <w:tcW w:w="543" w:type="pct"/>
                  <w:tcBorders>
                    <w:tl2br w:val="nil"/>
                    <w:tr2bl w:val="nil"/>
                  </w:tcBorders>
                  <w:tcMar>
                    <w:left w:w="28" w:type="dxa"/>
                    <w:right w:w="28" w:type="dxa"/>
                  </w:tcMar>
                  <w:vAlign w:val="center"/>
                </w:tcPr>
                <w:p w14:paraId="19C95477">
                  <w:pPr>
                    <w:pStyle w:val="50"/>
                    <w:jc w:val="center"/>
                    <w:rPr>
                      <w:rFonts w:hint="default" w:eastAsia="宋体"/>
                      <w:color w:val="auto"/>
                      <w:lang w:val="en-US" w:eastAsia="zh-CN"/>
                    </w:rPr>
                  </w:pPr>
                  <w:r>
                    <w:rPr>
                      <w:rFonts w:hint="eastAsia"/>
                      <w:color w:val="auto"/>
                      <w:lang w:val="en-US" w:eastAsia="zh-CN"/>
                    </w:rPr>
                    <w:t>0.00252</w:t>
                  </w:r>
                </w:p>
              </w:tc>
              <w:tc>
                <w:tcPr>
                  <w:tcW w:w="879" w:type="pct"/>
                  <w:gridSpan w:val="2"/>
                  <w:vMerge w:val="continue"/>
                  <w:tcBorders>
                    <w:tl2br w:val="nil"/>
                    <w:tr2bl w:val="nil"/>
                  </w:tcBorders>
                  <w:tcMar>
                    <w:left w:w="28" w:type="dxa"/>
                    <w:right w:w="28" w:type="dxa"/>
                  </w:tcMar>
                  <w:vAlign w:val="center"/>
                </w:tcPr>
                <w:p w14:paraId="28DE9E97">
                  <w:pPr>
                    <w:pStyle w:val="50"/>
                    <w:jc w:val="center"/>
                    <w:rPr>
                      <w:color w:val="auto"/>
                    </w:rPr>
                  </w:pPr>
                </w:p>
              </w:tc>
            </w:tr>
            <w:tr w14:paraId="377B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5" w:type="pct"/>
                  <w:gridSpan w:val="2"/>
                  <w:tcBorders>
                    <w:tl2br w:val="nil"/>
                    <w:tr2bl w:val="nil"/>
                  </w:tcBorders>
                  <w:tcMar>
                    <w:left w:w="28" w:type="dxa"/>
                    <w:right w:w="28" w:type="dxa"/>
                  </w:tcMar>
                  <w:vAlign w:val="center"/>
                </w:tcPr>
                <w:p w14:paraId="4ADD70FF">
                  <w:pPr>
                    <w:pStyle w:val="50"/>
                    <w:jc w:val="center"/>
                    <w:rPr>
                      <w:color w:val="auto"/>
                    </w:rPr>
                  </w:pPr>
                  <w:r>
                    <w:rPr>
                      <w:color w:val="auto"/>
                    </w:rPr>
                    <w:t>物料混合搅拌粉尘</w:t>
                  </w:r>
                </w:p>
              </w:tc>
              <w:tc>
                <w:tcPr>
                  <w:tcW w:w="486" w:type="pct"/>
                  <w:vMerge w:val="continue"/>
                  <w:tcBorders>
                    <w:tl2br w:val="nil"/>
                    <w:tr2bl w:val="nil"/>
                  </w:tcBorders>
                  <w:tcMar>
                    <w:left w:w="28" w:type="dxa"/>
                    <w:right w:w="28" w:type="dxa"/>
                  </w:tcMar>
                  <w:vAlign w:val="center"/>
                </w:tcPr>
                <w:p w14:paraId="645080F0">
                  <w:pPr>
                    <w:pStyle w:val="50"/>
                    <w:jc w:val="center"/>
                    <w:rPr>
                      <w:color w:val="auto"/>
                    </w:rPr>
                  </w:pPr>
                </w:p>
              </w:tc>
              <w:tc>
                <w:tcPr>
                  <w:tcW w:w="491" w:type="pct"/>
                  <w:tcBorders>
                    <w:tl2br w:val="nil"/>
                    <w:tr2bl w:val="nil"/>
                  </w:tcBorders>
                  <w:tcMar>
                    <w:left w:w="28" w:type="dxa"/>
                    <w:right w:w="28" w:type="dxa"/>
                  </w:tcMar>
                  <w:vAlign w:val="center"/>
                </w:tcPr>
                <w:p w14:paraId="764FF938">
                  <w:pPr>
                    <w:pStyle w:val="50"/>
                    <w:jc w:val="center"/>
                    <w:rPr>
                      <w:color w:val="auto"/>
                    </w:rPr>
                  </w:pPr>
                  <w:r>
                    <w:rPr>
                      <w:color w:val="auto"/>
                    </w:rPr>
                    <w:t>颗粒物</w:t>
                  </w:r>
                </w:p>
              </w:tc>
              <w:tc>
                <w:tcPr>
                  <w:tcW w:w="448" w:type="pct"/>
                  <w:tcBorders>
                    <w:tl2br w:val="nil"/>
                    <w:tr2bl w:val="nil"/>
                  </w:tcBorders>
                  <w:tcMar>
                    <w:left w:w="28" w:type="dxa"/>
                    <w:right w:w="28" w:type="dxa"/>
                  </w:tcMar>
                  <w:vAlign w:val="center"/>
                </w:tcPr>
                <w:p w14:paraId="085FFA90">
                  <w:pPr>
                    <w:pStyle w:val="50"/>
                    <w:jc w:val="center"/>
                    <w:rPr>
                      <w:rFonts w:hint="default" w:eastAsia="宋体"/>
                      <w:color w:val="auto"/>
                      <w:lang w:val="en-US" w:eastAsia="zh-CN"/>
                    </w:rPr>
                  </w:pPr>
                  <w:r>
                    <w:rPr>
                      <w:rFonts w:hint="eastAsia"/>
                      <w:color w:val="auto"/>
                      <w:lang w:val="en-US" w:eastAsia="zh-CN"/>
                    </w:rPr>
                    <w:t>-</w:t>
                  </w:r>
                </w:p>
              </w:tc>
              <w:tc>
                <w:tcPr>
                  <w:tcW w:w="407" w:type="pct"/>
                  <w:tcBorders>
                    <w:tl2br w:val="nil"/>
                    <w:tr2bl w:val="nil"/>
                  </w:tcBorders>
                  <w:tcMar>
                    <w:left w:w="28" w:type="dxa"/>
                    <w:right w:w="28" w:type="dxa"/>
                  </w:tcMar>
                  <w:vAlign w:val="center"/>
                </w:tcPr>
                <w:p w14:paraId="7C704623">
                  <w:pPr>
                    <w:pStyle w:val="50"/>
                    <w:jc w:val="center"/>
                    <w:rPr>
                      <w:rFonts w:hint="default" w:eastAsia="宋体"/>
                      <w:color w:val="auto"/>
                      <w:lang w:val="en-US" w:eastAsia="zh-CN"/>
                    </w:rPr>
                  </w:pPr>
                  <w:r>
                    <w:rPr>
                      <w:rFonts w:hint="eastAsia"/>
                      <w:color w:val="auto"/>
                      <w:lang w:val="en-US" w:eastAsia="zh-CN"/>
                    </w:rPr>
                    <w:t>1.235</w:t>
                  </w:r>
                </w:p>
              </w:tc>
              <w:tc>
                <w:tcPr>
                  <w:tcW w:w="908" w:type="pct"/>
                  <w:tcBorders>
                    <w:tl2br w:val="nil"/>
                    <w:tr2bl w:val="nil"/>
                  </w:tcBorders>
                  <w:tcMar>
                    <w:left w:w="28" w:type="dxa"/>
                    <w:right w:w="28" w:type="dxa"/>
                  </w:tcMar>
                  <w:vAlign w:val="center"/>
                </w:tcPr>
                <w:p w14:paraId="571E2746">
                  <w:pPr>
                    <w:pStyle w:val="50"/>
                    <w:jc w:val="center"/>
                    <w:rPr>
                      <w:color w:val="auto"/>
                    </w:rPr>
                  </w:pPr>
                  <w:r>
                    <w:rPr>
                      <w:color w:val="auto"/>
                    </w:rPr>
                    <w:t>脉冲袋式除尘器（除尘效率</w:t>
                  </w:r>
                  <w:r>
                    <w:rPr>
                      <w:rFonts w:hint="eastAsia"/>
                      <w:color w:val="auto"/>
                    </w:rPr>
                    <w:t>93</w:t>
                  </w:r>
                  <w:r>
                    <w:rPr>
                      <w:color w:val="auto"/>
                    </w:rPr>
                    <w:t>%）+全封闭车间排放（无组织）</w:t>
                  </w:r>
                </w:p>
              </w:tc>
              <w:tc>
                <w:tcPr>
                  <w:tcW w:w="470" w:type="pct"/>
                  <w:tcBorders>
                    <w:tl2br w:val="nil"/>
                    <w:tr2bl w:val="nil"/>
                  </w:tcBorders>
                  <w:tcMar>
                    <w:left w:w="28" w:type="dxa"/>
                    <w:right w:w="28" w:type="dxa"/>
                  </w:tcMar>
                  <w:vAlign w:val="center"/>
                </w:tcPr>
                <w:p w14:paraId="0B62B2EC">
                  <w:pPr>
                    <w:pStyle w:val="50"/>
                    <w:jc w:val="center"/>
                    <w:rPr>
                      <w:rFonts w:hint="default" w:eastAsia="宋体"/>
                      <w:color w:val="auto"/>
                      <w:lang w:val="en-US" w:eastAsia="zh-CN"/>
                    </w:rPr>
                  </w:pPr>
                  <w:r>
                    <w:rPr>
                      <w:rFonts w:hint="eastAsia"/>
                      <w:color w:val="auto"/>
                      <w:lang w:val="en-US" w:eastAsia="zh-CN"/>
                    </w:rPr>
                    <w:t>-</w:t>
                  </w:r>
                </w:p>
              </w:tc>
              <w:tc>
                <w:tcPr>
                  <w:tcW w:w="543" w:type="pct"/>
                  <w:tcBorders>
                    <w:tl2br w:val="nil"/>
                    <w:tr2bl w:val="nil"/>
                  </w:tcBorders>
                  <w:tcMar>
                    <w:left w:w="28" w:type="dxa"/>
                    <w:right w:w="28" w:type="dxa"/>
                  </w:tcMar>
                  <w:vAlign w:val="center"/>
                </w:tcPr>
                <w:p w14:paraId="525A7499">
                  <w:pPr>
                    <w:pStyle w:val="50"/>
                    <w:jc w:val="center"/>
                    <w:rPr>
                      <w:rFonts w:hint="default" w:eastAsia="宋体"/>
                      <w:color w:val="auto"/>
                      <w:lang w:val="en-US" w:eastAsia="zh-CN"/>
                    </w:rPr>
                  </w:pPr>
                  <w:r>
                    <w:rPr>
                      <w:rFonts w:hint="eastAsia"/>
                      <w:color w:val="auto"/>
                      <w:lang w:val="en-US" w:eastAsia="zh-CN"/>
                    </w:rPr>
                    <w:t>0.08645</w:t>
                  </w:r>
                </w:p>
              </w:tc>
              <w:tc>
                <w:tcPr>
                  <w:tcW w:w="879" w:type="pct"/>
                  <w:gridSpan w:val="2"/>
                  <w:vMerge w:val="continue"/>
                  <w:tcBorders>
                    <w:tl2br w:val="nil"/>
                    <w:tr2bl w:val="nil"/>
                  </w:tcBorders>
                  <w:tcMar>
                    <w:left w:w="28" w:type="dxa"/>
                    <w:right w:w="28" w:type="dxa"/>
                  </w:tcMar>
                  <w:vAlign w:val="center"/>
                </w:tcPr>
                <w:p w14:paraId="4E924184">
                  <w:pPr>
                    <w:pStyle w:val="50"/>
                    <w:jc w:val="center"/>
                    <w:rPr>
                      <w:color w:val="auto"/>
                    </w:rPr>
                  </w:pPr>
                </w:p>
              </w:tc>
            </w:tr>
            <w:tr w14:paraId="015A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9" w:type="pct"/>
                <w:trHeight w:val="195" w:hRule="atLeast"/>
                <w:jc w:val="center"/>
              </w:trPr>
              <w:tc>
                <w:tcPr>
                  <w:tcW w:w="3107" w:type="pct"/>
                  <w:gridSpan w:val="7"/>
                  <w:vMerge w:val="restart"/>
                  <w:tcBorders>
                    <w:tl2br w:val="nil"/>
                    <w:tr2bl w:val="nil"/>
                  </w:tcBorders>
                  <w:tcMar>
                    <w:left w:w="28" w:type="dxa"/>
                    <w:right w:w="28" w:type="dxa"/>
                  </w:tcMar>
                  <w:vAlign w:val="center"/>
                </w:tcPr>
                <w:p w14:paraId="449BC7FC">
                  <w:pPr>
                    <w:pStyle w:val="50"/>
                    <w:jc w:val="center"/>
                    <w:rPr>
                      <w:color w:val="auto"/>
                    </w:rPr>
                  </w:pPr>
                  <w:r>
                    <w:rPr>
                      <w:color w:val="auto"/>
                    </w:rPr>
                    <w:t>合计</w:t>
                  </w:r>
                </w:p>
              </w:tc>
              <w:tc>
                <w:tcPr>
                  <w:tcW w:w="470" w:type="pct"/>
                  <w:vMerge w:val="restart"/>
                  <w:tcBorders>
                    <w:tl2br w:val="nil"/>
                    <w:tr2bl w:val="nil"/>
                  </w:tcBorders>
                  <w:tcMar>
                    <w:left w:w="28" w:type="dxa"/>
                    <w:right w:w="28" w:type="dxa"/>
                  </w:tcMar>
                  <w:vAlign w:val="center"/>
                </w:tcPr>
                <w:p w14:paraId="2D53B248">
                  <w:pPr>
                    <w:pStyle w:val="50"/>
                    <w:jc w:val="center"/>
                    <w:rPr>
                      <w:color w:val="auto"/>
                    </w:rPr>
                  </w:pPr>
                  <w:r>
                    <w:rPr>
                      <w:color w:val="auto"/>
                    </w:rPr>
                    <w:t>无组织</w:t>
                  </w:r>
                </w:p>
              </w:tc>
              <w:tc>
                <w:tcPr>
                  <w:tcW w:w="543" w:type="pct"/>
                  <w:vMerge w:val="restart"/>
                  <w:tcBorders>
                    <w:tl2br w:val="nil"/>
                    <w:tr2bl w:val="nil"/>
                  </w:tcBorders>
                  <w:tcMar>
                    <w:left w:w="28" w:type="dxa"/>
                    <w:right w:w="28" w:type="dxa"/>
                  </w:tcMar>
                  <w:vAlign w:val="center"/>
                </w:tcPr>
                <w:p w14:paraId="310ED95F">
                  <w:pPr>
                    <w:pStyle w:val="50"/>
                    <w:jc w:val="center"/>
                    <w:rPr>
                      <w:color w:val="auto"/>
                    </w:rPr>
                  </w:pPr>
                  <w:r>
                    <w:rPr>
                      <w:color w:val="auto"/>
                    </w:rPr>
                    <w:t>颗粒物</w:t>
                  </w:r>
                </w:p>
              </w:tc>
              <w:tc>
                <w:tcPr>
                  <w:tcW w:w="860" w:type="pct"/>
                  <w:tcBorders>
                    <w:tl2br w:val="nil"/>
                    <w:tr2bl w:val="nil"/>
                  </w:tcBorders>
                  <w:tcMar>
                    <w:left w:w="28" w:type="dxa"/>
                    <w:right w:w="28" w:type="dxa"/>
                  </w:tcMar>
                  <w:vAlign w:val="center"/>
                </w:tcPr>
                <w:p w14:paraId="59B8BEF1">
                  <w:pPr>
                    <w:pStyle w:val="50"/>
                    <w:jc w:val="center"/>
                    <w:rPr>
                      <w:color w:val="auto"/>
                    </w:rPr>
                  </w:pPr>
                  <w:r>
                    <w:rPr>
                      <w:color w:val="auto"/>
                    </w:rPr>
                    <w:t>排放量（t/a）</w:t>
                  </w:r>
                </w:p>
              </w:tc>
            </w:tr>
            <w:tr w14:paraId="71E4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9" w:type="pct"/>
                <w:trHeight w:val="90" w:hRule="atLeast"/>
                <w:jc w:val="center"/>
              </w:trPr>
              <w:tc>
                <w:tcPr>
                  <w:tcW w:w="3107" w:type="pct"/>
                  <w:gridSpan w:val="7"/>
                  <w:vMerge w:val="continue"/>
                  <w:tcBorders>
                    <w:tl2br w:val="nil"/>
                    <w:tr2bl w:val="nil"/>
                  </w:tcBorders>
                  <w:tcMar>
                    <w:left w:w="28" w:type="dxa"/>
                    <w:right w:w="28" w:type="dxa"/>
                  </w:tcMar>
                  <w:vAlign w:val="center"/>
                </w:tcPr>
                <w:p w14:paraId="5DC43D6F">
                  <w:pPr>
                    <w:pStyle w:val="50"/>
                    <w:jc w:val="center"/>
                    <w:rPr>
                      <w:color w:val="auto"/>
                    </w:rPr>
                  </w:pPr>
                </w:p>
              </w:tc>
              <w:tc>
                <w:tcPr>
                  <w:tcW w:w="470" w:type="pct"/>
                  <w:vMerge w:val="continue"/>
                  <w:tcBorders>
                    <w:tl2br w:val="nil"/>
                    <w:tr2bl w:val="nil"/>
                  </w:tcBorders>
                  <w:tcMar>
                    <w:left w:w="28" w:type="dxa"/>
                    <w:right w:w="28" w:type="dxa"/>
                  </w:tcMar>
                  <w:vAlign w:val="center"/>
                </w:tcPr>
                <w:p w14:paraId="63999915">
                  <w:pPr>
                    <w:pStyle w:val="50"/>
                    <w:jc w:val="center"/>
                    <w:rPr>
                      <w:color w:val="auto"/>
                    </w:rPr>
                  </w:pPr>
                </w:p>
              </w:tc>
              <w:tc>
                <w:tcPr>
                  <w:tcW w:w="543" w:type="pct"/>
                  <w:vMerge w:val="continue"/>
                  <w:tcBorders>
                    <w:tl2br w:val="nil"/>
                    <w:tr2bl w:val="nil"/>
                  </w:tcBorders>
                  <w:tcMar>
                    <w:left w:w="28" w:type="dxa"/>
                    <w:right w:w="28" w:type="dxa"/>
                  </w:tcMar>
                  <w:vAlign w:val="center"/>
                </w:tcPr>
                <w:p w14:paraId="65ACDC2A">
                  <w:pPr>
                    <w:pStyle w:val="50"/>
                    <w:jc w:val="center"/>
                    <w:rPr>
                      <w:color w:val="auto"/>
                    </w:rPr>
                  </w:pPr>
                </w:p>
              </w:tc>
              <w:tc>
                <w:tcPr>
                  <w:tcW w:w="860" w:type="pct"/>
                  <w:tcBorders>
                    <w:tl2br w:val="nil"/>
                    <w:tr2bl w:val="nil"/>
                  </w:tcBorders>
                  <w:tcMar>
                    <w:left w:w="28" w:type="dxa"/>
                    <w:right w:w="28" w:type="dxa"/>
                  </w:tcMar>
                  <w:vAlign w:val="center"/>
                </w:tcPr>
                <w:p w14:paraId="11557572">
                  <w:pPr>
                    <w:pStyle w:val="50"/>
                    <w:jc w:val="center"/>
                    <w:rPr>
                      <w:rFonts w:hint="default" w:eastAsia="宋体"/>
                      <w:color w:val="auto"/>
                      <w:lang w:val="en-US" w:eastAsia="zh-CN"/>
                    </w:rPr>
                  </w:pPr>
                  <w:r>
                    <w:rPr>
                      <w:rFonts w:hint="eastAsia"/>
                      <w:color w:val="auto"/>
                      <w:lang w:val="en-US" w:eastAsia="zh-CN"/>
                    </w:rPr>
                    <w:t>0.18617</w:t>
                  </w:r>
                </w:p>
              </w:tc>
            </w:tr>
          </w:tbl>
          <w:p w14:paraId="7152FDAD">
            <w:pPr>
              <w:ind w:firstLine="480"/>
              <w:rPr>
                <w:rFonts w:cs="Times New Roman"/>
                <w:color w:val="auto"/>
              </w:rPr>
            </w:pPr>
            <w:r>
              <w:rPr>
                <w:rFonts w:cs="Times New Roman"/>
                <w:color w:val="auto"/>
              </w:rPr>
              <w:t>2、污染物防治措施</w:t>
            </w:r>
          </w:p>
          <w:p w14:paraId="409A2B72">
            <w:pPr>
              <w:ind w:firstLine="480"/>
              <w:rPr>
                <w:rFonts w:cs="Times New Roman"/>
                <w:color w:val="auto"/>
              </w:rPr>
            </w:pPr>
            <w:r>
              <w:rPr>
                <w:rFonts w:cs="Times New Roman"/>
                <w:color w:val="auto"/>
              </w:rPr>
              <w:t>脉冲袋式除尘器其工作原理主要涉及过滤和分离两个步骤：1、当含有粉尘颗粒的气体进入袋式除尘器时，气体会通过过滤布袋；2、在过滤布袋内部，气体流经布袋时，由于气体速度的减缓和布袋材料的阻力，大部分较大的粉尘颗粒会因惯性作用而沉降到布袋内壁；3、粉尘在布袋上逐渐积累，会导致阻力的增加，影响除尘器的工作效率。</w:t>
            </w:r>
            <w:r>
              <w:rPr>
                <w:rFonts w:hint="eastAsia" w:cs="Times New Roman"/>
                <w:color w:val="auto"/>
                <w:lang w:eastAsia="zh-CN"/>
              </w:rPr>
              <w:t>旋风除尘</w:t>
            </w:r>
            <w:r>
              <w:rPr>
                <w:rFonts w:cs="Times New Roman"/>
                <w:color w:val="auto"/>
              </w:rPr>
              <w:t>器是一种常用的工业粉尘处理设备，其工作原理主要涉及过滤和分离两个步骤。</w:t>
            </w:r>
          </w:p>
          <w:p w14:paraId="12E2981E">
            <w:pPr>
              <w:ind w:firstLine="480"/>
              <w:rPr>
                <w:rFonts w:cs="Times New Roman"/>
                <w:color w:val="auto"/>
              </w:rPr>
            </w:pPr>
            <w:r>
              <w:rPr>
                <w:rFonts w:cs="Times New Roman"/>
                <w:color w:val="auto"/>
              </w:rPr>
              <w:t>工作原理如下：</w:t>
            </w:r>
          </w:p>
          <w:p w14:paraId="21393184">
            <w:pPr>
              <w:ind w:firstLine="480"/>
              <w:rPr>
                <w:rFonts w:cs="Times New Roman"/>
                <w:color w:val="auto"/>
              </w:rPr>
            </w:pPr>
            <w:r>
              <w:rPr>
                <w:rFonts w:cs="Times New Roman"/>
                <w:color w:val="auto"/>
              </w:rPr>
              <w:t>过滤：当含有粉尘颗粒的气体进入</w:t>
            </w:r>
            <w:r>
              <w:rPr>
                <w:rFonts w:hint="eastAsia" w:cs="Times New Roman"/>
                <w:color w:val="auto"/>
                <w:lang w:eastAsia="zh-CN"/>
              </w:rPr>
              <w:t>旋风除尘</w:t>
            </w:r>
            <w:r>
              <w:rPr>
                <w:rFonts w:cs="Times New Roman"/>
                <w:color w:val="auto"/>
              </w:rPr>
              <w:t>器时，气体会通过过滤布袋。布袋多采用纤维材料制成，具有较高的孔隙度和表面积，可以有效地捕捉和分离粉尘颗粒。</w:t>
            </w:r>
          </w:p>
          <w:p w14:paraId="4A262AD8">
            <w:pPr>
              <w:ind w:firstLine="480"/>
              <w:rPr>
                <w:rFonts w:cs="Times New Roman"/>
                <w:color w:val="auto"/>
              </w:rPr>
            </w:pPr>
            <w:r>
              <w:rPr>
                <w:rFonts w:cs="Times New Roman"/>
                <w:color w:val="auto"/>
              </w:rPr>
              <w:t>分离：在过滤布袋内部，气体流经布袋时，由于气体速度的减缓和布袋材料的阻力，大部分较大的粉尘颗粒会因惯性作用而沉降到布袋内壁。较小的粉尘颗粒则在布袋内部形成一个粉尘层，进一步增加了对粉尘颗粒的捕获效果。</w:t>
            </w:r>
          </w:p>
          <w:p w14:paraId="30948598">
            <w:pPr>
              <w:ind w:firstLine="480"/>
              <w:rPr>
                <w:rFonts w:cs="Times New Roman"/>
                <w:color w:val="auto"/>
              </w:rPr>
            </w:pPr>
            <w:r>
              <w:rPr>
                <w:rFonts w:cs="Times New Roman"/>
                <w:color w:val="auto"/>
              </w:rPr>
              <w:t>清灰：随着时间的推移，粉尘在布袋上逐渐积累，会导致阻力的增加，影响除尘器的工作效率。因此，需要定期进行清灰操作来清除积累的粉尘。清灰方式常见的有机械振打清灰和脉冲喷吹清灰两种。</w:t>
            </w:r>
          </w:p>
          <w:p w14:paraId="7DE23D6A">
            <w:pPr>
              <w:ind w:firstLine="480"/>
              <w:rPr>
                <w:rFonts w:cs="Times New Roman"/>
                <w:color w:val="auto"/>
              </w:rPr>
            </w:pPr>
            <w:r>
              <w:rPr>
                <w:rFonts w:cs="Times New Roman"/>
                <w:color w:val="auto"/>
              </w:rPr>
              <w:t>总的来说，</w:t>
            </w:r>
            <w:r>
              <w:rPr>
                <w:rFonts w:hint="eastAsia" w:cs="Times New Roman"/>
                <w:color w:val="auto"/>
                <w:lang w:eastAsia="zh-CN"/>
              </w:rPr>
              <w:t>旋风除尘</w:t>
            </w:r>
            <w:r>
              <w:rPr>
                <w:rFonts w:cs="Times New Roman"/>
                <w:color w:val="auto"/>
              </w:rPr>
              <w:t>器通过过滤和分离的方式，将含有粉尘颗粒的气体与粉尘进行有效分离，使气体排放达到环保要求，同时保护工作环境的清洁和工作人员的健康。</w:t>
            </w:r>
          </w:p>
          <w:p w14:paraId="79D8164C">
            <w:pPr>
              <w:pStyle w:val="36"/>
              <w:rPr>
                <w:rFonts w:cs="Times New Roman"/>
                <w:color w:val="auto"/>
              </w:rPr>
            </w:pPr>
            <w:r>
              <w:rPr>
                <w:rFonts w:cs="Times New Roman"/>
                <w:color w:val="auto"/>
              </w:rPr>
              <w:t>表4-</w:t>
            </w:r>
            <w:r>
              <w:rPr>
                <w:rFonts w:hint="eastAsia" w:cs="Times New Roman"/>
                <w:color w:val="auto"/>
                <w:lang w:val="en-US" w:eastAsia="zh-CN"/>
              </w:rPr>
              <w:t>7</w:t>
            </w:r>
            <w:r>
              <w:rPr>
                <w:rFonts w:cs="Times New Roman"/>
                <w:color w:val="auto"/>
              </w:rPr>
              <w:t>废气污染防治可行技术参考表</w:t>
            </w:r>
          </w:p>
          <w:tbl>
            <w:tblPr>
              <w:tblStyle w:val="28"/>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947"/>
              <w:gridCol w:w="1914"/>
              <w:gridCol w:w="1430"/>
              <w:gridCol w:w="1431"/>
            </w:tblGrid>
            <w:tr w14:paraId="106E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736" w:type="dxa"/>
                  <w:gridSpan w:val="3"/>
                  <w:tcBorders>
                    <w:tl2br w:val="nil"/>
                    <w:tr2bl w:val="nil"/>
                  </w:tcBorders>
                  <w:vAlign w:val="center"/>
                </w:tcPr>
                <w:p w14:paraId="4083AC54">
                  <w:pPr>
                    <w:pStyle w:val="53"/>
                    <w:rPr>
                      <w:rFonts w:cs="Times New Roman"/>
                      <w:b/>
                      <w:bCs/>
                      <w:color w:val="auto"/>
                    </w:rPr>
                  </w:pPr>
                  <w:r>
                    <w:rPr>
                      <w:rFonts w:cs="Times New Roman"/>
                      <w:b/>
                      <w:bCs/>
                      <w:color w:val="auto"/>
                    </w:rPr>
                    <w:t>《排污许可证申请与核发技术规范 水泥工业》（HJ847-2017）</w:t>
                  </w:r>
                </w:p>
              </w:tc>
              <w:tc>
                <w:tcPr>
                  <w:tcW w:w="3159" w:type="dxa"/>
                  <w:gridSpan w:val="2"/>
                  <w:tcBorders>
                    <w:tl2br w:val="nil"/>
                    <w:tr2bl w:val="nil"/>
                  </w:tcBorders>
                  <w:vAlign w:val="center"/>
                </w:tcPr>
                <w:p w14:paraId="296C1959">
                  <w:pPr>
                    <w:pStyle w:val="53"/>
                    <w:rPr>
                      <w:rFonts w:cs="Times New Roman"/>
                      <w:b/>
                      <w:bCs/>
                      <w:color w:val="auto"/>
                    </w:rPr>
                  </w:pPr>
                  <w:r>
                    <w:rPr>
                      <w:rFonts w:cs="Times New Roman"/>
                      <w:b/>
                      <w:bCs/>
                      <w:color w:val="auto"/>
                    </w:rPr>
                    <w:t>本项目设计情况</w:t>
                  </w:r>
                </w:p>
              </w:tc>
            </w:tr>
            <w:tr w14:paraId="1A0E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578" w:type="dxa"/>
                  <w:tcBorders>
                    <w:tl2br w:val="nil"/>
                    <w:tr2bl w:val="nil"/>
                  </w:tcBorders>
                  <w:vAlign w:val="center"/>
                </w:tcPr>
                <w:p w14:paraId="606E8EBE">
                  <w:pPr>
                    <w:pStyle w:val="53"/>
                    <w:rPr>
                      <w:rFonts w:cs="Times New Roman"/>
                      <w:b/>
                      <w:bCs/>
                      <w:color w:val="auto"/>
                    </w:rPr>
                  </w:pPr>
                  <w:r>
                    <w:rPr>
                      <w:rFonts w:cs="Times New Roman"/>
                      <w:b/>
                      <w:bCs/>
                      <w:color w:val="auto"/>
                    </w:rPr>
                    <w:t>生产设施</w:t>
                  </w:r>
                </w:p>
              </w:tc>
              <w:tc>
                <w:tcPr>
                  <w:tcW w:w="1036" w:type="dxa"/>
                  <w:tcBorders>
                    <w:tl2br w:val="nil"/>
                    <w:tr2bl w:val="nil"/>
                  </w:tcBorders>
                  <w:vAlign w:val="center"/>
                </w:tcPr>
                <w:p w14:paraId="3593AB01">
                  <w:pPr>
                    <w:pStyle w:val="53"/>
                    <w:rPr>
                      <w:rFonts w:cs="Times New Roman"/>
                      <w:b/>
                      <w:bCs/>
                      <w:color w:val="auto"/>
                    </w:rPr>
                  </w:pPr>
                  <w:r>
                    <w:rPr>
                      <w:rFonts w:cs="Times New Roman"/>
                      <w:b/>
                      <w:bCs/>
                      <w:color w:val="auto"/>
                    </w:rPr>
                    <w:t>污染物项目</w:t>
                  </w:r>
                </w:p>
              </w:tc>
              <w:tc>
                <w:tcPr>
                  <w:tcW w:w="2122" w:type="dxa"/>
                  <w:tcBorders>
                    <w:tl2br w:val="nil"/>
                    <w:tr2bl w:val="nil"/>
                  </w:tcBorders>
                  <w:vAlign w:val="center"/>
                </w:tcPr>
                <w:p w14:paraId="20F9666F">
                  <w:pPr>
                    <w:pStyle w:val="53"/>
                    <w:rPr>
                      <w:rFonts w:cs="Times New Roman"/>
                      <w:b/>
                      <w:bCs/>
                      <w:color w:val="auto"/>
                    </w:rPr>
                  </w:pPr>
                  <w:r>
                    <w:rPr>
                      <w:rFonts w:cs="Times New Roman"/>
                      <w:b/>
                      <w:bCs/>
                      <w:color w:val="auto"/>
                    </w:rPr>
                    <w:t>可行技术</w:t>
                  </w:r>
                </w:p>
              </w:tc>
              <w:tc>
                <w:tcPr>
                  <w:tcW w:w="1579" w:type="dxa"/>
                  <w:tcBorders>
                    <w:tl2br w:val="nil"/>
                    <w:tr2bl w:val="nil"/>
                  </w:tcBorders>
                  <w:vAlign w:val="center"/>
                </w:tcPr>
                <w:p w14:paraId="3D697BBE">
                  <w:pPr>
                    <w:pStyle w:val="53"/>
                    <w:rPr>
                      <w:rFonts w:cs="Times New Roman"/>
                      <w:b/>
                      <w:bCs/>
                      <w:color w:val="auto"/>
                    </w:rPr>
                  </w:pPr>
                  <w:r>
                    <w:rPr>
                      <w:rFonts w:cs="Times New Roman"/>
                      <w:b/>
                      <w:bCs/>
                      <w:color w:val="auto"/>
                    </w:rPr>
                    <w:t>本项目采取措施</w:t>
                  </w:r>
                </w:p>
              </w:tc>
              <w:tc>
                <w:tcPr>
                  <w:tcW w:w="1580" w:type="dxa"/>
                  <w:tcBorders>
                    <w:tl2br w:val="nil"/>
                    <w:tr2bl w:val="nil"/>
                  </w:tcBorders>
                  <w:vAlign w:val="center"/>
                </w:tcPr>
                <w:p w14:paraId="590E5D5A">
                  <w:pPr>
                    <w:pStyle w:val="53"/>
                    <w:rPr>
                      <w:rFonts w:cs="Times New Roman"/>
                      <w:b/>
                      <w:bCs/>
                      <w:color w:val="auto"/>
                    </w:rPr>
                  </w:pPr>
                  <w:r>
                    <w:rPr>
                      <w:rFonts w:cs="Times New Roman"/>
                      <w:b/>
                      <w:bCs/>
                      <w:color w:val="auto"/>
                    </w:rPr>
                    <w:t>符合性</w:t>
                  </w:r>
                </w:p>
              </w:tc>
            </w:tr>
            <w:tr w14:paraId="32BE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578" w:type="dxa"/>
                  <w:tcBorders>
                    <w:tl2br w:val="nil"/>
                    <w:tr2bl w:val="nil"/>
                  </w:tcBorders>
                  <w:vAlign w:val="center"/>
                </w:tcPr>
                <w:p w14:paraId="26C539AC">
                  <w:pPr>
                    <w:pStyle w:val="53"/>
                    <w:rPr>
                      <w:rFonts w:cs="Times New Roman"/>
                      <w:color w:val="auto"/>
                    </w:rPr>
                  </w:pPr>
                  <w:r>
                    <w:rPr>
                      <w:rFonts w:cs="Times New Roman"/>
                      <w:color w:val="auto"/>
                    </w:rPr>
                    <w:t>水泥贮存粉料仓及物料混合搅拌机</w:t>
                  </w:r>
                </w:p>
              </w:tc>
              <w:tc>
                <w:tcPr>
                  <w:tcW w:w="1036" w:type="dxa"/>
                  <w:tcBorders>
                    <w:tl2br w:val="nil"/>
                    <w:tr2bl w:val="nil"/>
                  </w:tcBorders>
                  <w:vAlign w:val="center"/>
                </w:tcPr>
                <w:p w14:paraId="6744F125">
                  <w:pPr>
                    <w:pStyle w:val="53"/>
                    <w:rPr>
                      <w:rFonts w:cs="Times New Roman"/>
                      <w:color w:val="auto"/>
                    </w:rPr>
                  </w:pPr>
                  <w:r>
                    <w:rPr>
                      <w:rFonts w:cs="Times New Roman"/>
                      <w:color w:val="auto"/>
                    </w:rPr>
                    <w:t>颗粒物</w:t>
                  </w:r>
                </w:p>
              </w:tc>
              <w:tc>
                <w:tcPr>
                  <w:tcW w:w="2122" w:type="dxa"/>
                  <w:tcBorders>
                    <w:tl2br w:val="nil"/>
                    <w:tr2bl w:val="nil"/>
                  </w:tcBorders>
                  <w:vAlign w:val="center"/>
                </w:tcPr>
                <w:p w14:paraId="78EFCDC4">
                  <w:pPr>
                    <w:pStyle w:val="53"/>
                    <w:rPr>
                      <w:rFonts w:cs="Times New Roman"/>
                      <w:color w:val="auto"/>
                    </w:rPr>
                  </w:pPr>
                  <w:r>
                    <w:rPr>
                      <w:rFonts w:cs="Times New Roman"/>
                      <w:color w:val="auto"/>
                    </w:rPr>
                    <w:t>袋式除尘器</w:t>
                  </w:r>
                </w:p>
              </w:tc>
              <w:tc>
                <w:tcPr>
                  <w:tcW w:w="1579" w:type="dxa"/>
                  <w:tcBorders>
                    <w:tl2br w:val="nil"/>
                    <w:tr2bl w:val="nil"/>
                  </w:tcBorders>
                  <w:vAlign w:val="center"/>
                </w:tcPr>
                <w:p w14:paraId="75DAB2C6">
                  <w:pPr>
                    <w:pStyle w:val="53"/>
                    <w:rPr>
                      <w:rFonts w:cs="Times New Roman"/>
                      <w:color w:val="auto"/>
                    </w:rPr>
                  </w:pPr>
                  <w:r>
                    <w:rPr>
                      <w:rFonts w:cs="Times New Roman"/>
                      <w:color w:val="auto"/>
                    </w:rPr>
                    <w:t>脉冲袋式除尘器</w:t>
                  </w:r>
                </w:p>
              </w:tc>
              <w:tc>
                <w:tcPr>
                  <w:tcW w:w="1580" w:type="dxa"/>
                  <w:tcBorders>
                    <w:tl2br w:val="nil"/>
                    <w:tr2bl w:val="nil"/>
                  </w:tcBorders>
                  <w:vAlign w:val="center"/>
                </w:tcPr>
                <w:p w14:paraId="7ACE3DA2">
                  <w:pPr>
                    <w:pStyle w:val="53"/>
                    <w:rPr>
                      <w:rFonts w:cs="Times New Roman"/>
                      <w:color w:val="auto"/>
                    </w:rPr>
                  </w:pPr>
                  <w:r>
                    <w:rPr>
                      <w:rFonts w:cs="Times New Roman"/>
                      <w:color w:val="auto"/>
                    </w:rPr>
                    <w:t>符合</w:t>
                  </w:r>
                </w:p>
              </w:tc>
            </w:tr>
          </w:tbl>
          <w:p w14:paraId="41BCB2C7">
            <w:pPr>
              <w:ind w:firstLine="480"/>
              <w:rPr>
                <w:rFonts w:cs="Times New Roman"/>
                <w:b/>
                <w:bCs/>
                <w:color w:val="auto"/>
              </w:rPr>
            </w:pPr>
            <w:r>
              <w:rPr>
                <w:rFonts w:cs="Times New Roman"/>
                <w:color w:val="auto"/>
              </w:rPr>
              <w:t>根据《排污许可证申请与核发技术规范 水泥工业》（HJ847-2017）中的相关要求，项目采取的废气治理措施，均能满足相关文件中的要求，废气治理措施可行。</w:t>
            </w:r>
          </w:p>
          <w:p w14:paraId="64D211E1">
            <w:pPr>
              <w:ind w:firstLine="482"/>
              <w:rPr>
                <w:rFonts w:cs="Times New Roman"/>
                <w:b/>
                <w:bCs/>
                <w:color w:val="auto"/>
                <w:highlight w:val="none"/>
              </w:rPr>
            </w:pPr>
            <w:r>
              <w:rPr>
                <w:rFonts w:cs="Times New Roman"/>
                <w:b/>
                <w:bCs/>
                <w:color w:val="auto"/>
                <w:highlight w:val="none"/>
              </w:rPr>
              <w:t>二、废水产排情况及治理措施可行性分析</w:t>
            </w:r>
          </w:p>
          <w:p w14:paraId="241B3426">
            <w:pPr>
              <w:ind w:firstLine="480"/>
              <w:rPr>
                <w:rFonts w:cs="Times New Roman"/>
                <w:color w:val="auto"/>
              </w:rPr>
            </w:pPr>
            <w:r>
              <w:rPr>
                <w:rFonts w:cs="Times New Roman"/>
                <w:color w:val="auto"/>
              </w:rPr>
              <w:t>项目废水污染源主要为员工生活污水。</w:t>
            </w:r>
          </w:p>
          <w:p w14:paraId="3DFB87E9">
            <w:pPr>
              <w:ind w:firstLine="482"/>
              <w:rPr>
                <w:rFonts w:cs="Times New Roman"/>
                <w:color w:val="auto"/>
              </w:rPr>
            </w:pPr>
            <w:r>
              <w:rPr>
                <w:rFonts w:cs="Times New Roman"/>
                <w:color w:val="auto"/>
              </w:rPr>
              <w:t>职工及外来人员生活污水产污系数以0.8计，产生量为</w:t>
            </w:r>
            <w:r>
              <w:rPr>
                <w:rFonts w:hint="eastAsia" w:cs="Times New Roman"/>
                <w:color w:val="auto"/>
                <w:lang w:val="en-US" w:eastAsia="zh-CN"/>
              </w:rPr>
              <w:t>216</w:t>
            </w:r>
            <w:r>
              <w:rPr>
                <w:rFonts w:cs="Times New Roman"/>
                <w:color w:val="auto"/>
              </w:rPr>
              <w:t>m</w:t>
            </w:r>
            <w:r>
              <w:rPr>
                <w:rFonts w:cs="Times New Roman"/>
                <w:color w:val="auto"/>
                <w:vertAlign w:val="superscript"/>
              </w:rPr>
              <w:t>3</w:t>
            </w:r>
            <w:r>
              <w:rPr>
                <w:rFonts w:cs="Times New Roman"/>
                <w:color w:val="auto"/>
              </w:rPr>
              <w:t>/a。</w:t>
            </w:r>
          </w:p>
          <w:p w14:paraId="2FB6B26C">
            <w:pPr>
              <w:ind w:firstLine="480"/>
              <w:rPr>
                <w:rFonts w:cs="Times New Roman"/>
                <w:color w:val="auto"/>
              </w:rPr>
            </w:pPr>
            <w:r>
              <w:rPr>
                <w:rFonts w:cs="Times New Roman"/>
                <w:color w:val="auto"/>
              </w:rPr>
              <w:t>根据《给水排水设计手册（第六册）》，我国北方典型生活污水水质，确定项目生活污水产生浓度分别为COD 350mg/L，BOD</w:t>
            </w:r>
            <w:r>
              <w:rPr>
                <w:rFonts w:cs="Times New Roman"/>
                <w:color w:val="auto"/>
                <w:vertAlign w:val="subscript"/>
              </w:rPr>
              <w:t xml:space="preserve">5 </w:t>
            </w:r>
            <w:r>
              <w:rPr>
                <w:rFonts w:cs="Times New Roman"/>
                <w:color w:val="auto"/>
              </w:rPr>
              <w:t>240mg/L，SS 100mg/L，氨氮35mg/L。本项目污染物产排情况见下表。</w:t>
            </w:r>
          </w:p>
          <w:p w14:paraId="2FD077E7">
            <w:pPr>
              <w:pStyle w:val="36"/>
              <w:rPr>
                <w:rFonts w:cs="Times New Roman"/>
                <w:color w:val="auto"/>
              </w:rPr>
            </w:pPr>
            <w:r>
              <w:rPr>
                <w:rFonts w:cs="Times New Roman"/>
                <w:color w:val="auto"/>
              </w:rPr>
              <w:t>表4-</w:t>
            </w:r>
            <w:r>
              <w:rPr>
                <w:rFonts w:hint="eastAsia" w:cs="Times New Roman"/>
                <w:color w:val="auto"/>
                <w:lang w:val="en-US" w:eastAsia="zh-CN"/>
              </w:rPr>
              <w:t>8</w:t>
            </w:r>
            <w:r>
              <w:rPr>
                <w:rFonts w:cs="Times New Roman"/>
                <w:color w:val="auto"/>
              </w:rPr>
              <w:t xml:space="preserve"> 生活污水中各污染物产生浓度及产生量</w:t>
            </w:r>
          </w:p>
          <w:tbl>
            <w:tblPr>
              <w:tblStyle w:val="27"/>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508"/>
              <w:gridCol w:w="1508"/>
              <w:gridCol w:w="1508"/>
              <w:gridCol w:w="1507"/>
            </w:tblGrid>
            <w:tr w14:paraId="3AE9A7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8" w:type="pct"/>
                  <w:vAlign w:val="center"/>
                </w:tcPr>
                <w:p w14:paraId="0A6B1268">
                  <w:pPr>
                    <w:pStyle w:val="50"/>
                    <w:jc w:val="center"/>
                    <w:rPr>
                      <w:b/>
                      <w:bCs/>
                      <w:color w:val="auto"/>
                    </w:rPr>
                  </w:pPr>
                  <w:r>
                    <w:rPr>
                      <w:b/>
                      <w:bCs/>
                      <w:color w:val="auto"/>
                    </w:rPr>
                    <w:t>废水量</w:t>
                  </w:r>
                </w:p>
              </w:tc>
              <w:tc>
                <w:tcPr>
                  <w:tcW w:w="1000" w:type="pct"/>
                  <w:vAlign w:val="center"/>
                </w:tcPr>
                <w:p w14:paraId="30C38D02">
                  <w:pPr>
                    <w:pStyle w:val="50"/>
                    <w:jc w:val="center"/>
                    <w:rPr>
                      <w:b/>
                      <w:bCs/>
                      <w:color w:val="auto"/>
                    </w:rPr>
                  </w:pPr>
                  <w:r>
                    <w:rPr>
                      <w:b/>
                      <w:bCs/>
                      <w:color w:val="auto"/>
                    </w:rPr>
                    <w:t>COD</w:t>
                  </w:r>
                </w:p>
              </w:tc>
              <w:tc>
                <w:tcPr>
                  <w:tcW w:w="1000" w:type="pct"/>
                  <w:vAlign w:val="center"/>
                </w:tcPr>
                <w:p w14:paraId="3F591164">
                  <w:pPr>
                    <w:pStyle w:val="50"/>
                    <w:jc w:val="center"/>
                    <w:rPr>
                      <w:b/>
                      <w:bCs/>
                      <w:color w:val="auto"/>
                    </w:rPr>
                  </w:pPr>
                  <w:r>
                    <w:rPr>
                      <w:b/>
                      <w:bCs/>
                      <w:color w:val="auto"/>
                    </w:rPr>
                    <w:t>BOD</w:t>
                  </w:r>
                  <w:r>
                    <w:rPr>
                      <w:b/>
                      <w:bCs/>
                      <w:color w:val="auto"/>
                      <w:vertAlign w:val="subscript"/>
                    </w:rPr>
                    <w:t>5</w:t>
                  </w:r>
                </w:p>
              </w:tc>
              <w:tc>
                <w:tcPr>
                  <w:tcW w:w="1000" w:type="pct"/>
                  <w:vAlign w:val="center"/>
                </w:tcPr>
                <w:p w14:paraId="469F5335">
                  <w:pPr>
                    <w:pStyle w:val="50"/>
                    <w:jc w:val="center"/>
                    <w:rPr>
                      <w:b/>
                      <w:bCs/>
                      <w:color w:val="auto"/>
                    </w:rPr>
                  </w:pPr>
                  <w:r>
                    <w:rPr>
                      <w:b/>
                      <w:bCs/>
                      <w:color w:val="auto"/>
                    </w:rPr>
                    <w:t>SS</w:t>
                  </w:r>
                </w:p>
              </w:tc>
              <w:tc>
                <w:tcPr>
                  <w:tcW w:w="1000" w:type="pct"/>
                  <w:vAlign w:val="center"/>
                </w:tcPr>
                <w:p w14:paraId="406AACC7">
                  <w:pPr>
                    <w:pStyle w:val="50"/>
                    <w:jc w:val="center"/>
                    <w:rPr>
                      <w:b/>
                      <w:bCs/>
                      <w:color w:val="auto"/>
                    </w:rPr>
                  </w:pPr>
                  <w:r>
                    <w:rPr>
                      <w:b/>
                      <w:bCs/>
                      <w:color w:val="auto"/>
                    </w:rPr>
                    <w:t>NH</w:t>
                  </w:r>
                  <w:r>
                    <w:rPr>
                      <w:b/>
                      <w:bCs/>
                      <w:color w:val="auto"/>
                      <w:vertAlign w:val="subscript"/>
                    </w:rPr>
                    <w:t>3</w:t>
                  </w:r>
                  <w:r>
                    <w:rPr>
                      <w:b/>
                      <w:bCs/>
                      <w:color w:val="auto"/>
                    </w:rPr>
                    <w:t>-N</w:t>
                  </w:r>
                </w:p>
              </w:tc>
            </w:tr>
            <w:tr w14:paraId="755605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998" w:type="pct"/>
                  <w:vMerge w:val="restart"/>
                  <w:vAlign w:val="center"/>
                </w:tcPr>
                <w:p w14:paraId="6AB3FA60">
                  <w:pPr>
                    <w:pStyle w:val="50"/>
                    <w:jc w:val="center"/>
                    <w:rPr>
                      <w:color w:val="auto"/>
                    </w:rPr>
                  </w:pPr>
                  <w:r>
                    <w:rPr>
                      <w:rFonts w:hint="eastAsia"/>
                      <w:color w:val="auto"/>
                      <w:lang w:val="en-US" w:eastAsia="zh-CN"/>
                    </w:rPr>
                    <w:t>216</w:t>
                  </w:r>
                  <w:r>
                    <w:rPr>
                      <w:color w:val="auto"/>
                    </w:rPr>
                    <w:t>m</w:t>
                  </w:r>
                  <w:r>
                    <w:rPr>
                      <w:color w:val="auto"/>
                      <w:vertAlign w:val="superscript"/>
                    </w:rPr>
                    <w:t>3</w:t>
                  </w:r>
                  <w:r>
                    <w:rPr>
                      <w:color w:val="auto"/>
                    </w:rPr>
                    <w:t>/a</w:t>
                  </w:r>
                </w:p>
              </w:tc>
              <w:tc>
                <w:tcPr>
                  <w:tcW w:w="1000" w:type="pct"/>
                  <w:vAlign w:val="center"/>
                </w:tcPr>
                <w:p w14:paraId="1899ACB3">
                  <w:pPr>
                    <w:pStyle w:val="50"/>
                    <w:jc w:val="center"/>
                    <w:rPr>
                      <w:color w:val="auto"/>
                    </w:rPr>
                  </w:pPr>
                  <w:r>
                    <w:rPr>
                      <w:color w:val="auto"/>
                    </w:rPr>
                    <w:t>350</w:t>
                  </w:r>
                </w:p>
              </w:tc>
              <w:tc>
                <w:tcPr>
                  <w:tcW w:w="1000" w:type="pct"/>
                  <w:vAlign w:val="center"/>
                </w:tcPr>
                <w:p w14:paraId="1CE7DB3F">
                  <w:pPr>
                    <w:pStyle w:val="50"/>
                    <w:jc w:val="center"/>
                    <w:rPr>
                      <w:color w:val="auto"/>
                    </w:rPr>
                  </w:pPr>
                  <w:r>
                    <w:rPr>
                      <w:color w:val="auto"/>
                    </w:rPr>
                    <w:t>240</w:t>
                  </w:r>
                </w:p>
              </w:tc>
              <w:tc>
                <w:tcPr>
                  <w:tcW w:w="1000" w:type="pct"/>
                  <w:vAlign w:val="center"/>
                </w:tcPr>
                <w:p w14:paraId="29F9932D">
                  <w:pPr>
                    <w:pStyle w:val="50"/>
                    <w:jc w:val="center"/>
                    <w:rPr>
                      <w:color w:val="auto"/>
                    </w:rPr>
                  </w:pPr>
                  <w:r>
                    <w:rPr>
                      <w:color w:val="auto"/>
                    </w:rPr>
                    <w:t>100</w:t>
                  </w:r>
                </w:p>
              </w:tc>
              <w:tc>
                <w:tcPr>
                  <w:tcW w:w="1000" w:type="pct"/>
                  <w:vAlign w:val="center"/>
                </w:tcPr>
                <w:p w14:paraId="396962EF">
                  <w:pPr>
                    <w:pStyle w:val="50"/>
                    <w:jc w:val="center"/>
                    <w:rPr>
                      <w:color w:val="auto"/>
                    </w:rPr>
                  </w:pPr>
                  <w:r>
                    <w:rPr>
                      <w:color w:val="auto"/>
                    </w:rPr>
                    <w:t>35</w:t>
                  </w:r>
                </w:p>
              </w:tc>
            </w:tr>
            <w:tr w14:paraId="5573D1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98" w:type="pct"/>
                  <w:vMerge w:val="continue"/>
                  <w:vAlign w:val="center"/>
                </w:tcPr>
                <w:p w14:paraId="6E001BDB">
                  <w:pPr>
                    <w:pStyle w:val="50"/>
                    <w:jc w:val="center"/>
                    <w:rPr>
                      <w:color w:val="auto"/>
                    </w:rPr>
                  </w:pPr>
                </w:p>
              </w:tc>
              <w:tc>
                <w:tcPr>
                  <w:tcW w:w="1000" w:type="pct"/>
                  <w:vAlign w:val="center"/>
                </w:tcPr>
                <w:p w14:paraId="69A0FC99">
                  <w:pPr>
                    <w:pStyle w:val="50"/>
                    <w:jc w:val="center"/>
                    <w:rPr>
                      <w:rFonts w:hint="default" w:eastAsia="宋体"/>
                      <w:color w:val="auto"/>
                      <w:lang w:val="en-US" w:eastAsia="zh-CN"/>
                    </w:rPr>
                  </w:pPr>
                  <w:r>
                    <w:rPr>
                      <w:rFonts w:hint="eastAsia"/>
                      <w:color w:val="auto"/>
                      <w:lang w:val="en-US" w:eastAsia="zh-CN"/>
                    </w:rPr>
                    <w:t>75.6kg/a</w:t>
                  </w:r>
                </w:p>
              </w:tc>
              <w:tc>
                <w:tcPr>
                  <w:tcW w:w="1000" w:type="pct"/>
                  <w:vAlign w:val="center"/>
                </w:tcPr>
                <w:p w14:paraId="29B2DA26">
                  <w:pPr>
                    <w:pStyle w:val="50"/>
                    <w:jc w:val="center"/>
                    <w:rPr>
                      <w:color w:val="auto"/>
                    </w:rPr>
                  </w:pPr>
                  <w:r>
                    <w:rPr>
                      <w:rFonts w:hint="eastAsia"/>
                      <w:color w:val="auto"/>
                      <w:lang w:val="en-US" w:eastAsia="zh-CN"/>
                    </w:rPr>
                    <w:t>51.84kg/a</w:t>
                  </w:r>
                </w:p>
              </w:tc>
              <w:tc>
                <w:tcPr>
                  <w:tcW w:w="1000" w:type="pct"/>
                  <w:vAlign w:val="center"/>
                </w:tcPr>
                <w:p w14:paraId="4A15A117">
                  <w:pPr>
                    <w:pStyle w:val="50"/>
                    <w:jc w:val="center"/>
                    <w:rPr>
                      <w:color w:val="auto"/>
                    </w:rPr>
                  </w:pPr>
                  <w:r>
                    <w:rPr>
                      <w:rFonts w:hint="eastAsia"/>
                      <w:color w:val="auto"/>
                      <w:lang w:val="en-US" w:eastAsia="zh-CN"/>
                    </w:rPr>
                    <w:t>21.6kg/a</w:t>
                  </w:r>
                </w:p>
              </w:tc>
              <w:tc>
                <w:tcPr>
                  <w:tcW w:w="1000" w:type="pct"/>
                  <w:vAlign w:val="center"/>
                </w:tcPr>
                <w:p w14:paraId="26DADCD0">
                  <w:pPr>
                    <w:pStyle w:val="50"/>
                    <w:jc w:val="center"/>
                    <w:rPr>
                      <w:color w:val="auto"/>
                    </w:rPr>
                  </w:pPr>
                  <w:r>
                    <w:rPr>
                      <w:rFonts w:hint="eastAsia"/>
                      <w:color w:val="auto"/>
                      <w:lang w:val="en-US" w:eastAsia="zh-CN"/>
                    </w:rPr>
                    <w:t>7.56kg/a</w:t>
                  </w:r>
                </w:p>
              </w:tc>
            </w:tr>
          </w:tbl>
          <w:p w14:paraId="4701E16C">
            <w:pPr>
              <w:ind w:firstLine="480"/>
              <w:rPr>
                <w:rFonts w:cs="Times New Roman"/>
                <w:color w:val="auto"/>
              </w:rPr>
            </w:pPr>
            <w:r>
              <w:rPr>
                <w:rFonts w:cs="Times New Roman"/>
                <w:color w:val="auto"/>
              </w:rPr>
              <w:t>生活污水</w:t>
            </w:r>
            <w:r>
              <w:rPr>
                <w:rFonts w:hint="eastAsia" w:cs="Times New Roman"/>
                <w:color w:val="auto"/>
                <w:lang w:val="en-US" w:eastAsia="zh-CN"/>
              </w:rPr>
              <w:t>委托环卫部门定期转运</w:t>
            </w:r>
            <w:r>
              <w:rPr>
                <w:rFonts w:hint="eastAsia" w:cs="Times New Roman"/>
                <w:color w:val="auto"/>
              </w:rPr>
              <w:t>。</w:t>
            </w:r>
          </w:p>
          <w:p w14:paraId="4472994E">
            <w:pPr>
              <w:ind w:firstLine="482"/>
              <w:rPr>
                <w:rFonts w:cs="Times New Roman"/>
                <w:b/>
                <w:color w:val="auto"/>
              </w:rPr>
            </w:pPr>
            <w:r>
              <w:rPr>
                <w:rFonts w:cs="Times New Roman"/>
                <w:b/>
                <w:color w:val="auto"/>
              </w:rPr>
              <w:t>三、噪声环境影响分析及防治措施</w:t>
            </w:r>
          </w:p>
          <w:p w14:paraId="7E70FD8D">
            <w:pPr>
              <w:ind w:firstLine="480"/>
              <w:rPr>
                <w:rFonts w:cs="Times New Roman"/>
                <w:color w:val="auto"/>
              </w:rPr>
            </w:pPr>
            <w:r>
              <w:rPr>
                <w:rFonts w:cs="Times New Roman"/>
                <w:color w:val="auto"/>
              </w:rPr>
              <w:t>本项目的主要设备噪声源包括混凝土搅拌机、</w:t>
            </w:r>
            <w:r>
              <w:rPr>
                <w:rFonts w:hint="eastAsia" w:cs="Times New Roman"/>
                <w:color w:val="auto"/>
                <w:lang w:val="en-US" w:eastAsia="zh-CN"/>
              </w:rPr>
              <w:t>钢筋切割机</w:t>
            </w:r>
            <w:r>
              <w:rPr>
                <w:rFonts w:cs="Times New Roman"/>
                <w:color w:val="auto"/>
              </w:rPr>
              <w:t>、</w:t>
            </w:r>
            <w:r>
              <w:rPr>
                <w:rFonts w:hint="eastAsia" w:cs="Times New Roman"/>
                <w:color w:val="auto"/>
                <w:lang w:val="en-US" w:eastAsia="zh-CN"/>
              </w:rPr>
              <w:t>焊接设备</w:t>
            </w:r>
            <w:r>
              <w:rPr>
                <w:rFonts w:cs="Times New Roman"/>
                <w:color w:val="auto"/>
              </w:rPr>
              <w:t>、</w:t>
            </w:r>
            <w:r>
              <w:rPr>
                <w:rFonts w:hint="eastAsia" w:cs="Times New Roman"/>
                <w:color w:val="auto"/>
                <w:lang w:val="en-US" w:eastAsia="zh-CN"/>
              </w:rPr>
              <w:t>龙门吊</w:t>
            </w:r>
            <w:r>
              <w:rPr>
                <w:rFonts w:cs="Times New Roman"/>
                <w:color w:val="auto"/>
              </w:rPr>
              <w:t>等产生的动力机械噪声和车辆运输产生的运输噪声，噪声级值为70～90dB（A）。噪声源强见下表所示。</w:t>
            </w:r>
          </w:p>
          <w:p w14:paraId="47E24C27">
            <w:pPr>
              <w:pStyle w:val="36"/>
              <w:rPr>
                <w:rFonts w:cs="Times New Roman"/>
                <w:color w:val="auto"/>
              </w:rPr>
            </w:pPr>
            <w:r>
              <w:rPr>
                <w:rFonts w:cs="Times New Roman"/>
                <w:color w:val="auto"/>
              </w:rPr>
              <w:t>表4-</w:t>
            </w:r>
            <w:r>
              <w:rPr>
                <w:rFonts w:hint="eastAsia" w:cs="Times New Roman"/>
                <w:color w:val="auto"/>
                <w:lang w:val="en-US" w:eastAsia="zh-CN"/>
              </w:rPr>
              <w:t>9</w:t>
            </w:r>
            <w:r>
              <w:rPr>
                <w:rFonts w:cs="Times New Roman"/>
                <w:color w:val="auto"/>
              </w:rPr>
              <w:t xml:space="preserve">  主要噪声设备及声源源强表</w:t>
            </w:r>
          </w:p>
          <w:tbl>
            <w:tblPr>
              <w:tblStyle w:val="27"/>
              <w:tblW w:w="47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5"/>
              <w:gridCol w:w="396"/>
              <w:gridCol w:w="396"/>
              <w:gridCol w:w="380"/>
              <w:gridCol w:w="380"/>
              <w:gridCol w:w="434"/>
              <w:gridCol w:w="396"/>
              <w:gridCol w:w="380"/>
              <w:gridCol w:w="415"/>
              <w:gridCol w:w="396"/>
              <w:gridCol w:w="380"/>
              <w:gridCol w:w="380"/>
              <w:gridCol w:w="380"/>
              <w:gridCol w:w="380"/>
              <w:gridCol w:w="380"/>
              <w:gridCol w:w="380"/>
              <w:gridCol w:w="381"/>
              <w:gridCol w:w="532"/>
            </w:tblGrid>
            <w:tr w14:paraId="0038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68" w:type="dxa"/>
                  <w:vMerge w:val="restart"/>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633360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b/>
                      <w:bCs/>
                      <w:i w:val="0"/>
                      <w:iCs w:val="0"/>
                      <w:color w:val="auto"/>
                      <w:sz w:val="18"/>
                      <w:szCs w:val="18"/>
                      <w:u w:val="none"/>
                    </w:rPr>
                  </w:pPr>
                  <w:r>
                    <w:rPr>
                      <w:rFonts w:hint="default" w:ascii="Calibri" w:hAnsi="Calibri" w:eastAsia="宋体" w:cs="Calibri"/>
                      <w:b/>
                      <w:bCs/>
                      <w:i w:val="0"/>
                      <w:iCs w:val="0"/>
                      <w:color w:val="auto"/>
                      <w:kern w:val="0"/>
                      <w:sz w:val="18"/>
                      <w:szCs w:val="18"/>
                      <w:u w:val="none"/>
                      <w:lang w:val="en-US" w:eastAsia="zh-CN" w:bidi="ar"/>
                    </w:rPr>
                    <w:t>声源名称</w:t>
                  </w:r>
                </w:p>
              </w:tc>
              <w:tc>
                <w:tcPr>
                  <w:tcW w:w="268" w:type="dxa"/>
                  <w:vMerge w:val="restart"/>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194094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b/>
                      <w:bCs/>
                      <w:i w:val="0"/>
                      <w:iCs w:val="0"/>
                      <w:color w:val="auto"/>
                      <w:sz w:val="18"/>
                      <w:szCs w:val="18"/>
                      <w:u w:val="none"/>
                    </w:rPr>
                  </w:pPr>
                  <w:r>
                    <w:rPr>
                      <w:rFonts w:hint="default" w:ascii="Calibri" w:hAnsi="Calibri" w:eastAsia="宋体" w:cs="Calibri"/>
                      <w:b/>
                      <w:bCs/>
                      <w:i w:val="0"/>
                      <w:iCs w:val="0"/>
                      <w:color w:val="auto"/>
                      <w:kern w:val="0"/>
                      <w:sz w:val="18"/>
                      <w:szCs w:val="18"/>
                      <w:u w:val="none"/>
                      <w:lang w:val="en-US" w:eastAsia="zh-CN" w:bidi="ar"/>
                    </w:rPr>
                    <w:t>型号</w:t>
                  </w:r>
                </w:p>
              </w:tc>
              <w:tc>
                <w:tcPr>
                  <w:tcW w:w="268" w:type="dxa"/>
                  <w:vMerge w:val="restart"/>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1F2D11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b/>
                      <w:bCs/>
                      <w:i w:val="0"/>
                      <w:iCs w:val="0"/>
                      <w:color w:val="auto"/>
                      <w:sz w:val="18"/>
                      <w:szCs w:val="18"/>
                      <w:u w:val="none"/>
                    </w:rPr>
                  </w:pPr>
                  <w:r>
                    <w:rPr>
                      <w:rFonts w:hint="default" w:ascii="Calibri" w:hAnsi="Calibri" w:eastAsia="宋体" w:cs="Calibri"/>
                      <w:b/>
                      <w:bCs/>
                      <w:i w:val="0"/>
                      <w:iCs w:val="0"/>
                      <w:color w:val="auto"/>
                      <w:kern w:val="0"/>
                      <w:sz w:val="18"/>
                      <w:szCs w:val="18"/>
                      <w:u w:val="none"/>
                      <w:lang w:val="en-US" w:eastAsia="zh-CN" w:bidi="ar"/>
                    </w:rPr>
                    <w:t>设备数量</w:t>
                  </w:r>
                </w:p>
              </w:tc>
              <w:tc>
                <w:tcPr>
                  <w:tcW w:w="808" w:type="dxa"/>
                  <w:gridSpan w:val="3"/>
                  <w:vMerge w:val="restart"/>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589300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b/>
                      <w:bCs/>
                      <w:i w:val="0"/>
                      <w:iCs w:val="0"/>
                      <w:color w:val="auto"/>
                      <w:sz w:val="18"/>
                      <w:szCs w:val="18"/>
                      <w:u w:val="none"/>
                    </w:rPr>
                  </w:pPr>
                  <w:r>
                    <w:rPr>
                      <w:rFonts w:hint="default" w:ascii="Calibri" w:hAnsi="Calibri" w:eastAsia="宋体" w:cs="Calibri"/>
                      <w:b/>
                      <w:bCs/>
                      <w:i w:val="0"/>
                      <w:iCs w:val="0"/>
                      <w:color w:val="auto"/>
                      <w:kern w:val="0"/>
                      <w:sz w:val="18"/>
                      <w:szCs w:val="18"/>
                      <w:u w:val="none"/>
                      <w:lang w:val="en-US" w:eastAsia="zh-CN" w:bidi="ar"/>
                    </w:rPr>
                    <w:t>空间相对位置/m</w:t>
                  </w:r>
                </w:p>
              </w:tc>
              <w:tc>
                <w:tcPr>
                  <w:tcW w:w="268" w:type="dxa"/>
                  <w:vMerge w:val="restart"/>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6B589A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b/>
                      <w:bCs/>
                      <w:i w:val="0"/>
                      <w:iCs w:val="0"/>
                      <w:color w:val="auto"/>
                      <w:sz w:val="18"/>
                      <w:szCs w:val="18"/>
                      <w:u w:val="none"/>
                    </w:rPr>
                  </w:pPr>
                  <w:r>
                    <w:rPr>
                      <w:rFonts w:hint="default" w:ascii="Calibri" w:hAnsi="Calibri" w:eastAsia="宋体" w:cs="Calibri"/>
                      <w:b/>
                      <w:bCs/>
                      <w:i w:val="0"/>
                      <w:iCs w:val="0"/>
                      <w:color w:val="auto"/>
                      <w:kern w:val="0"/>
                      <w:sz w:val="18"/>
                      <w:szCs w:val="18"/>
                      <w:u w:val="none"/>
                      <w:lang w:val="en-US" w:eastAsia="zh-CN" w:bidi="ar"/>
                    </w:rPr>
                    <w:t>声源控制措施</w:t>
                  </w:r>
                </w:p>
              </w:tc>
              <w:tc>
                <w:tcPr>
                  <w:tcW w:w="538" w:type="dxa"/>
                  <w:gridSpan w:val="2"/>
                  <w:vMerge w:val="restart"/>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3573B0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b/>
                      <w:bCs/>
                      <w:i w:val="0"/>
                      <w:iCs w:val="0"/>
                      <w:color w:val="auto"/>
                      <w:sz w:val="18"/>
                      <w:szCs w:val="18"/>
                      <w:u w:val="none"/>
                    </w:rPr>
                  </w:pPr>
                  <w:r>
                    <w:rPr>
                      <w:rFonts w:hint="default" w:ascii="Calibri" w:hAnsi="Calibri" w:eastAsia="宋体" w:cs="Calibri"/>
                      <w:b/>
                      <w:bCs/>
                      <w:i w:val="0"/>
                      <w:iCs w:val="0"/>
                      <w:color w:val="auto"/>
                      <w:kern w:val="0"/>
                      <w:sz w:val="18"/>
                      <w:szCs w:val="18"/>
                      <w:u w:val="none"/>
                      <w:lang w:val="en-US" w:eastAsia="zh-CN" w:bidi="ar"/>
                    </w:rPr>
                    <w:t>声源源强</w:t>
                  </w:r>
                </w:p>
              </w:tc>
              <w:tc>
                <w:tcPr>
                  <w:tcW w:w="268" w:type="dxa"/>
                  <w:vMerge w:val="restart"/>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55F20E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b/>
                      <w:bCs/>
                      <w:i w:val="0"/>
                      <w:iCs w:val="0"/>
                      <w:color w:val="auto"/>
                      <w:sz w:val="18"/>
                      <w:szCs w:val="18"/>
                      <w:u w:val="none"/>
                    </w:rPr>
                  </w:pPr>
                  <w:r>
                    <w:rPr>
                      <w:rFonts w:hint="default" w:ascii="Calibri" w:hAnsi="Calibri" w:eastAsia="宋体" w:cs="Calibri"/>
                      <w:b/>
                      <w:bCs/>
                      <w:i w:val="0"/>
                      <w:iCs w:val="0"/>
                      <w:color w:val="auto"/>
                      <w:kern w:val="0"/>
                      <w:sz w:val="18"/>
                      <w:szCs w:val="18"/>
                      <w:u w:val="none"/>
                      <w:lang w:val="en-US" w:eastAsia="zh-CN" w:bidi="ar"/>
                    </w:rPr>
                    <w:t>运行时段</w:t>
                  </w:r>
                </w:p>
              </w:tc>
              <w:tc>
                <w:tcPr>
                  <w:tcW w:w="2160" w:type="dxa"/>
                  <w:gridSpan w:val="8"/>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3A39B0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b/>
                      <w:bCs/>
                      <w:i w:val="0"/>
                      <w:iCs w:val="0"/>
                      <w:color w:val="auto"/>
                      <w:sz w:val="18"/>
                      <w:szCs w:val="18"/>
                      <w:u w:val="none"/>
                    </w:rPr>
                  </w:pPr>
                  <w:r>
                    <w:rPr>
                      <w:rFonts w:hint="default" w:ascii="Calibri" w:hAnsi="Calibri" w:eastAsia="宋体" w:cs="Calibri"/>
                      <w:b/>
                      <w:bCs/>
                      <w:i w:val="0"/>
                      <w:iCs w:val="0"/>
                      <w:color w:val="auto"/>
                      <w:kern w:val="0"/>
                      <w:sz w:val="18"/>
                      <w:szCs w:val="18"/>
                      <w:u w:val="none"/>
                      <w:lang w:val="en-US" w:eastAsia="zh-CN" w:bidi="ar"/>
                    </w:rPr>
                    <w:t>建筑物外噪音</w:t>
                  </w:r>
                </w:p>
              </w:tc>
            </w:tr>
            <w:tr w14:paraId="6395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68" w:type="dxa"/>
                  <w:vMerge w:val="continue"/>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26B707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Calibri" w:hAnsi="Calibri" w:cs="Calibri"/>
                      <w:b/>
                      <w:bCs/>
                      <w:i w:val="0"/>
                      <w:iCs w:val="0"/>
                      <w:color w:val="auto"/>
                      <w:sz w:val="18"/>
                      <w:szCs w:val="18"/>
                      <w:u w:val="none"/>
                    </w:rPr>
                  </w:pPr>
                </w:p>
              </w:tc>
              <w:tc>
                <w:tcPr>
                  <w:tcW w:w="268" w:type="dxa"/>
                  <w:vMerge w:val="continue"/>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36FB75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Calibri" w:hAnsi="Calibri" w:cs="Calibri"/>
                      <w:b/>
                      <w:bCs/>
                      <w:i w:val="0"/>
                      <w:iCs w:val="0"/>
                      <w:color w:val="auto"/>
                      <w:sz w:val="18"/>
                      <w:szCs w:val="18"/>
                      <w:u w:val="none"/>
                    </w:rPr>
                  </w:pPr>
                </w:p>
              </w:tc>
              <w:tc>
                <w:tcPr>
                  <w:tcW w:w="268" w:type="dxa"/>
                  <w:vMerge w:val="continue"/>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7FA312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Calibri" w:hAnsi="Calibri" w:cs="Calibri"/>
                      <w:b/>
                      <w:bCs/>
                      <w:i w:val="0"/>
                      <w:iCs w:val="0"/>
                      <w:color w:val="auto"/>
                      <w:sz w:val="18"/>
                      <w:szCs w:val="18"/>
                      <w:u w:val="none"/>
                    </w:rPr>
                  </w:pPr>
                </w:p>
              </w:tc>
              <w:tc>
                <w:tcPr>
                  <w:tcW w:w="808" w:type="dxa"/>
                  <w:gridSpan w:val="3"/>
                  <w:vMerge w:val="continue"/>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19B99B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Calibri" w:hAnsi="Calibri" w:cs="Calibri"/>
                      <w:b/>
                      <w:bCs/>
                      <w:i w:val="0"/>
                      <w:iCs w:val="0"/>
                      <w:color w:val="auto"/>
                      <w:sz w:val="18"/>
                      <w:szCs w:val="18"/>
                      <w:u w:val="none"/>
                    </w:rPr>
                  </w:pPr>
                </w:p>
              </w:tc>
              <w:tc>
                <w:tcPr>
                  <w:tcW w:w="268" w:type="dxa"/>
                  <w:vMerge w:val="continue"/>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206508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Calibri" w:hAnsi="Calibri" w:cs="Calibri"/>
                      <w:b/>
                      <w:bCs/>
                      <w:i w:val="0"/>
                      <w:iCs w:val="0"/>
                      <w:color w:val="auto"/>
                      <w:sz w:val="18"/>
                      <w:szCs w:val="18"/>
                      <w:u w:val="none"/>
                    </w:rPr>
                  </w:pPr>
                </w:p>
              </w:tc>
              <w:tc>
                <w:tcPr>
                  <w:tcW w:w="538" w:type="dxa"/>
                  <w:gridSpan w:val="2"/>
                  <w:vMerge w:val="continue"/>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43636D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Calibri" w:hAnsi="Calibri" w:cs="Calibri"/>
                      <w:b/>
                      <w:bCs/>
                      <w:i w:val="0"/>
                      <w:iCs w:val="0"/>
                      <w:color w:val="auto"/>
                      <w:sz w:val="18"/>
                      <w:szCs w:val="18"/>
                      <w:u w:val="none"/>
                    </w:rPr>
                  </w:pPr>
                </w:p>
              </w:tc>
              <w:tc>
                <w:tcPr>
                  <w:tcW w:w="268" w:type="dxa"/>
                  <w:vMerge w:val="continue"/>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401B2E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Calibri" w:hAnsi="Calibri" w:cs="Calibri"/>
                      <w:b/>
                      <w:bCs/>
                      <w:i w:val="0"/>
                      <w:iCs w:val="0"/>
                      <w:color w:val="auto"/>
                      <w:sz w:val="18"/>
                      <w:szCs w:val="18"/>
                      <w:u w:val="none"/>
                    </w:rPr>
                  </w:pPr>
                </w:p>
              </w:tc>
              <w:tc>
                <w:tcPr>
                  <w:tcW w:w="1028" w:type="dxa"/>
                  <w:gridSpan w:val="4"/>
                  <w:tcBorders>
                    <w:top w:val="single" w:color="000000" w:sz="8" w:space="0"/>
                    <w:left w:val="single" w:color="000000" w:sz="8" w:space="0"/>
                    <w:bottom w:val="single" w:color="000000" w:sz="8" w:space="0"/>
                    <w:right w:val="single" w:color="000000" w:sz="8" w:space="0"/>
                  </w:tcBorders>
                  <w:shd w:val="clear" w:color="auto" w:fill="E6E6E6"/>
                  <w:noWrap/>
                  <w:vAlign w:val="center"/>
                </w:tcPr>
                <w:p w14:paraId="191E4F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b/>
                      <w:bCs/>
                      <w:i w:val="0"/>
                      <w:iCs w:val="0"/>
                      <w:color w:val="auto"/>
                      <w:sz w:val="18"/>
                      <w:szCs w:val="18"/>
                      <w:u w:val="none"/>
                    </w:rPr>
                  </w:pPr>
                  <w:r>
                    <w:rPr>
                      <w:rFonts w:hint="default" w:ascii="Calibri" w:hAnsi="Calibri" w:eastAsia="宋体" w:cs="Calibri"/>
                      <w:b/>
                      <w:bCs/>
                      <w:i w:val="0"/>
                      <w:iCs w:val="0"/>
                      <w:color w:val="auto"/>
                      <w:kern w:val="0"/>
                      <w:sz w:val="18"/>
                      <w:szCs w:val="18"/>
                      <w:u w:val="none"/>
                      <w:lang w:val="en-US" w:eastAsia="zh-CN" w:bidi="ar"/>
                    </w:rPr>
                    <w:t>声压级/dB(A)</w:t>
                  </w:r>
                </w:p>
              </w:tc>
              <w:tc>
                <w:tcPr>
                  <w:tcW w:w="1132" w:type="dxa"/>
                  <w:gridSpan w:val="4"/>
                  <w:tcBorders>
                    <w:top w:val="single" w:color="000000" w:sz="8" w:space="0"/>
                    <w:left w:val="single" w:color="000000" w:sz="8" w:space="0"/>
                    <w:bottom w:val="single" w:color="000000" w:sz="8" w:space="0"/>
                    <w:right w:val="single" w:color="000000" w:sz="8" w:space="0"/>
                  </w:tcBorders>
                  <w:shd w:val="clear" w:color="auto" w:fill="E6E6E6"/>
                  <w:noWrap/>
                  <w:vAlign w:val="center"/>
                </w:tcPr>
                <w:p w14:paraId="6AD8A5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b/>
                      <w:bCs/>
                      <w:i w:val="0"/>
                      <w:iCs w:val="0"/>
                      <w:color w:val="auto"/>
                      <w:sz w:val="18"/>
                      <w:szCs w:val="18"/>
                      <w:u w:val="none"/>
                    </w:rPr>
                  </w:pPr>
                  <w:r>
                    <w:rPr>
                      <w:rFonts w:hint="default" w:ascii="Calibri" w:hAnsi="Calibri" w:eastAsia="宋体" w:cs="Calibri"/>
                      <w:b/>
                      <w:bCs/>
                      <w:i w:val="0"/>
                      <w:iCs w:val="0"/>
                      <w:color w:val="auto"/>
                      <w:kern w:val="0"/>
                      <w:sz w:val="18"/>
                      <w:szCs w:val="18"/>
                      <w:u w:val="none"/>
                      <w:lang w:val="en-US" w:eastAsia="zh-CN" w:bidi="ar"/>
                    </w:rPr>
                    <w:t>建筑物外距离/m</w:t>
                  </w:r>
                </w:p>
              </w:tc>
            </w:tr>
            <w:tr w14:paraId="18CC0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68" w:type="dxa"/>
                  <w:vMerge w:val="continue"/>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55A451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Calibri" w:hAnsi="Calibri" w:cs="Calibri"/>
                      <w:b/>
                      <w:bCs/>
                      <w:i w:val="0"/>
                      <w:iCs w:val="0"/>
                      <w:color w:val="auto"/>
                      <w:sz w:val="18"/>
                      <w:szCs w:val="18"/>
                      <w:u w:val="none"/>
                    </w:rPr>
                  </w:pPr>
                </w:p>
              </w:tc>
              <w:tc>
                <w:tcPr>
                  <w:tcW w:w="268" w:type="dxa"/>
                  <w:vMerge w:val="continue"/>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3FDB8C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Calibri" w:hAnsi="Calibri" w:cs="Calibri"/>
                      <w:b/>
                      <w:bCs/>
                      <w:i w:val="0"/>
                      <w:iCs w:val="0"/>
                      <w:color w:val="auto"/>
                      <w:sz w:val="18"/>
                      <w:szCs w:val="18"/>
                      <w:u w:val="none"/>
                    </w:rPr>
                  </w:pPr>
                </w:p>
              </w:tc>
              <w:tc>
                <w:tcPr>
                  <w:tcW w:w="268" w:type="dxa"/>
                  <w:vMerge w:val="continue"/>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26F04A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Calibri" w:hAnsi="Calibri" w:cs="Calibri"/>
                      <w:b/>
                      <w:bCs/>
                      <w:i w:val="0"/>
                      <w:iCs w:val="0"/>
                      <w:color w:val="auto"/>
                      <w:sz w:val="18"/>
                      <w:szCs w:val="18"/>
                      <w:u w:val="none"/>
                    </w:rPr>
                  </w:pPr>
                </w:p>
              </w:tc>
              <w:tc>
                <w:tcPr>
                  <w:tcW w:w="25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CC1E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X</w:t>
                  </w:r>
                </w:p>
              </w:tc>
              <w:tc>
                <w:tcPr>
                  <w:tcW w:w="25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EE8D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Y</w:t>
                  </w:r>
                </w:p>
              </w:tc>
              <w:tc>
                <w:tcPr>
                  <w:tcW w:w="2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1041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Z</w:t>
                  </w:r>
                </w:p>
              </w:tc>
              <w:tc>
                <w:tcPr>
                  <w:tcW w:w="268" w:type="dxa"/>
                  <w:vMerge w:val="continue"/>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22F760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Calibri" w:hAnsi="Calibri" w:cs="Calibri"/>
                      <w:b/>
                      <w:bCs/>
                      <w:i w:val="0"/>
                      <w:iCs w:val="0"/>
                      <w:color w:val="auto"/>
                      <w:sz w:val="18"/>
                      <w:szCs w:val="18"/>
                      <w:u w:val="none"/>
                    </w:rPr>
                  </w:pPr>
                </w:p>
              </w:tc>
              <w:tc>
                <w:tcPr>
                  <w:tcW w:w="25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8BBA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声压级/dB(A)</w:t>
                  </w:r>
                </w:p>
              </w:tc>
              <w:tc>
                <w:tcPr>
                  <w:tcW w:w="2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EEB6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距声源距离/m</w:t>
                  </w:r>
                </w:p>
              </w:tc>
              <w:tc>
                <w:tcPr>
                  <w:tcW w:w="268" w:type="dxa"/>
                  <w:vMerge w:val="continue"/>
                  <w:tcBorders>
                    <w:top w:val="single" w:color="000000" w:sz="8" w:space="0"/>
                    <w:left w:val="single" w:color="000000" w:sz="8" w:space="0"/>
                    <w:bottom w:val="single" w:color="000000" w:sz="8" w:space="0"/>
                    <w:right w:val="single" w:color="000000" w:sz="8" w:space="0"/>
                  </w:tcBorders>
                  <w:shd w:val="clear" w:color="auto" w:fill="D3D3D3"/>
                  <w:noWrap/>
                  <w:vAlign w:val="center"/>
                </w:tcPr>
                <w:p w14:paraId="202457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Calibri" w:hAnsi="Calibri" w:cs="Calibri"/>
                      <w:b/>
                      <w:bCs/>
                      <w:i w:val="0"/>
                      <w:iCs w:val="0"/>
                      <w:color w:val="auto"/>
                      <w:sz w:val="18"/>
                      <w:szCs w:val="18"/>
                      <w:u w:val="none"/>
                    </w:rPr>
                  </w:pP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1CA651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东</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6088B3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南</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72D508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西</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3EE07C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北</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6D7682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东</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14BFA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南</w:t>
                  </w:r>
                </w:p>
              </w:tc>
              <w:tc>
                <w:tcPr>
                  <w:tcW w:w="258" w:type="dxa"/>
                  <w:tcBorders>
                    <w:top w:val="single" w:color="000000" w:sz="8" w:space="0"/>
                    <w:left w:val="single" w:color="000000" w:sz="8" w:space="0"/>
                    <w:bottom w:val="single" w:color="000000" w:sz="8" w:space="0"/>
                    <w:right w:val="single" w:color="000000" w:sz="8" w:space="0"/>
                  </w:tcBorders>
                  <w:noWrap/>
                  <w:vAlign w:val="center"/>
                </w:tcPr>
                <w:p w14:paraId="3F17CA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西</w:t>
                  </w:r>
                </w:p>
              </w:tc>
              <w:tc>
                <w:tcPr>
                  <w:tcW w:w="360" w:type="dxa"/>
                  <w:tcBorders>
                    <w:top w:val="single" w:color="000000" w:sz="8" w:space="0"/>
                    <w:left w:val="single" w:color="000000" w:sz="8" w:space="0"/>
                    <w:bottom w:val="single" w:color="000000" w:sz="8" w:space="0"/>
                    <w:right w:val="single" w:color="000000" w:sz="8" w:space="0"/>
                  </w:tcBorders>
                  <w:noWrap/>
                  <w:vAlign w:val="center"/>
                </w:tcPr>
                <w:p w14:paraId="3D00AE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北</w:t>
                  </w:r>
                </w:p>
              </w:tc>
            </w:tr>
            <w:tr w14:paraId="4DE8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68" w:type="dxa"/>
                  <w:tcBorders>
                    <w:top w:val="single" w:color="000000" w:sz="8" w:space="0"/>
                    <w:left w:val="single" w:color="000000" w:sz="8" w:space="0"/>
                    <w:bottom w:val="single" w:color="000000" w:sz="8" w:space="0"/>
                    <w:right w:val="single" w:color="000000" w:sz="8" w:space="0"/>
                  </w:tcBorders>
                  <w:noWrap/>
                  <w:vAlign w:val="center"/>
                </w:tcPr>
                <w:p w14:paraId="53ACCE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龙</w:t>
                  </w:r>
                  <w:r>
                    <w:rPr>
                      <w:rFonts w:hint="eastAsia" w:ascii="Calibri" w:hAnsi="Calibri" w:cs="Calibri"/>
                      <w:i w:val="0"/>
                      <w:iCs w:val="0"/>
                      <w:color w:val="auto"/>
                      <w:kern w:val="0"/>
                      <w:sz w:val="18"/>
                      <w:szCs w:val="18"/>
                      <w:u w:val="none"/>
                      <w:lang w:val="en-US" w:eastAsia="zh-CN" w:bidi="ar"/>
                    </w:rPr>
                    <w:t>龙</w:t>
                  </w:r>
                  <w:r>
                    <w:rPr>
                      <w:rFonts w:hint="default" w:ascii="Calibri" w:hAnsi="Calibri" w:eastAsia="宋体" w:cs="Calibri"/>
                      <w:i w:val="0"/>
                      <w:iCs w:val="0"/>
                      <w:color w:val="auto"/>
                      <w:kern w:val="0"/>
                      <w:sz w:val="18"/>
                      <w:szCs w:val="18"/>
                      <w:u w:val="none"/>
                      <w:lang w:val="en-US" w:eastAsia="zh-CN" w:bidi="ar"/>
                    </w:rPr>
                    <w:t>门吊1</w:t>
                  </w: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6F8329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Calibri" w:hAnsi="Calibri" w:cs="Calibri"/>
                      <w:i w:val="0"/>
                      <w:iCs w:val="0"/>
                      <w:color w:val="auto"/>
                      <w:sz w:val="18"/>
                      <w:szCs w:val="18"/>
                      <w:u w:val="none"/>
                    </w:rPr>
                  </w:pP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3EA44F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2092C3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-6.6</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33D15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26.98</w:t>
                  </w:r>
                </w:p>
              </w:tc>
              <w:tc>
                <w:tcPr>
                  <w:tcW w:w="294" w:type="dxa"/>
                  <w:tcBorders>
                    <w:top w:val="single" w:color="000000" w:sz="8" w:space="0"/>
                    <w:left w:val="single" w:color="000000" w:sz="8" w:space="0"/>
                    <w:bottom w:val="single" w:color="000000" w:sz="8" w:space="0"/>
                    <w:right w:val="single" w:color="000000" w:sz="8" w:space="0"/>
                  </w:tcBorders>
                  <w:noWrap/>
                  <w:vAlign w:val="center"/>
                </w:tcPr>
                <w:p w14:paraId="3D8789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Calibri" w:hAnsi="Calibri" w:eastAsia="宋体" w:cs="Calibri"/>
                      <w:i w:val="0"/>
                      <w:iCs w:val="0"/>
                      <w:color w:val="auto"/>
                      <w:sz w:val="18"/>
                      <w:szCs w:val="18"/>
                      <w:u w:val="none"/>
                      <w:lang w:val="en-US" w:eastAsia="zh-CN"/>
                    </w:rPr>
                  </w:pPr>
                  <w:r>
                    <w:rPr>
                      <w:rFonts w:hint="eastAsia" w:ascii="Calibri" w:hAnsi="Calibri" w:cs="Calibri"/>
                      <w:i w:val="0"/>
                      <w:iCs w:val="0"/>
                      <w:color w:val="auto"/>
                      <w:sz w:val="18"/>
                      <w:szCs w:val="18"/>
                      <w:u w:val="none"/>
                      <w:lang w:val="en-US" w:eastAsia="zh-CN"/>
                    </w:rPr>
                    <w:t>4</w:t>
                  </w: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5CEA7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距离衰减、减震措施</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746F8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22"/>
                      <w:szCs w:val="22"/>
                      <w:u w:val="none"/>
                      <w:lang w:val="en-US" w:eastAsia="zh-CN" w:bidi="ar"/>
                    </w:rPr>
                    <w:t>75.00</w:t>
                  </w:r>
                </w:p>
              </w:tc>
              <w:tc>
                <w:tcPr>
                  <w:tcW w:w="281" w:type="dxa"/>
                  <w:tcBorders>
                    <w:top w:val="single" w:color="000000" w:sz="8" w:space="0"/>
                    <w:left w:val="single" w:color="000000" w:sz="8" w:space="0"/>
                    <w:bottom w:val="single" w:color="000000" w:sz="8" w:space="0"/>
                    <w:right w:val="single" w:color="000000" w:sz="8" w:space="0"/>
                  </w:tcBorders>
                  <w:noWrap/>
                  <w:vAlign w:val="center"/>
                </w:tcPr>
                <w:p w14:paraId="7C45D5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22"/>
                      <w:szCs w:val="22"/>
                      <w:u w:val="none"/>
                      <w:lang w:val="en-US" w:eastAsia="zh-CN" w:bidi="ar"/>
                    </w:rPr>
                    <w:t>1</w:t>
                  </w: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68C1D9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昼间+夜间</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5762CB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auto"/>
                      <w:sz w:val="18"/>
                      <w:szCs w:val="18"/>
                      <w:u w:val="none"/>
                      <w:lang w:val="en-US" w:eastAsia="zh-CN"/>
                    </w:rPr>
                  </w:pPr>
                  <w:r>
                    <w:rPr>
                      <w:rFonts w:hint="eastAsia" w:ascii="Calibri" w:hAnsi="Calibri" w:cs="Calibri"/>
                      <w:i w:val="0"/>
                      <w:iCs w:val="0"/>
                      <w:color w:val="auto"/>
                      <w:sz w:val="18"/>
                      <w:szCs w:val="18"/>
                      <w:u w:val="none"/>
                      <w:lang w:val="en-US" w:eastAsia="zh-CN"/>
                    </w:rPr>
                    <w:t>55.00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07F487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auto"/>
                      <w:sz w:val="18"/>
                      <w:szCs w:val="18"/>
                      <w:u w:val="none"/>
                      <w:lang w:val="en-US" w:eastAsia="zh-CN"/>
                    </w:rPr>
                  </w:pPr>
                  <w:r>
                    <w:rPr>
                      <w:rFonts w:hint="eastAsia" w:ascii="Calibri" w:hAnsi="Calibri" w:cs="Calibri"/>
                      <w:i w:val="0"/>
                      <w:iCs w:val="0"/>
                      <w:color w:val="auto"/>
                      <w:sz w:val="18"/>
                      <w:szCs w:val="18"/>
                      <w:u w:val="none"/>
                      <w:lang w:val="en-US" w:eastAsia="zh-CN"/>
                    </w:rPr>
                    <w:t>53.00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753BB0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auto"/>
                      <w:sz w:val="18"/>
                      <w:szCs w:val="18"/>
                      <w:u w:val="none"/>
                      <w:lang w:val="en-US" w:eastAsia="zh-CN"/>
                    </w:rPr>
                  </w:pPr>
                  <w:r>
                    <w:rPr>
                      <w:rFonts w:hint="eastAsia" w:ascii="Calibri" w:hAnsi="Calibri" w:cs="Calibri"/>
                      <w:i w:val="0"/>
                      <w:iCs w:val="0"/>
                      <w:color w:val="auto"/>
                      <w:sz w:val="18"/>
                      <w:szCs w:val="18"/>
                      <w:u w:val="none"/>
                      <w:lang w:val="en-US" w:eastAsia="zh-CN"/>
                    </w:rPr>
                    <w:t>57.00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29F56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auto"/>
                      <w:sz w:val="18"/>
                      <w:szCs w:val="18"/>
                      <w:u w:val="none"/>
                      <w:lang w:val="en-US" w:eastAsia="zh-CN"/>
                    </w:rPr>
                  </w:pPr>
                  <w:r>
                    <w:rPr>
                      <w:rFonts w:hint="eastAsia" w:ascii="Calibri" w:hAnsi="Calibri" w:cs="Calibri"/>
                      <w:i w:val="0"/>
                      <w:iCs w:val="0"/>
                      <w:color w:val="auto"/>
                      <w:sz w:val="18"/>
                      <w:szCs w:val="18"/>
                      <w:u w:val="none"/>
                      <w:lang w:val="en-US" w:eastAsia="zh-CN"/>
                    </w:rPr>
                    <w:t>56.00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1CF98A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440644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c>
                <w:tcPr>
                  <w:tcW w:w="258" w:type="dxa"/>
                  <w:tcBorders>
                    <w:top w:val="single" w:color="000000" w:sz="8" w:space="0"/>
                    <w:left w:val="single" w:color="000000" w:sz="8" w:space="0"/>
                    <w:bottom w:val="single" w:color="000000" w:sz="8" w:space="0"/>
                    <w:right w:val="single" w:color="000000" w:sz="8" w:space="0"/>
                  </w:tcBorders>
                  <w:noWrap/>
                  <w:vAlign w:val="center"/>
                </w:tcPr>
                <w:p w14:paraId="65192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c>
                <w:tcPr>
                  <w:tcW w:w="360" w:type="dxa"/>
                  <w:tcBorders>
                    <w:top w:val="single" w:color="000000" w:sz="8" w:space="0"/>
                    <w:left w:val="single" w:color="000000" w:sz="8" w:space="0"/>
                    <w:bottom w:val="single" w:color="000000" w:sz="8" w:space="0"/>
                    <w:right w:val="single" w:color="000000" w:sz="8" w:space="0"/>
                  </w:tcBorders>
                  <w:noWrap/>
                  <w:vAlign w:val="center"/>
                </w:tcPr>
                <w:p w14:paraId="6703A6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r>
            <w:tr w14:paraId="4A92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68" w:type="dxa"/>
                  <w:tcBorders>
                    <w:top w:val="single" w:color="000000" w:sz="8" w:space="0"/>
                    <w:left w:val="single" w:color="000000" w:sz="8" w:space="0"/>
                    <w:bottom w:val="single" w:color="000000" w:sz="8" w:space="0"/>
                    <w:right w:val="single" w:color="000000" w:sz="8" w:space="0"/>
                  </w:tcBorders>
                  <w:noWrap/>
                  <w:vAlign w:val="center"/>
                </w:tcPr>
                <w:p w14:paraId="480E9F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龙</w:t>
                  </w:r>
                  <w:r>
                    <w:rPr>
                      <w:rFonts w:hint="eastAsia" w:ascii="Calibri" w:hAnsi="Calibri" w:cs="Calibri"/>
                      <w:i w:val="0"/>
                      <w:iCs w:val="0"/>
                      <w:color w:val="auto"/>
                      <w:kern w:val="0"/>
                      <w:sz w:val="18"/>
                      <w:szCs w:val="18"/>
                      <w:u w:val="none"/>
                      <w:lang w:val="en-US" w:eastAsia="zh-CN" w:bidi="ar"/>
                    </w:rPr>
                    <w:t>龙</w:t>
                  </w:r>
                  <w:r>
                    <w:rPr>
                      <w:rFonts w:hint="default" w:ascii="Calibri" w:hAnsi="Calibri" w:eastAsia="宋体" w:cs="Calibri"/>
                      <w:i w:val="0"/>
                      <w:iCs w:val="0"/>
                      <w:color w:val="auto"/>
                      <w:kern w:val="0"/>
                      <w:sz w:val="18"/>
                      <w:szCs w:val="18"/>
                      <w:u w:val="none"/>
                      <w:lang w:val="en-US" w:eastAsia="zh-CN" w:bidi="ar"/>
                    </w:rPr>
                    <w:t>门吊2</w:t>
                  </w: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3D3C11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Calibri" w:hAnsi="Calibri" w:cs="Calibri"/>
                      <w:i w:val="0"/>
                      <w:iCs w:val="0"/>
                      <w:color w:val="auto"/>
                      <w:sz w:val="18"/>
                      <w:szCs w:val="18"/>
                      <w:u w:val="none"/>
                    </w:rPr>
                  </w:pP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564500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19203A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78.54</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5D25C9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-64.54</w:t>
                  </w:r>
                </w:p>
              </w:tc>
              <w:tc>
                <w:tcPr>
                  <w:tcW w:w="294" w:type="dxa"/>
                  <w:tcBorders>
                    <w:top w:val="single" w:color="000000" w:sz="8" w:space="0"/>
                    <w:left w:val="single" w:color="000000" w:sz="8" w:space="0"/>
                    <w:bottom w:val="single" w:color="000000" w:sz="8" w:space="0"/>
                    <w:right w:val="single" w:color="000000" w:sz="8" w:space="0"/>
                  </w:tcBorders>
                  <w:noWrap/>
                  <w:vAlign w:val="center"/>
                </w:tcPr>
                <w:p w14:paraId="39540B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4</w:t>
                  </w: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38AF80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距离衰减、减震措施</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7080A5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22"/>
                      <w:szCs w:val="22"/>
                      <w:u w:val="none"/>
                      <w:lang w:val="en-US" w:eastAsia="zh-CN" w:bidi="ar"/>
                    </w:rPr>
                    <w:t>75.00</w:t>
                  </w:r>
                </w:p>
              </w:tc>
              <w:tc>
                <w:tcPr>
                  <w:tcW w:w="281" w:type="dxa"/>
                  <w:tcBorders>
                    <w:top w:val="single" w:color="000000" w:sz="8" w:space="0"/>
                    <w:left w:val="single" w:color="000000" w:sz="8" w:space="0"/>
                    <w:bottom w:val="single" w:color="000000" w:sz="8" w:space="0"/>
                    <w:right w:val="single" w:color="000000" w:sz="8" w:space="0"/>
                  </w:tcBorders>
                  <w:noWrap/>
                  <w:vAlign w:val="center"/>
                </w:tcPr>
                <w:p w14:paraId="074726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22"/>
                      <w:szCs w:val="22"/>
                      <w:u w:val="none"/>
                      <w:lang w:val="en-US" w:eastAsia="zh-CN" w:bidi="ar"/>
                    </w:rPr>
                    <w:t>1</w:t>
                  </w: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2C8B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昼间+夜间</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1F959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eastAsia" w:ascii="Calibri" w:hAnsi="Calibri" w:cs="Calibri"/>
                      <w:i w:val="0"/>
                      <w:iCs w:val="0"/>
                      <w:color w:val="auto"/>
                      <w:sz w:val="18"/>
                      <w:szCs w:val="18"/>
                      <w:u w:val="none"/>
                      <w:lang w:val="en-US" w:eastAsia="zh-CN"/>
                    </w:rPr>
                    <w:t>59.00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46F5EE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eastAsia" w:ascii="Calibri" w:hAnsi="Calibri" w:cs="Calibri"/>
                      <w:i w:val="0"/>
                      <w:iCs w:val="0"/>
                      <w:color w:val="auto"/>
                      <w:sz w:val="18"/>
                      <w:szCs w:val="18"/>
                      <w:u w:val="none"/>
                      <w:lang w:val="en-US" w:eastAsia="zh-CN"/>
                    </w:rPr>
                    <w:t>63.00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0B15A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eastAsia" w:ascii="Calibri" w:hAnsi="Calibri" w:cs="Calibri"/>
                      <w:i w:val="0"/>
                      <w:iCs w:val="0"/>
                      <w:color w:val="auto"/>
                      <w:sz w:val="18"/>
                      <w:szCs w:val="18"/>
                      <w:u w:val="none"/>
                      <w:lang w:val="en-US" w:eastAsia="zh-CN"/>
                    </w:rPr>
                    <w:t>56.00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5FAF98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eastAsia" w:ascii="Calibri" w:hAnsi="Calibri" w:cs="Calibri"/>
                      <w:i w:val="0"/>
                      <w:iCs w:val="0"/>
                      <w:color w:val="auto"/>
                      <w:sz w:val="18"/>
                      <w:szCs w:val="18"/>
                      <w:u w:val="none"/>
                      <w:lang w:val="en-US" w:eastAsia="zh-CN"/>
                    </w:rPr>
                    <w:t>46.00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317D21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26904D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c>
                <w:tcPr>
                  <w:tcW w:w="258" w:type="dxa"/>
                  <w:tcBorders>
                    <w:top w:val="single" w:color="000000" w:sz="8" w:space="0"/>
                    <w:left w:val="single" w:color="000000" w:sz="8" w:space="0"/>
                    <w:bottom w:val="single" w:color="000000" w:sz="8" w:space="0"/>
                    <w:right w:val="single" w:color="000000" w:sz="8" w:space="0"/>
                  </w:tcBorders>
                  <w:noWrap/>
                  <w:vAlign w:val="center"/>
                </w:tcPr>
                <w:p w14:paraId="02DFA8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c>
                <w:tcPr>
                  <w:tcW w:w="360" w:type="dxa"/>
                  <w:tcBorders>
                    <w:top w:val="single" w:color="000000" w:sz="8" w:space="0"/>
                    <w:left w:val="single" w:color="000000" w:sz="8" w:space="0"/>
                    <w:bottom w:val="single" w:color="000000" w:sz="8" w:space="0"/>
                    <w:right w:val="single" w:color="000000" w:sz="8" w:space="0"/>
                  </w:tcBorders>
                  <w:noWrap/>
                  <w:vAlign w:val="center"/>
                </w:tcPr>
                <w:p w14:paraId="020DCF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r>
            <w:tr w14:paraId="10EB1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68" w:type="dxa"/>
                  <w:tcBorders>
                    <w:top w:val="single" w:color="000000" w:sz="8" w:space="0"/>
                    <w:left w:val="single" w:color="000000" w:sz="8" w:space="0"/>
                    <w:bottom w:val="single" w:color="000000" w:sz="8" w:space="0"/>
                    <w:right w:val="single" w:color="000000" w:sz="8" w:space="0"/>
                  </w:tcBorders>
                  <w:noWrap/>
                  <w:vAlign w:val="center"/>
                </w:tcPr>
                <w:p w14:paraId="2D568B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龙</w:t>
                  </w:r>
                  <w:r>
                    <w:rPr>
                      <w:rFonts w:hint="eastAsia" w:ascii="Calibri" w:hAnsi="Calibri" w:cs="Calibri"/>
                      <w:i w:val="0"/>
                      <w:iCs w:val="0"/>
                      <w:color w:val="auto"/>
                      <w:kern w:val="0"/>
                      <w:sz w:val="18"/>
                      <w:szCs w:val="18"/>
                      <w:u w:val="none"/>
                      <w:lang w:val="en-US" w:eastAsia="zh-CN" w:bidi="ar"/>
                    </w:rPr>
                    <w:t>龙</w:t>
                  </w:r>
                  <w:r>
                    <w:rPr>
                      <w:rFonts w:hint="default" w:ascii="Calibri" w:hAnsi="Calibri" w:eastAsia="宋体" w:cs="Calibri"/>
                      <w:i w:val="0"/>
                      <w:iCs w:val="0"/>
                      <w:color w:val="auto"/>
                      <w:kern w:val="0"/>
                      <w:sz w:val="18"/>
                      <w:szCs w:val="18"/>
                      <w:u w:val="none"/>
                      <w:lang w:val="en-US" w:eastAsia="zh-CN" w:bidi="ar"/>
                    </w:rPr>
                    <w:t>门吊3</w:t>
                  </w: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559008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Calibri" w:hAnsi="Calibri" w:cs="Calibri"/>
                      <w:i w:val="0"/>
                      <w:iCs w:val="0"/>
                      <w:color w:val="auto"/>
                      <w:sz w:val="18"/>
                      <w:szCs w:val="18"/>
                      <w:u w:val="none"/>
                    </w:rPr>
                  </w:pP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38C691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0B5CE4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64.88</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2A6BFB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-9.9</w:t>
                  </w:r>
                </w:p>
              </w:tc>
              <w:tc>
                <w:tcPr>
                  <w:tcW w:w="294" w:type="dxa"/>
                  <w:tcBorders>
                    <w:top w:val="single" w:color="000000" w:sz="8" w:space="0"/>
                    <w:left w:val="single" w:color="000000" w:sz="8" w:space="0"/>
                    <w:bottom w:val="single" w:color="000000" w:sz="8" w:space="0"/>
                    <w:right w:val="single" w:color="000000" w:sz="8" w:space="0"/>
                  </w:tcBorders>
                  <w:noWrap/>
                  <w:vAlign w:val="center"/>
                </w:tcPr>
                <w:p w14:paraId="5BBFCF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4</w:t>
                  </w: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592D34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距离衰减、减震措施</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3ABE17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22"/>
                      <w:szCs w:val="22"/>
                      <w:u w:val="none"/>
                      <w:lang w:val="en-US" w:eastAsia="zh-CN" w:bidi="ar"/>
                    </w:rPr>
                    <w:t>75.00</w:t>
                  </w:r>
                </w:p>
              </w:tc>
              <w:tc>
                <w:tcPr>
                  <w:tcW w:w="281" w:type="dxa"/>
                  <w:tcBorders>
                    <w:top w:val="single" w:color="000000" w:sz="8" w:space="0"/>
                    <w:left w:val="single" w:color="000000" w:sz="8" w:space="0"/>
                    <w:bottom w:val="single" w:color="000000" w:sz="8" w:space="0"/>
                    <w:right w:val="single" w:color="000000" w:sz="8" w:space="0"/>
                  </w:tcBorders>
                  <w:noWrap/>
                  <w:vAlign w:val="center"/>
                </w:tcPr>
                <w:p w14:paraId="43A108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22"/>
                      <w:szCs w:val="22"/>
                      <w:u w:val="none"/>
                      <w:lang w:val="en-US" w:eastAsia="zh-CN" w:bidi="ar"/>
                    </w:rPr>
                    <w:t>1</w:t>
                  </w: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3E14A1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昼间+夜间</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762FA7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eastAsia" w:ascii="Calibri" w:hAnsi="Calibri" w:cs="Calibri"/>
                      <w:i w:val="0"/>
                      <w:iCs w:val="0"/>
                      <w:color w:val="auto"/>
                      <w:sz w:val="18"/>
                      <w:szCs w:val="18"/>
                      <w:u w:val="none"/>
                      <w:lang w:val="en-US" w:eastAsia="zh-CN"/>
                    </w:rPr>
                    <w:t>66.00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1D69F9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eastAsia" w:ascii="Calibri" w:hAnsi="Calibri" w:cs="Calibri"/>
                      <w:i w:val="0"/>
                      <w:iCs w:val="0"/>
                      <w:color w:val="auto"/>
                      <w:sz w:val="18"/>
                      <w:szCs w:val="18"/>
                      <w:u w:val="none"/>
                      <w:lang w:val="en-US" w:eastAsia="zh-CN"/>
                    </w:rPr>
                    <w:t>60.00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71B4E1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eastAsia" w:ascii="Calibri" w:hAnsi="Calibri" w:cs="Calibri"/>
                      <w:i w:val="0"/>
                      <w:iCs w:val="0"/>
                      <w:color w:val="auto"/>
                      <w:sz w:val="18"/>
                      <w:szCs w:val="18"/>
                      <w:u w:val="none"/>
                      <w:lang w:val="en-US" w:eastAsia="zh-CN"/>
                    </w:rPr>
                    <w:t>51.00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0B8DCE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eastAsia" w:ascii="Calibri" w:hAnsi="Calibri" w:cs="Calibri"/>
                      <w:i w:val="0"/>
                      <w:iCs w:val="0"/>
                      <w:color w:val="auto"/>
                      <w:sz w:val="18"/>
                      <w:szCs w:val="18"/>
                      <w:u w:val="none"/>
                      <w:lang w:val="en-US" w:eastAsia="zh-CN"/>
                    </w:rPr>
                    <w:t>52.00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30D0BA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4392C0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c>
                <w:tcPr>
                  <w:tcW w:w="258" w:type="dxa"/>
                  <w:tcBorders>
                    <w:top w:val="single" w:color="000000" w:sz="8" w:space="0"/>
                    <w:left w:val="single" w:color="000000" w:sz="8" w:space="0"/>
                    <w:bottom w:val="single" w:color="000000" w:sz="8" w:space="0"/>
                    <w:right w:val="single" w:color="000000" w:sz="8" w:space="0"/>
                  </w:tcBorders>
                  <w:noWrap/>
                  <w:vAlign w:val="center"/>
                </w:tcPr>
                <w:p w14:paraId="64E3E9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c>
                <w:tcPr>
                  <w:tcW w:w="360" w:type="dxa"/>
                  <w:tcBorders>
                    <w:top w:val="single" w:color="000000" w:sz="8" w:space="0"/>
                    <w:left w:val="single" w:color="000000" w:sz="8" w:space="0"/>
                    <w:bottom w:val="single" w:color="000000" w:sz="8" w:space="0"/>
                    <w:right w:val="single" w:color="000000" w:sz="8" w:space="0"/>
                  </w:tcBorders>
                  <w:noWrap/>
                  <w:vAlign w:val="center"/>
                </w:tcPr>
                <w:p w14:paraId="11D4BA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r>
            <w:tr w14:paraId="36D5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68" w:type="dxa"/>
                  <w:tcBorders>
                    <w:top w:val="single" w:color="000000" w:sz="8" w:space="0"/>
                    <w:left w:val="single" w:color="000000" w:sz="8" w:space="0"/>
                    <w:bottom w:val="single" w:color="000000" w:sz="8" w:space="0"/>
                    <w:right w:val="single" w:color="000000" w:sz="8" w:space="0"/>
                  </w:tcBorders>
                  <w:noWrap/>
                  <w:vAlign w:val="center"/>
                </w:tcPr>
                <w:p w14:paraId="4EBD57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焊接设备</w:t>
                  </w: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299934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Calibri" w:hAnsi="Calibri" w:cs="Calibri"/>
                      <w:i w:val="0"/>
                      <w:iCs w:val="0"/>
                      <w:color w:val="auto"/>
                      <w:sz w:val="18"/>
                      <w:szCs w:val="18"/>
                      <w:u w:val="none"/>
                    </w:rPr>
                  </w:pP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0C9906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5</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7EF305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21.63</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787AE9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-46.78</w:t>
                  </w:r>
                </w:p>
              </w:tc>
              <w:tc>
                <w:tcPr>
                  <w:tcW w:w="294" w:type="dxa"/>
                  <w:tcBorders>
                    <w:top w:val="single" w:color="000000" w:sz="8" w:space="0"/>
                    <w:left w:val="single" w:color="000000" w:sz="8" w:space="0"/>
                    <w:bottom w:val="single" w:color="000000" w:sz="8" w:space="0"/>
                    <w:right w:val="single" w:color="000000" w:sz="8" w:space="0"/>
                  </w:tcBorders>
                  <w:noWrap/>
                  <w:vAlign w:val="center"/>
                </w:tcPr>
                <w:p w14:paraId="675E1B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0.5</w:t>
                  </w: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0A052F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距离衰减、减震措施</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2FD2EA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22"/>
                      <w:szCs w:val="22"/>
                      <w:u w:val="none"/>
                      <w:lang w:val="en-US" w:eastAsia="zh-CN" w:bidi="ar"/>
                    </w:rPr>
                    <w:t>75.00</w:t>
                  </w:r>
                </w:p>
              </w:tc>
              <w:tc>
                <w:tcPr>
                  <w:tcW w:w="281" w:type="dxa"/>
                  <w:tcBorders>
                    <w:top w:val="single" w:color="000000" w:sz="8" w:space="0"/>
                    <w:left w:val="single" w:color="000000" w:sz="8" w:space="0"/>
                    <w:bottom w:val="single" w:color="000000" w:sz="8" w:space="0"/>
                    <w:right w:val="single" w:color="000000" w:sz="8" w:space="0"/>
                  </w:tcBorders>
                  <w:noWrap/>
                  <w:vAlign w:val="center"/>
                </w:tcPr>
                <w:p w14:paraId="67C072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22"/>
                      <w:szCs w:val="22"/>
                      <w:u w:val="none"/>
                      <w:lang w:val="en-US" w:eastAsia="zh-CN" w:bidi="ar"/>
                    </w:rPr>
                    <w:t>1</w:t>
                  </w: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379054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昼间+夜间</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3144DC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lang w:val="en-US"/>
                    </w:rPr>
                  </w:pPr>
                  <w:r>
                    <w:rPr>
                      <w:rFonts w:hint="eastAsia" w:ascii="Calibri" w:hAnsi="Calibri" w:eastAsia="宋体" w:cs="Calibri"/>
                      <w:i w:val="0"/>
                      <w:iCs w:val="0"/>
                      <w:color w:val="auto"/>
                      <w:kern w:val="0"/>
                      <w:sz w:val="18"/>
                      <w:szCs w:val="18"/>
                      <w:u w:val="none"/>
                      <w:lang w:val="en-US" w:eastAsia="zh-CN" w:bidi="ar"/>
                    </w:rPr>
                    <w:t>66.00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074C0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lang w:val="en-US"/>
                    </w:rPr>
                  </w:pPr>
                  <w:r>
                    <w:rPr>
                      <w:rFonts w:hint="eastAsia" w:ascii="Calibri" w:hAnsi="Calibri" w:eastAsia="宋体" w:cs="Calibri"/>
                      <w:i w:val="0"/>
                      <w:iCs w:val="0"/>
                      <w:color w:val="auto"/>
                      <w:kern w:val="0"/>
                      <w:sz w:val="18"/>
                      <w:szCs w:val="18"/>
                      <w:u w:val="none"/>
                      <w:lang w:val="en-US" w:eastAsia="zh-CN" w:bidi="ar"/>
                    </w:rPr>
                    <w:t>70.00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7E3D39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lang w:val="en-US"/>
                    </w:rPr>
                  </w:pPr>
                  <w:r>
                    <w:rPr>
                      <w:rFonts w:hint="eastAsia" w:ascii="Calibri" w:hAnsi="Calibri" w:eastAsia="宋体" w:cs="Calibri"/>
                      <w:i w:val="0"/>
                      <w:iCs w:val="0"/>
                      <w:color w:val="auto"/>
                      <w:kern w:val="0"/>
                      <w:sz w:val="18"/>
                      <w:szCs w:val="18"/>
                      <w:u w:val="none"/>
                      <w:lang w:val="en-US" w:eastAsia="zh-CN" w:bidi="ar"/>
                    </w:rPr>
                    <w:t>64.00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575834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lang w:val="en-US"/>
                    </w:rPr>
                  </w:pPr>
                  <w:r>
                    <w:rPr>
                      <w:rFonts w:hint="eastAsia" w:ascii="Calibri" w:hAnsi="Calibri" w:eastAsia="宋体" w:cs="Calibri"/>
                      <w:i w:val="0"/>
                      <w:iCs w:val="0"/>
                      <w:color w:val="auto"/>
                      <w:kern w:val="0"/>
                      <w:sz w:val="18"/>
                      <w:szCs w:val="18"/>
                      <w:u w:val="none"/>
                      <w:lang w:val="en-US" w:eastAsia="zh-CN" w:bidi="ar"/>
                    </w:rPr>
                    <w:t>60.00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6DBB30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49F324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c>
                <w:tcPr>
                  <w:tcW w:w="258" w:type="dxa"/>
                  <w:tcBorders>
                    <w:top w:val="single" w:color="000000" w:sz="8" w:space="0"/>
                    <w:left w:val="single" w:color="000000" w:sz="8" w:space="0"/>
                    <w:bottom w:val="single" w:color="000000" w:sz="8" w:space="0"/>
                    <w:right w:val="single" w:color="000000" w:sz="8" w:space="0"/>
                  </w:tcBorders>
                  <w:noWrap/>
                  <w:vAlign w:val="center"/>
                </w:tcPr>
                <w:p w14:paraId="4D127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c>
                <w:tcPr>
                  <w:tcW w:w="360" w:type="dxa"/>
                  <w:tcBorders>
                    <w:top w:val="single" w:color="000000" w:sz="8" w:space="0"/>
                    <w:left w:val="single" w:color="000000" w:sz="8" w:space="0"/>
                    <w:bottom w:val="single" w:color="000000" w:sz="8" w:space="0"/>
                    <w:right w:val="single" w:color="000000" w:sz="8" w:space="0"/>
                  </w:tcBorders>
                  <w:noWrap/>
                  <w:vAlign w:val="center"/>
                </w:tcPr>
                <w:p w14:paraId="2B81D3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r>
            <w:tr w14:paraId="58B3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68" w:type="dxa"/>
                  <w:tcBorders>
                    <w:top w:val="single" w:color="000000" w:sz="8" w:space="0"/>
                    <w:left w:val="single" w:color="000000" w:sz="8" w:space="0"/>
                    <w:bottom w:val="single" w:color="000000" w:sz="8" w:space="0"/>
                    <w:right w:val="single" w:color="000000" w:sz="8" w:space="0"/>
                  </w:tcBorders>
                  <w:noWrap/>
                  <w:vAlign w:val="center"/>
                </w:tcPr>
                <w:p w14:paraId="3E44A9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钢筋切割设备</w:t>
                  </w: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4A360F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Calibri" w:hAnsi="Calibri" w:cs="Calibri"/>
                      <w:i w:val="0"/>
                      <w:iCs w:val="0"/>
                      <w:color w:val="auto"/>
                      <w:sz w:val="18"/>
                      <w:szCs w:val="18"/>
                      <w:u w:val="none"/>
                    </w:rPr>
                  </w:pP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1843D6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6</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4E7044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38.93</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6E3350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-43.59</w:t>
                  </w:r>
                </w:p>
              </w:tc>
              <w:tc>
                <w:tcPr>
                  <w:tcW w:w="294" w:type="dxa"/>
                  <w:tcBorders>
                    <w:top w:val="single" w:color="000000" w:sz="8" w:space="0"/>
                    <w:left w:val="single" w:color="000000" w:sz="8" w:space="0"/>
                    <w:bottom w:val="single" w:color="000000" w:sz="8" w:space="0"/>
                    <w:right w:val="single" w:color="000000" w:sz="8" w:space="0"/>
                  </w:tcBorders>
                  <w:noWrap/>
                  <w:vAlign w:val="center"/>
                </w:tcPr>
                <w:p w14:paraId="41367F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0.5</w:t>
                  </w: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6FCAF2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距离衰减、减震措施</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3D9A3A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22"/>
                      <w:szCs w:val="22"/>
                      <w:u w:val="none"/>
                      <w:lang w:val="en-US" w:eastAsia="zh-CN" w:bidi="ar"/>
                    </w:rPr>
                    <w:t>85.00</w:t>
                  </w:r>
                </w:p>
              </w:tc>
              <w:tc>
                <w:tcPr>
                  <w:tcW w:w="281" w:type="dxa"/>
                  <w:tcBorders>
                    <w:top w:val="single" w:color="000000" w:sz="8" w:space="0"/>
                    <w:left w:val="single" w:color="000000" w:sz="8" w:space="0"/>
                    <w:bottom w:val="single" w:color="000000" w:sz="8" w:space="0"/>
                    <w:right w:val="single" w:color="000000" w:sz="8" w:space="0"/>
                  </w:tcBorders>
                  <w:noWrap/>
                  <w:vAlign w:val="center"/>
                </w:tcPr>
                <w:p w14:paraId="200CEA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22"/>
                      <w:szCs w:val="22"/>
                      <w:u w:val="none"/>
                      <w:lang w:val="en-US" w:eastAsia="zh-CN" w:bidi="ar"/>
                    </w:rPr>
                    <w:t>1</w:t>
                  </w:r>
                </w:p>
              </w:tc>
              <w:tc>
                <w:tcPr>
                  <w:tcW w:w="268" w:type="dxa"/>
                  <w:tcBorders>
                    <w:top w:val="single" w:color="000000" w:sz="8" w:space="0"/>
                    <w:left w:val="single" w:color="000000" w:sz="8" w:space="0"/>
                    <w:bottom w:val="single" w:color="000000" w:sz="8" w:space="0"/>
                    <w:right w:val="single" w:color="000000" w:sz="8" w:space="0"/>
                  </w:tcBorders>
                  <w:noWrap/>
                  <w:vAlign w:val="center"/>
                </w:tcPr>
                <w:p w14:paraId="4975F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昼间+夜间</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59B165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eastAsia" w:ascii="Calibri" w:hAnsi="Calibri" w:cs="Calibri"/>
                      <w:i w:val="0"/>
                      <w:iCs w:val="0"/>
                      <w:color w:val="auto"/>
                      <w:kern w:val="0"/>
                      <w:sz w:val="18"/>
                      <w:szCs w:val="18"/>
                      <w:u w:val="none"/>
                      <w:lang w:val="en-US" w:eastAsia="zh-CN" w:bidi="ar"/>
                    </w:rPr>
                    <w:t>70</w:t>
                  </w:r>
                  <w:r>
                    <w:rPr>
                      <w:rFonts w:hint="eastAsia" w:ascii="Calibri" w:hAnsi="Calibri" w:eastAsia="宋体" w:cs="Calibri"/>
                      <w:i w:val="0"/>
                      <w:iCs w:val="0"/>
                      <w:color w:val="auto"/>
                      <w:kern w:val="0"/>
                      <w:sz w:val="18"/>
                      <w:szCs w:val="18"/>
                      <w:u w:val="none"/>
                      <w:lang w:val="en-US" w:eastAsia="zh-CN" w:bidi="ar"/>
                    </w:rPr>
                    <w:t>.00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4BC69E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eastAsia" w:ascii="Calibri" w:hAnsi="Calibri" w:cs="Calibri"/>
                      <w:i w:val="0"/>
                      <w:iCs w:val="0"/>
                      <w:color w:val="auto"/>
                      <w:kern w:val="0"/>
                      <w:sz w:val="18"/>
                      <w:szCs w:val="18"/>
                      <w:u w:val="none"/>
                      <w:lang w:val="en-US" w:eastAsia="zh-CN" w:bidi="ar"/>
                    </w:rPr>
                    <w:t>72</w:t>
                  </w:r>
                  <w:r>
                    <w:rPr>
                      <w:rFonts w:hint="eastAsia" w:ascii="Calibri" w:hAnsi="Calibri" w:eastAsia="宋体" w:cs="Calibri"/>
                      <w:i w:val="0"/>
                      <w:iCs w:val="0"/>
                      <w:color w:val="auto"/>
                      <w:kern w:val="0"/>
                      <w:sz w:val="18"/>
                      <w:szCs w:val="18"/>
                      <w:u w:val="none"/>
                      <w:lang w:val="en-US" w:eastAsia="zh-CN" w:bidi="ar"/>
                    </w:rPr>
                    <w:t>.00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6ED11B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eastAsia" w:ascii="Calibri" w:hAnsi="Calibri" w:cs="Calibri"/>
                      <w:i w:val="0"/>
                      <w:iCs w:val="0"/>
                      <w:color w:val="auto"/>
                      <w:kern w:val="0"/>
                      <w:sz w:val="18"/>
                      <w:szCs w:val="18"/>
                      <w:u w:val="none"/>
                      <w:lang w:val="en-US" w:eastAsia="zh-CN" w:bidi="ar"/>
                    </w:rPr>
                    <w:t>63</w:t>
                  </w:r>
                  <w:r>
                    <w:rPr>
                      <w:rFonts w:hint="eastAsia" w:ascii="Calibri" w:hAnsi="Calibri" w:eastAsia="宋体" w:cs="Calibri"/>
                      <w:i w:val="0"/>
                      <w:iCs w:val="0"/>
                      <w:color w:val="auto"/>
                      <w:kern w:val="0"/>
                      <w:sz w:val="18"/>
                      <w:szCs w:val="18"/>
                      <w:u w:val="none"/>
                      <w:lang w:val="en-US" w:eastAsia="zh-CN" w:bidi="ar"/>
                    </w:rPr>
                    <w:t>.00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247D7E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eastAsia" w:ascii="Calibri" w:hAnsi="Calibri" w:cs="Calibri"/>
                      <w:i w:val="0"/>
                      <w:iCs w:val="0"/>
                      <w:color w:val="auto"/>
                      <w:kern w:val="0"/>
                      <w:sz w:val="18"/>
                      <w:szCs w:val="18"/>
                      <w:u w:val="none"/>
                      <w:lang w:val="en-US" w:eastAsia="zh-CN" w:bidi="ar"/>
                    </w:rPr>
                    <w:t>62</w:t>
                  </w:r>
                  <w:r>
                    <w:rPr>
                      <w:rFonts w:hint="eastAsia" w:ascii="Calibri" w:hAnsi="Calibri" w:eastAsia="宋体" w:cs="Calibri"/>
                      <w:i w:val="0"/>
                      <w:iCs w:val="0"/>
                      <w:color w:val="auto"/>
                      <w:kern w:val="0"/>
                      <w:sz w:val="18"/>
                      <w:szCs w:val="18"/>
                      <w:u w:val="none"/>
                      <w:lang w:val="en-US" w:eastAsia="zh-CN" w:bidi="ar"/>
                    </w:rPr>
                    <w:t>.00</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02C299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c>
                <w:tcPr>
                  <w:tcW w:w="257" w:type="dxa"/>
                  <w:tcBorders>
                    <w:top w:val="single" w:color="000000" w:sz="8" w:space="0"/>
                    <w:left w:val="single" w:color="000000" w:sz="8" w:space="0"/>
                    <w:bottom w:val="single" w:color="000000" w:sz="8" w:space="0"/>
                    <w:right w:val="single" w:color="000000" w:sz="8" w:space="0"/>
                  </w:tcBorders>
                  <w:noWrap/>
                  <w:vAlign w:val="center"/>
                </w:tcPr>
                <w:p w14:paraId="3163BD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c>
                <w:tcPr>
                  <w:tcW w:w="258" w:type="dxa"/>
                  <w:tcBorders>
                    <w:top w:val="single" w:color="000000" w:sz="8" w:space="0"/>
                    <w:left w:val="single" w:color="000000" w:sz="8" w:space="0"/>
                    <w:bottom w:val="single" w:color="000000" w:sz="8" w:space="0"/>
                    <w:right w:val="single" w:color="000000" w:sz="8" w:space="0"/>
                  </w:tcBorders>
                  <w:noWrap/>
                  <w:vAlign w:val="center"/>
                </w:tcPr>
                <w:p w14:paraId="4E5D0B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c>
                <w:tcPr>
                  <w:tcW w:w="360" w:type="dxa"/>
                  <w:tcBorders>
                    <w:top w:val="single" w:color="000000" w:sz="8" w:space="0"/>
                    <w:left w:val="single" w:color="000000" w:sz="8" w:space="0"/>
                    <w:bottom w:val="single" w:color="000000" w:sz="8" w:space="0"/>
                    <w:right w:val="single" w:color="000000" w:sz="8" w:space="0"/>
                  </w:tcBorders>
                  <w:noWrap/>
                  <w:vAlign w:val="center"/>
                </w:tcPr>
                <w:p w14:paraId="6C87DF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1</w:t>
                  </w:r>
                </w:p>
              </w:tc>
            </w:tr>
          </w:tbl>
          <w:p w14:paraId="78430229">
            <w:pPr>
              <w:ind w:firstLine="480"/>
              <w:rPr>
                <w:rFonts w:cs="Times New Roman"/>
                <w:color w:val="auto"/>
              </w:rPr>
            </w:pPr>
            <w:r>
              <w:rPr>
                <w:rFonts w:cs="Times New Roman"/>
                <w:color w:val="auto"/>
              </w:rPr>
              <w:t>为了减轻设备噪声对周围环境的影响，建设单位应采取如下措施：</w:t>
            </w:r>
          </w:p>
          <w:p w14:paraId="424FB4E8">
            <w:pPr>
              <w:ind w:firstLine="480"/>
              <w:rPr>
                <w:rFonts w:cs="Times New Roman"/>
                <w:color w:val="auto"/>
              </w:rPr>
            </w:pPr>
            <w:r>
              <w:rPr>
                <w:rFonts w:cs="Times New Roman"/>
                <w:color w:val="auto"/>
              </w:rPr>
              <w:t>①选购低噪声设备；</w:t>
            </w:r>
          </w:p>
          <w:p w14:paraId="75B49CEF">
            <w:pPr>
              <w:ind w:firstLine="480"/>
              <w:rPr>
                <w:rFonts w:cs="Times New Roman"/>
                <w:color w:val="auto"/>
              </w:rPr>
            </w:pPr>
            <w:r>
              <w:rPr>
                <w:rFonts w:cs="Times New Roman"/>
                <w:color w:val="auto"/>
              </w:rPr>
              <w:t>②高噪声设备设置减振基础，并定期维修、保养，以防设备故障形成的非正常生产噪声；</w:t>
            </w:r>
          </w:p>
          <w:p w14:paraId="735EC75A">
            <w:pPr>
              <w:ind w:firstLine="480"/>
              <w:rPr>
                <w:rFonts w:cs="Times New Roman"/>
                <w:color w:val="auto"/>
              </w:rPr>
            </w:pPr>
            <w:r>
              <w:rPr>
                <w:rFonts w:cs="Times New Roman"/>
                <w:color w:val="auto"/>
              </w:rPr>
              <w:t>③采用“闹静分开”和“合理布局”的设计原则，使高噪声设备尽可能远离噪声敏感区。在厂区布局设计时，应将噪声大的设备布设在厂中心，这样可阻挡生产区的噪声传播，把设备的噪声影响限制在厂区范围内，降低噪声对外界的影响，确保厂界噪声符合标准。</w:t>
            </w:r>
          </w:p>
          <w:p w14:paraId="4B03CD13">
            <w:pPr>
              <w:ind w:firstLine="480"/>
              <w:rPr>
                <w:rFonts w:cs="Times New Roman"/>
                <w:color w:val="auto"/>
              </w:rPr>
            </w:pPr>
            <w:r>
              <w:rPr>
                <w:rFonts w:cs="Times New Roman"/>
                <w:color w:val="auto"/>
              </w:rPr>
              <w:t>预测模式采用《环境影响评价技术导则声环境》（HJ2.4-2021）中推荐的模型。其计算公式如下：</w:t>
            </w:r>
          </w:p>
          <w:p w14:paraId="4A5480F6">
            <w:pPr>
              <w:ind w:firstLine="480"/>
              <w:jc w:val="center"/>
              <w:rPr>
                <w:rFonts w:cs="Times New Roman"/>
                <w:color w:val="auto"/>
                <w:lang w:val="de-DE"/>
              </w:rPr>
            </w:pPr>
            <w:r>
              <w:rPr>
                <w:rFonts w:cs="Times New Roman"/>
                <w:color w:val="auto"/>
                <w:lang w:val="de-DE"/>
              </w:rPr>
              <w:t>L</w:t>
            </w:r>
            <w:r>
              <w:rPr>
                <w:rFonts w:cs="Times New Roman"/>
                <w:color w:val="auto"/>
                <w:vertAlign w:val="subscript"/>
                <w:lang w:val="de-DE"/>
              </w:rPr>
              <w:t>p</w:t>
            </w:r>
            <w:r>
              <w:rPr>
                <w:rFonts w:cs="Times New Roman"/>
                <w:color w:val="auto"/>
                <w:lang w:val="de-DE"/>
              </w:rPr>
              <w:t>（r）=L</w:t>
            </w:r>
            <w:r>
              <w:rPr>
                <w:rFonts w:cs="Times New Roman"/>
                <w:color w:val="auto"/>
                <w:vertAlign w:val="subscript"/>
                <w:lang w:val="de-DE"/>
              </w:rPr>
              <w:t>p</w:t>
            </w:r>
            <w:r>
              <w:rPr>
                <w:rFonts w:cs="Times New Roman"/>
                <w:color w:val="auto"/>
                <w:lang w:val="de-DE"/>
              </w:rPr>
              <w:t>（r</w:t>
            </w:r>
            <w:r>
              <w:rPr>
                <w:rFonts w:cs="Times New Roman"/>
                <w:color w:val="auto"/>
                <w:vertAlign w:val="subscript"/>
                <w:lang w:val="de-DE"/>
              </w:rPr>
              <w:t>0</w:t>
            </w:r>
            <w:r>
              <w:rPr>
                <w:rFonts w:cs="Times New Roman"/>
                <w:color w:val="auto"/>
                <w:lang w:val="de-DE"/>
              </w:rPr>
              <w:t>）-（A</w:t>
            </w:r>
            <w:r>
              <w:rPr>
                <w:rFonts w:cs="Times New Roman"/>
                <w:color w:val="auto"/>
                <w:vertAlign w:val="subscript"/>
                <w:lang w:val="de-DE"/>
              </w:rPr>
              <w:t>dⅣ</w:t>
            </w:r>
            <w:r>
              <w:rPr>
                <w:rFonts w:cs="Times New Roman"/>
                <w:color w:val="auto"/>
                <w:lang w:val="de-DE"/>
              </w:rPr>
              <w:t>+A</w:t>
            </w:r>
            <w:r>
              <w:rPr>
                <w:rFonts w:cs="Times New Roman"/>
                <w:color w:val="auto"/>
                <w:vertAlign w:val="subscript"/>
                <w:lang w:val="de-DE"/>
              </w:rPr>
              <w:t>atm</w:t>
            </w:r>
            <w:r>
              <w:rPr>
                <w:rFonts w:cs="Times New Roman"/>
                <w:color w:val="auto"/>
                <w:lang w:val="de-DE"/>
              </w:rPr>
              <w:t>+A</w:t>
            </w:r>
            <w:r>
              <w:rPr>
                <w:rFonts w:cs="Times New Roman"/>
                <w:color w:val="auto"/>
                <w:vertAlign w:val="subscript"/>
                <w:lang w:val="de-DE"/>
              </w:rPr>
              <w:t>bar</w:t>
            </w:r>
            <w:r>
              <w:rPr>
                <w:rFonts w:cs="Times New Roman"/>
                <w:color w:val="auto"/>
                <w:lang w:val="de-DE"/>
              </w:rPr>
              <w:t>+A</w:t>
            </w:r>
            <w:r>
              <w:rPr>
                <w:rFonts w:cs="Times New Roman"/>
                <w:color w:val="auto"/>
                <w:vertAlign w:val="subscript"/>
                <w:lang w:val="de-DE"/>
              </w:rPr>
              <w:t>gr</w:t>
            </w:r>
            <w:r>
              <w:rPr>
                <w:rFonts w:cs="Times New Roman"/>
                <w:color w:val="auto"/>
                <w:lang w:val="de-DE"/>
              </w:rPr>
              <w:t>+A</w:t>
            </w:r>
            <w:r>
              <w:rPr>
                <w:rFonts w:cs="Times New Roman"/>
                <w:color w:val="auto"/>
                <w:vertAlign w:val="subscript"/>
                <w:lang w:val="de-DE"/>
              </w:rPr>
              <w:t>misc</w:t>
            </w:r>
            <w:r>
              <w:rPr>
                <w:rFonts w:cs="Times New Roman"/>
                <w:color w:val="auto"/>
                <w:lang w:val="de-DE"/>
              </w:rPr>
              <w:t>）</w:t>
            </w:r>
          </w:p>
          <w:p w14:paraId="58520EBD">
            <w:pPr>
              <w:ind w:firstLine="480"/>
              <w:rPr>
                <w:rFonts w:cs="Times New Roman"/>
                <w:color w:val="auto"/>
              </w:rPr>
            </w:pPr>
            <w:r>
              <w:rPr>
                <w:rFonts w:cs="Times New Roman"/>
                <w:color w:val="auto"/>
              </w:rPr>
              <w:t>式中：L</w:t>
            </w:r>
            <w:r>
              <w:rPr>
                <w:rFonts w:cs="Times New Roman"/>
                <w:color w:val="auto"/>
                <w:vertAlign w:val="subscript"/>
              </w:rPr>
              <w:t>p</w:t>
            </w:r>
            <w:r>
              <w:rPr>
                <w:rFonts w:cs="Times New Roman"/>
                <w:color w:val="auto"/>
              </w:rPr>
              <w:t>（r）—距声源rm处的声压级；</w:t>
            </w:r>
          </w:p>
          <w:p w14:paraId="742877A6">
            <w:pPr>
              <w:ind w:firstLine="480"/>
              <w:rPr>
                <w:rFonts w:cs="Times New Roman"/>
                <w:color w:val="auto"/>
              </w:rPr>
            </w:pPr>
            <w:r>
              <w:rPr>
                <w:rFonts w:cs="Times New Roman"/>
                <w:color w:val="auto"/>
              </w:rPr>
              <w:t>L</w:t>
            </w:r>
            <w:r>
              <w:rPr>
                <w:rFonts w:cs="Times New Roman"/>
                <w:color w:val="auto"/>
                <w:vertAlign w:val="subscript"/>
              </w:rPr>
              <w:t>p</w:t>
            </w:r>
            <w:r>
              <w:rPr>
                <w:rFonts w:cs="Times New Roman"/>
                <w:color w:val="auto"/>
              </w:rPr>
              <w:t>（r</w:t>
            </w:r>
            <w:r>
              <w:rPr>
                <w:rFonts w:cs="Times New Roman"/>
                <w:color w:val="auto"/>
                <w:vertAlign w:val="subscript"/>
              </w:rPr>
              <w:t>0</w:t>
            </w:r>
            <w:r>
              <w:rPr>
                <w:rFonts w:cs="Times New Roman"/>
                <w:color w:val="auto"/>
              </w:rPr>
              <w:t>）—参考位置r</w:t>
            </w:r>
            <w:r>
              <w:rPr>
                <w:rFonts w:cs="Times New Roman"/>
                <w:color w:val="auto"/>
                <w:vertAlign w:val="subscript"/>
              </w:rPr>
              <w:t>0</w:t>
            </w:r>
            <w:r>
              <w:rPr>
                <w:rFonts w:cs="Times New Roman"/>
                <w:color w:val="auto"/>
              </w:rPr>
              <w:t>m处的声压级；</w:t>
            </w:r>
          </w:p>
          <w:p w14:paraId="0F3EAB94">
            <w:pPr>
              <w:ind w:firstLine="480"/>
              <w:rPr>
                <w:rFonts w:cs="Times New Roman"/>
                <w:color w:val="auto"/>
              </w:rPr>
            </w:pPr>
            <w:r>
              <w:rPr>
                <w:rFonts w:cs="Times New Roman"/>
                <w:color w:val="auto"/>
              </w:rPr>
              <w:t>A</w:t>
            </w:r>
            <w:r>
              <w:rPr>
                <w:rFonts w:cs="Times New Roman"/>
                <w:color w:val="auto"/>
                <w:vertAlign w:val="subscript"/>
              </w:rPr>
              <w:t>dⅣ</w:t>
            </w:r>
            <w:r>
              <w:rPr>
                <w:rFonts w:cs="Times New Roman"/>
                <w:color w:val="auto"/>
              </w:rPr>
              <w:t>—声波几何发散引起的衰减；</w:t>
            </w:r>
          </w:p>
          <w:p w14:paraId="2DFB4574">
            <w:pPr>
              <w:ind w:firstLine="480"/>
              <w:rPr>
                <w:rFonts w:cs="Times New Roman"/>
                <w:color w:val="auto"/>
              </w:rPr>
            </w:pPr>
            <w:r>
              <w:rPr>
                <w:rFonts w:cs="Times New Roman"/>
                <w:color w:val="auto"/>
              </w:rPr>
              <w:t>A</w:t>
            </w:r>
            <w:r>
              <w:rPr>
                <w:rFonts w:cs="Times New Roman"/>
                <w:color w:val="auto"/>
                <w:vertAlign w:val="subscript"/>
              </w:rPr>
              <w:t>atm</w:t>
            </w:r>
            <w:r>
              <w:rPr>
                <w:rFonts w:cs="Times New Roman"/>
                <w:color w:val="auto"/>
              </w:rPr>
              <w:t>—空气吸收引起的衰减；</w:t>
            </w:r>
          </w:p>
          <w:p w14:paraId="4C88793E">
            <w:pPr>
              <w:ind w:firstLine="480"/>
              <w:rPr>
                <w:rFonts w:cs="Times New Roman"/>
                <w:color w:val="auto"/>
              </w:rPr>
            </w:pPr>
            <w:r>
              <w:rPr>
                <w:rFonts w:cs="Times New Roman"/>
                <w:color w:val="auto"/>
              </w:rPr>
              <w:t>A</w:t>
            </w:r>
            <w:r>
              <w:rPr>
                <w:rFonts w:cs="Times New Roman"/>
                <w:color w:val="auto"/>
                <w:vertAlign w:val="subscript"/>
              </w:rPr>
              <w:t>bar</w:t>
            </w:r>
            <w:r>
              <w:rPr>
                <w:rFonts w:cs="Times New Roman"/>
                <w:color w:val="auto"/>
              </w:rPr>
              <w:t>—声屏障屏蔽引起的衰减；</w:t>
            </w:r>
          </w:p>
          <w:p w14:paraId="77AD2881">
            <w:pPr>
              <w:ind w:firstLine="480"/>
              <w:rPr>
                <w:rFonts w:cs="Times New Roman"/>
                <w:color w:val="auto"/>
              </w:rPr>
            </w:pPr>
            <w:r>
              <w:rPr>
                <w:rFonts w:cs="Times New Roman"/>
                <w:color w:val="auto"/>
              </w:rPr>
              <w:t>A</w:t>
            </w:r>
            <w:r>
              <w:rPr>
                <w:rFonts w:cs="Times New Roman"/>
                <w:color w:val="auto"/>
                <w:vertAlign w:val="subscript"/>
              </w:rPr>
              <w:t>gr</w:t>
            </w:r>
            <w:r>
              <w:rPr>
                <w:rFonts w:cs="Times New Roman"/>
                <w:color w:val="auto"/>
              </w:rPr>
              <w:t>—地面效应引起的衰减；</w:t>
            </w:r>
          </w:p>
          <w:p w14:paraId="4EE2D8AA">
            <w:pPr>
              <w:ind w:firstLine="480"/>
              <w:rPr>
                <w:rFonts w:cs="Times New Roman"/>
                <w:color w:val="auto"/>
              </w:rPr>
            </w:pPr>
            <w:r>
              <w:rPr>
                <w:rFonts w:cs="Times New Roman"/>
                <w:color w:val="auto"/>
              </w:rPr>
              <w:t>A</w:t>
            </w:r>
            <w:r>
              <w:rPr>
                <w:rFonts w:cs="Times New Roman"/>
                <w:color w:val="auto"/>
                <w:vertAlign w:val="subscript"/>
              </w:rPr>
              <w:t>misc</w:t>
            </w:r>
            <w:r>
              <w:rPr>
                <w:rFonts w:cs="Times New Roman"/>
                <w:color w:val="auto"/>
              </w:rPr>
              <w:t>—其它多方面效应引起的衰减。</w:t>
            </w:r>
          </w:p>
          <w:p w14:paraId="5D90EF0D">
            <w:pPr>
              <w:ind w:firstLine="480"/>
              <w:rPr>
                <w:rFonts w:cs="Times New Roman"/>
                <w:color w:val="auto"/>
              </w:rPr>
            </w:pPr>
            <w:r>
              <w:rPr>
                <w:rFonts w:cs="Times New Roman"/>
                <w:color w:val="auto"/>
              </w:rPr>
              <w:t>①几何发散衰减</w:t>
            </w:r>
          </w:p>
          <w:p w14:paraId="09457B76">
            <w:pPr>
              <w:ind w:firstLine="480"/>
              <w:rPr>
                <w:rFonts w:cs="Times New Roman"/>
                <w:color w:val="auto"/>
              </w:rPr>
            </w:pPr>
            <w:r>
              <w:rPr>
                <w:rFonts w:cs="Times New Roman"/>
                <w:color w:val="auto"/>
              </w:rPr>
              <w:t>对于室外声源，无指向性点声源几何发散衰减的基本公式为：</w:t>
            </w:r>
          </w:p>
          <w:p w14:paraId="6D1D12EB">
            <w:pPr>
              <w:ind w:firstLine="480"/>
              <w:jc w:val="center"/>
              <w:rPr>
                <w:rFonts w:cs="Times New Roman"/>
                <w:color w:val="auto"/>
              </w:rPr>
            </w:pPr>
            <w:r>
              <w:rPr>
                <w:rFonts w:cs="Times New Roman"/>
                <w:color w:val="auto"/>
              </w:rPr>
              <w:t>L</w:t>
            </w:r>
            <w:r>
              <w:rPr>
                <w:rFonts w:cs="Times New Roman"/>
                <w:color w:val="auto"/>
                <w:vertAlign w:val="subscript"/>
              </w:rPr>
              <w:t>A</w:t>
            </w:r>
            <w:r>
              <w:rPr>
                <w:rFonts w:cs="Times New Roman"/>
                <w:color w:val="auto"/>
              </w:rPr>
              <w:t>（r）=L</w:t>
            </w:r>
            <w:r>
              <w:rPr>
                <w:rFonts w:cs="Times New Roman"/>
                <w:color w:val="auto"/>
                <w:vertAlign w:val="subscript"/>
              </w:rPr>
              <w:t>A</w:t>
            </w:r>
            <w:r>
              <w:rPr>
                <w:rFonts w:cs="Times New Roman"/>
                <w:color w:val="auto"/>
              </w:rPr>
              <w:t>（r</w:t>
            </w:r>
            <w:r>
              <w:rPr>
                <w:rFonts w:cs="Times New Roman"/>
                <w:color w:val="auto"/>
                <w:vertAlign w:val="subscript"/>
              </w:rPr>
              <w:t>0</w:t>
            </w:r>
            <w:r>
              <w:rPr>
                <w:rFonts w:cs="Times New Roman"/>
                <w:color w:val="auto"/>
              </w:rPr>
              <w:t>）-20lg（r/r</w:t>
            </w:r>
            <w:r>
              <w:rPr>
                <w:rFonts w:cs="Times New Roman"/>
                <w:color w:val="auto"/>
                <w:vertAlign w:val="subscript"/>
              </w:rPr>
              <w:t>0</w:t>
            </w:r>
            <w:r>
              <w:rPr>
                <w:rFonts w:cs="Times New Roman"/>
                <w:color w:val="auto"/>
              </w:rPr>
              <w:t>）</w:t>
            </w:r>
          </w:p>
          <w:p w14:paraId="6394752A">
            <w:pPr>
              <w:ind w:firstLine="480"/>
              <w:rPr>
                <w:rFonts w:cs="Times New Roman"/>
                <w:color w:val="auto"/>
              </w:rPr>
            </w:pPr>
            <w:r>
              <w:rPr>
                <w:rFonts w:cs="Times New Roman"/>
                <w:color w:val="auto"/>
              </w:rPr>
              <w:t>预测模式采用点声源处于半自由空间的几何发散模式，计算公式为：</w:t>
            </w:r>
          </w:p>
          <w:p w14:paraId="50D9FA6E">
            <w:pPr>
              <w:ind w:firstLine="480"/>
              <w:jc w:val="center"/>
              <w:rPr>
                <w:rFonts w:cs="Times New Roman"/>
                <w:color w:val="auto"/>
              </w:rPr>
            </w:pPr>
            <w:r>
              <w:rPr>
                <w:rFonts w:cs="Times New Roman"/>
                <w:color w:val="auto"/>
              </w:rPr>
              <w:t>L</w:t>
            </w:r>
            <w:r>
              <w:rPr>
                <w:rFonts w:cs="Times New Roman"/>
                <w:color w:val="auto"/>
                <w:vertAlign w:val="subscript"/>
              </w:rPr>
              <w:t>A</w:t>
            </w:r>
            <w:r>
              <w:rPr>
                <w:rFonts w:cs="Times New Roman"/>
                <w:color w:val="auto"/>
              </w:rPr>
              <w:t>（r）=L</w:t>
            </w:r>
            <w:r>
              <w:rPr>
                <w:rFonts w:cs="Times New Roman"/>
                <w:color w:val="auto"/>
                <w:vertAlign w:val="subscript"/>
              </w:rPr>
              <w:t>A</w:t>
            </w:r>
            <w:r>
              <w:rPr>
                <w:rFonts w:cs="Times New Roman"/>
                <w:color w:val="auto"/>
              </w:rPr>
              <w:t>（r</w:t>
            </w:r>
            <w:r>
              <w:rPr>
                <w:rFonts w:cs="Times New Roman"/>
                <w:color w:val="auto"/>
                <w:vertAlign w:val="subscript"/>
              </w:rPr>
              <w:t>0</w:t>
            </w:r>
            <w:r>
              <w:rPr>
                <w:rFonts w:cs="Times New Roman"/>
                <w:color w:val="auto"/>
              </w:rPr>
              <w:t>）-20lg（r/r</w:t>
            </w:r>
            <w:r>
              <w:rPr>
                <w:rFonts w:cs="Times New Roman"/>
                <w:color w:val="auto"/>
                <w:vertAlign w:val="subscript"/>
              </w:rPr>
              <w:t>0</w:t>
            </w:r>
            <w:r>
              <w:rPr>
                <w:rFonts w:cs="Times New Roman"/>
                <w:color w:val="auto"/>
              </w:rPr>
              <w:t>）-8</w:t>
            </w:r>
          </w:p>
          <w:p w14:paraId="0856A1AB">
            <w:pPr>
              <w:ind w:firstLine="480"/>
              <w:rPr>
                <w:rFonts w:cs="Times New Roman"/>
                <w:color w:val="auto"/>
              </w:rPr>
            </w:pPr>
            <w:r>
              <w:rPr>
                <w:rFonts w:cs="Times New Roman"/>
                <w:color w:val="auto"/>
              </w:rPr>
              <w:t>对于室内声源，按下列步骤计算：</w:t>
            </w:r>
          </w:p>
          <w:p w14:paraId="7B742F31">
            <w:pPr>
              <w:ind w:firstLine="480"/>
              <w:rPr>
                <w:rFonts w:cs="Times New Roman"/>
                <w:color w:val="auto"/>
              </w:rPr>
            </w:pPr>
            <w:r>
              <w:rPr>
                <w:rFonts w:cs="Times New Roman"/>
                <w:color w:val="auto"/>
              </w:rPr>
              <w:t>Ⅰ由类比监测取得室外靠近围护结构处的声压级L</w:t>
            </w:r>
            <w:r>
              <w:rPr>
                <w:rFonts w:cs="Times New Roman"/>
                <w:color w:val="auto"/>
                <w:vertAlign w:val="subscript"/>
              </w:rPr>
              <w:t>A</w:t>
            </w:r>
            <w:r>
              <w:rPr>
                <w:rFonts w:cs="Times New Roman"/>
                <w:color w:val="auto"/>
              </w:rPr>
              <w:t>（r</w:t>
            </w:r>
            <w:r>
              <w:rPr>
                <w:rFonts w:cs="Times New Roman"/>
                <w:color w:val="auto"/>
                <w:vertAlign w:val="subscript"/>
              </w:rPr>
              <w:t>0</w:t>
            </w:r>
            <w:r>
              <w:rPr>
                <w:rFonts w:cs="Times New Roman"/>
                <w:color w:val="auto"/>
              </w:rPr>
              <w:t>）。</w:t>
            </w:r>
          </w:p>
          <w:p w14:paraId="05936307">
            <w:pPr>
              <w:ind w:firstLine="480"/>
              <w:rPr>
                <w:rFonts w:cs="Times New Roman"/>
                <w:color w:val="auto"/>
              </w:rPr>
            </w:pPr>
            <w:r>
              <w:rPr>
                <w:rFonts w:cs="Times New Roman"/>
                <w:color w:val="auto"/>
              </w:rPr>
              <w:t>Ⅱ将室外声源L</w:t>
            </w:r>
            <w:r>
              <w:rPr>
                <w:rFonts w:cs="Times New Roman"/>
                <w:color w:val="auto"/>
                <w:vertAlign w:val="subscript"/>
              </w:rPr>
              <w:t>A</w:t>
            </w:r>
            <w:r>
              <w:rPr>
                <w:rFonts w:cs="Times New Roman"/>
                <w:color w:val="auto"/>
              </w:rPr>
              <w:t>（r</w:t>
            </w:r>
            <w:r>
              <w:rPr>
                <w:rFonts w:cs="Times New Roman"/>
                <w:color w:val="auto"/>
                <w:vertAlign w:val="subscript"/>
              </w:rPr>
              <w:t>0</w:t>
            </w:r>
            <w:r>
              <w:rPr>
                <w:rFonts w:cs="Times New Roman"/>
                <w:color w:val="auto"/>
              </w:rPr>
              <w:t>）和透声面积换算成等效的室外声源。计算出等效源的声功率L</w:t>
            </w:r>
            <w:r>
              <w:rPr>
                <w:rFonts w:cs="Times New Roman"/>
                <w:color w:val="auto"/>
                <w:vertAlign w:val="subscript"/>
              </w:rPr>
              <w:t>w</w:t>
            </w:r>
            <w:r>
              <w:rPr>
                <w:rFonts w:cs="Times New Roman"/>
                <w:color w:val="auto"/>
              </w:rPr>
              <w:t>=L</w:t>
            </w:r>
            <w:r>
              <w:rPr>
                <w:rFonts w:cs="Times New Roman"/>
                <w:color w:val="auto"/>
                <w:vertAlign w:val="subscript"/>
              </w:rPr>
              <w:t>A</w:t>
            </w:r>
            <w:r>
              <w:rPr>
                <w:rFonts w:cs="Times New Roman"/>
                <w:color w:val="auto"/>
              </w:rPr>
              <w:t>（r</w:t>
            </w:r>
            <w:r>
              <w:rPr>
                <w:rFonts w:cs="Times New Roman"/>
                <w:color w:val="auto"/>
                <w:vertAlign w:val="subscript"/>
              </w:rPr>
              <w:t>0</w:t>
            </w:r>
            <w:r>
              <w:rPr>
                <w:rFonts w:cs="Times New Roman"/>
                <w:color w:val="auto"/>
              </w:rPr>
              <w:t>）+10lgS        式中S为透声面积。</w:t>
            </w:r>
          </w:p>
          <w:p w14:paraId="2B45E39F">
            <w:pPr>
              <w:ind w:firstLine="480"/>
              <w:rPr>
                <w:rFonts w:cs="Times New Roman"/>
                <w:color w:val="auto"/>
              </w:rPr>
            </w:pPr>
            <w:r>
              <w:rPr>
                <w:rFonts w:cs="Times New Roman"/>
                <w:color w:val="auto"/>
              </w:rPr>
              <w:t>Ⅲ用下式计算出等效室外声源在预测点的声压级。</w:t>
            </w:r>
          </w:p>
          <w:p w14:paraId="6C775A7B">
            <w:pPr>
              <w:ind w:firstLine="480"/>
              <w:jc w:val="center"/>
              <w:rPr>
                <w:rFonts w:cs="Times New Roman"/>
                <w:color w:val="auto"/>
              </w:rPr>
            </w:pPr>
            <w:r>
              <w:rPr>
                <w:rFonts w:cs="Times New Roman"/>
                <w:color w:val="auto"/>
              </w:rPr>
              <w:t>L</w:t>
            </w:r>
            <w:r>
              <w:rPr>
                <w:rFonts w:cs="Times New Roman"/>
                <w:color w:val="auto"/>
                <w:vertAlign w:val="subscript"/>
              </w:rPr>
              <w:t>A</w:t>
            </w:r>
            <w:r>
              <w:rPr>
                <w:rFonts w:cs="Times New Roman"/>
                <w:color w:val="auto"/>
              </w:rPr>
              <w:t>（r）=L</w:t>
            </w:r>
            <w:r>
              <w:rPr>
                <w:rFonts w:cs="Times New Roman"/>
                <w:color w:val="auto"/>
                <w:vertAlign w:val="subscript"/>
              </w:rPr>
              <w:t>w</w:t>
            </w:r>
            <w:r>
              <w:rPr>
                <w:rFonts w:cs="Times New Roman"/>
                <w:color w:val="auto"/>
              </w:rPr>
              <w:t>-20lg（r</w:t>
            </w:r>
            <w:r>
              <w:rPr>
                <w:rFonts w:cs="Times New Roman"/>
                <w:color w:val="auto"/>
                <w:vertAlign w:val="subscript"/>
              </w:rPr>
              <w:t>0</w:t>
            </w:r>
            <w:r>
              <w:rPr>
                <w:rFonts w:cs="Times New Roman"/>
                <w:color w:val="auto"/>
              </w:rPr>
              <w:t>）-20lg（r/r</w:t>
            </w:r>
            <w:r>
              <w:rPr>
                <w:rFonts w:cs="Times New Roman"/>
                <w:color w:val="auto"/>
                <w:vertAlign w:val="subscript"/>
              </w:rPr>
              <w:t>0</w:t>
            </w:r>
            <w:r>
              <w:rPr>
                <w:rFonts w:cs="Times New Roman"/>
                <w:color w:val="auto"/>
              </w:rPr>
              <w:t>）-8</w:t>
            </w:r>
          </w:p>
          <w:p w14:paraId="143A10C5">
            <w:pPr>
              <w:ind w:firstLine="480"/>
              <w:rPr>
                <w:rFonts w:cs="Times New Roman"/>
                <w:color w:val="auto"/>
              </w:rPr>
            </w:pPr>
            <w:r>
              <w:rPr>
                <w:rFonts w:cs="Times New Roman"/>
                <w:color w:val="auto"/>
              </w:rPr>
              <w:t>Ⅳ用下式计算各噪声源对预测点贡献声级及背景噪声叠加。</w:t>
            </w:r>
          </w:p>
          <w:p w14:paraId="09CFCBDA">
            <w:pPr>
              <w:ind w:firstLine="0" w:firstLineChars="0"/>
              <w:jc w:val="center"/>
              <w:rPr>
                <w:rFonts w:cs="Times New Roman"/>
                <w:color w:val="auto"/>
              </w:rPr>
            </w:pPr>
            <w:r>
              <w:rPr>
                <w:rFonts w:cs="Times New Roman"/>
                <w:color w:val="auto"/>
              </w:rPr>
              <w:object>
                <v:shape id="_x0000_i1029" o:spt="75" type="#_x0000_t75" style="height:36.7pt;width:109.3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p>
          <w:p w14:paraId="2FD5BDB5">
            <w:pPr>
              <w:ind w:firstLine="480"/>
              <w:rPr>
                <w:rFonts w:cs="Times New Roman"/>
                <w:color w:val="auto"/>
              </w:rPr>
            </w:pPr>
            <w:r>
              <w:rPr>
                <w:rFonts w:cs="Times New Roman"/>
                <w:color w:val="auto"/>
              </w:rPr>
              <w:t>式中：L</w:t>
            </w:r>
            <w:r>
              <w:rPr>
                <w:rFonts w:cs="Times New Roman"/>
                <w:color w:val="auto"/>
                <w:vertAlign w:val="subscript"/>
              </w:rPr>
              <w:t>Ai</w:t>
            </w:r>
            <w:r>
              <w:rPr>
                <w:rFonts w:cs="Times New Roman"/>
                <w:color w:val="auto"/>
              </w:rPr>
              <w:t>为声源单独作用时预测处的A声级，n为声源个数。</w:t>
            </w:r>
          </w:p>
          <w:p w14:paraId="743C87EB">
            <w:pPr>
              <w:ind w:firstLine="480"/>
              <w:rPr>
                <w:rFonts w:cs="Times New Roman"/>
                <w:color w:val="auto"/>
              </w:rPr>
            </w:pPr>
            <w:r>
              <w:rPr>
                <w:rFonts w:cs="Times New Roman"/>
                <w:color w:val="auto"/>
              </w:rPr>
              <w:t>②声屏蔽屏障引起的衰减</w:t>
            </w:r>
          </w:p>
          <w:p w14:paraId="648B0180">
            <w:pPr>
              <w:ind w:firstLine="480"/>
              <w:rPr>
                <w:rFonts w:cs="Times New Roman"/>
                <w:color w:val="auto"/>
              </w:rPr>
            </w:pPr>
            <w:r>
              <w:rPr>
                <w:rFonts w:cs="Times New Roman"/>
                <w:color w:val="auto"/>
              </w:rPr>
              <w:t>声屏障的隔声效应与声源和接收点屏障位置、屏障高度和屏障长度及结构性质有关，我们根据它们之间的距离、声音的频率（一般取500Hz）算出菲涅尔系数，然后再查表找出相对应的衰减值（dB）。菲涅尔系数的计算方法如下：</w:t>
            </w:r>
          </w:p>
          <w:p w14:paraId="64497FE3">
            <w:pPr>
              <w:ind w:firstLine="0" w:firstLineChars="0"/>
              <w:jc w:val="center"/>
              <w:rPr>
                <w:rFonts w:cs="Times New Roman"/>
                <w:color w:val="auto"/>
              </w:rPr>
            </w:pPr>
            <w:r>
              <w:rPr>
                <w:rFonts w:cs="Times New Roman"/>
                <w:color w:val="auto"/>
              </w:rPr>
              <w:object>
                <v:shape id="_x0000_i1030" o:spt="75" type="#_x0000_t75" style="height:29.9pt;width:86.95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p>
          <w:p w14:paraId="264DBE8A">
            <w:pPr>
              <w:ind w:firstLine="480"/>
              <w:rPr>
                <w:rFonts w:cs="Times New Roman"/>
                <w:color w:val="auto"/>
              </w:rPr>
            </w:pPr>
            <w:r>
              <w:rPr>
                <w:rFonts w:cs="Times New Roman"/>
                <w:color w:val="auto"/>
              </w:rPr>
              <w:t>式中：A—声源与屏障顶端的距离；</w:t>
            </w:r>
          </w:p>
          <w:p w14:paraId="21B5DABA">
            <w:pPr>
              <w:ind w:firstLine="480"/>
              <w:rPr>
                <w:rFonts w:cs="Times New Roman"/>
                <w:color w:val="auto"/>
              </w:rPr>
            </w:pPr>
            <w:r>
              <w:rPr>
                <w:rFonts w:cs="Times New Roman"/>
                <w:color w:val="auto"/>
              </w:rPr>
              <w:t xml:space="preserve">      B—接收点与屏障顶端的距离；</w:t>
            </w:r>
          </w:p>
          <w:p w14:paraId="5CF3C96B">
            <w:pPr>
              <w:ind w:firstLine="480"/>
              <w:rPr>
                <w:rFonts w:cs="Times New Roman"/>
                <w:color w:val="auto"/>
              </w:rPr>
            </w:pPr>
            <w:r>
              <w:rPr>
                <w:rFonts w:cs="Times New Roman"/>
                <w:color w:val="auto"/>
              </w:rPr>
              <w:t xml:space="preserve">      d—声源与接收点间的距离；</w:t>
            </w:r>
          </w:p>
          <w:p w14:paraId="0EAB9110">
            <w:pPr>
              <w:ind w:firstLine="480"/>
              <w:rPr>
                <w:rFonts w:cs="Times New Roman"/>
                <w:color w:val="auto"/>
              </w:rPr>
            </w:pPr>
            <w:r>
              <w:rPr>
                <w:rFonts w:cs="Times New Roman"/>
                <w:color w:val="auto"/>
              </w:rPr>
              <w:t xml:space="preserve">      λ—波长。</w:t>
            </w:r>
          </w:p>
          <w:p w14:paraId="6ABA7301">
            <w:pPr>
              <w:ind w:firstLine="480"/>
              <w:rPr>
                <w:rFonts w:cs="Times New Roman"/>
                <w:color w:val="auto"/>
              </w:rPr>
            </w:pPr>
            <w:r>
              <w:rPr>
                <w:rFonts w:cs="Times New Roman"/>
                <w:color w:val="auto"/>
              </w:rPr>
              <w:t>③空气吸收引起的衰减</w:t>
            </w:r>
          </w:p>
          <w:p w14:paraId="61796226">
            <w:pPr>
              <w:ind w:firstLine="480"/>
              <w:rPr>
                <w:rFonts w:cs="Times New Roman"/>
                <w:color w:val="auto"/>
              </w:rPr>
            </w:pPr>
            <w:r>
              <w:rPr>
                <w:rFonts w:cs="Times New Roman"/>
                <w:color w:val="auto"/>
              </w:rPr>
              <w:t>空气吸收引起的衰减按以下公式计算：</w:t>
            </w:r>
          </w:p>
          <w:p w14:paraId="53D9248A">
            <w:pPr>
              <w:ind w:firstLine="480"/>
              <w:jc w:val="center"/>
              <w:rPr>
                <w:rFonts w:cs="Times New Roman"/>
                <w:color w:val="auto"/>
              </w:rPr>
            </w:pPr>
            <w:r>
              <w:rPr>
                <w:rFonts w:cs="Times New Roman"/>
                <w:color w:val="auto"/>
              </w:rPr>
              <w:t>A</w:t>
            </w:r>
            <w:r>
              <w:rPr>
                <w:rFonts w:cs="Times New Roman"/>
                <w:color w:val="auto"/>
                <w:vertAlign w:val="subscript"/>
              </w:rPr>
              <w:t>atm</w:t>
            </w:r>
            <w:r>
              <w:rPr>
                <w:rFonts w:cs="Times New Roman"/>
                <w:color w:val="auto"/>
              </w:rPr>
              <w:t>=α（r-r</w:t>
            </w:r>
            <w:r>
              <w:rPr>
                <w:rFonts w:cs="Times New Roman"/>
                <w:color w:val="auto"/>
                <w:vertAlign w:val="subscript"/>
              </w:rPr>
              <w:t>0</w:t>
            </w:r>
            <w:r>
              <w:rPr>
                <w:rFonts w:cs="Times New Roman"/>
                <w:color w:val="auto"/>
              </w:rPr>
              <w:t>）/1000</w:t>
            </w:r>
          </w:p>
          <w:p w14:paraId="069D7E13">
            <w:pPr>
              <w:ind w:firstLine="480"/>
              <w:rPr>
                <w:rFonts w:cs="Times New Roman"/>
                <w:color w:val="auto"/>
              </w:rPr>
            </w:pPr>
            <w:r>
              <w:rPr>
                <w:rFonts w:cs="Times New Roman"/>
                <w:color w:val="auto"/>
              </w:rPr>
              <w:t>式中：α为温度、湿度和声波频率的函数，预测计算中一般根据建设项目所处区域常年平均气温和湿度选择相应的空气吸收系数，见下表。</w:t>
            </w:r>
          </w:p>
          <w:p w14:paraId="7D718B69">
            <w:pPr>
              <w:pStyle w:val="36"/>
              <w:rPr>
                <w:rFonts w:cs="Times New Roman"/>
                <w:color w:val="auto"/>
              </w:rPr>
            </w:pPr>
            <w:r>
              <w:rPr>
                <w:rFonts w:cs="Times New Roman"/>
                <w:color w:val="auto"/>
              </w:rPr>
              <w:t>表4-12  倍频带噪声的大气吸收衰减系数</w:t>
            </w:r>
          </w:p>
          <w:p w14:paraId="116AD525">
            <w:pPr>
              <w:ind w:firstLine="0" w:firstLineChars="0"/>
              <w:jc w:val="center"/>
              <w:rPr>
                <w:rFonts w:cs="Times New Roman"/>
                <w:color w:val="auto"/>
                <w:lang w:val="en-GB"/>
              </w:rPr>
            </w:pPr>
            <w:r>
              <w:rPr>
                <w:rFonts w:cs="Times New Roman"/>
                <w:color w:val="auto"/>
              </w:rPr>
              <w:drawing>
                <wp:inline distT="0" distB="0" distL="0" distR="0">
                  <wp:extent cx="4705350" cy="1958340"/>
                  <wp:effectExtent l="0" t="0" r="0" b="3810"/>
                  <wp:docPr id="8948270"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270" name="图片 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710179" cy="1960306"/>
                          </a:xfrm>
                          <a:prstGeom prst="rect">
                            <a:avLst/>
                          </a:prstGeom>
                          <a:noFill/>
                          <a:ln>
                            <a:noFill/>
                          </a:ln>
                        </pic:spPr>
                      </pic:pic>
                    </a:graphicData>
                  </a:graphic>
                </wp:inline>
              </w:drawing>
            </w:r>
          </w:p>
          <w:p w14:paraId="5EBA70FA">
            <w:pPr>
              <w:ind w:firstLine="480"/>
              <w:rPr>
                <w:rFonts w:cs="Times New Roman"/>
                <w:color w:val="auto"/>
              </w:rPr>
            </w:pPr>
            <w:r>
              <w:rPr>
                <w:rFonts w:cs="Times New Roman"/>
                <w:color w:val="auto"/>
              </w:rPr>
              <w:t>④地面效应引起的衰减</w:t>
            </w:r>
          </w:p>
          <w:p w14:paraId="415E9F6F">
            <w:pPr>
              <w:ind w:firstLine="480"/>
              <w:rPr>
                <w:rFonts w:cs="Times New Roman"/>
                <w:color w:val="auto"/>
              </w:rPr>
            </w:pPr>
            <w:r>
              <w:rPr>
                <w:rFonts w:cs="Times New Roman"/>
                <w:color w:val="auto"/>
              </w:rPr>
              <w:t>声波越过疏松地面传播时，或大部分为疏松地面的混合地面，在预测点仅计算A声级前提下，地面效应引起的倍频带衰减可按下式计算：</w:t>
            </w:r>
          </w:p>
          <w:p w14:paraId="49ADCE6F">
            <w:pPr>
              <w:ind w:firstLine="480"/>
              <w:jc w:val="center"/>
              <w:rPr>
                <w:rFonts w:cs="Times New Roman"/>
                <w:color w:val="auto"/>
              </w:rPr>
            </w:pPr>
            <w:r>
              <w:rPr>
                <w:rFonts w:cs="Times New Roman"/>
                <w:color w:val="auto"/>
              </w:rPr>
              <w:object>
                <v:shape id="_x0000_i1031" o:spt="75" type="#_x0000_t75" style="height:36.7pt;width:153.5pt;" o:ole="t" filled="f" o:preferrelative="t" stroked="f" coordsize="21600,21600">
                  <v:path/>
                  <v:fill on="f" focussize="0,0"/>
                  <v:stroke on="f" joinstyle="miter"/>
                  <v:imagedata r:id="rId22" o:title=""/>
                  <o:lock v:ext="edit" aspectratio="t"/>
                  <w10:wrap type="none"/>
                  <w10:anchorlock/>
                </v:shape>
                <o:OLEObject Type="Embed" ProgID="Visio.Drawing.11" ShapeID="_x0000_i1031" DrawAspect="Content" ObjectID="_1468075731" r:id="rId21">
                  <o:LockedField>false</o:LockedField>
                </o:OLEObject>
              </w:object>
            </w:r>
          </w:p>
          <w:p w14:paraId="4A8FD72D">
            <w:pPr>
              <w:ind w:firstLine="480"/>
              <w:rPr>
                <w:rFonts w:cs="Times New Roman"/>
                <w:color w:val="auto"/>
              </w:rPr>
            </w:pPr>
            <w:r>
              <w:rPr>
                <w:rFonts w:cs="Times New Roman"/>
                <w:color w:val="auto"/>
              </w:rPr>
              <w:t>式中：r—声源到预测点的距离，m；</w:t>
            </w:r>
          </w:p>
          <w:p w14:paraId="6BDDB823">
            <w:pPr>
              <w:ind w:firstLine="480"/>
              <w:rPr>
                <w:rFonts w:cs="Times New Roman"/>
                <w:color w:val="auto"/>
              </w:rPr>
            </w:pPr>
            <w:r>
              <w:rPr>
                <w:rFonts w:cs="Times New Roman"/>
                <w:color w:val="auto"/>
              </w:rPr>
              <w:t xml:space="preserve">      h</w:t>
            </w:r>
            <w:r>
              <w:rPr>
                <w:rFonts w:cs="Times New Roman"/>
                <w:color w:val="auto"/>
                <w:vertAlign w:val="subscript"/>
              </w:rPr>
              <w:t>m</w:t>
            </w:r>
            <w:r>
              <w:rPr>
                <w:rFonts w:cs="Times New Roman"/>
                <w:color w:val="auto"/>
              </w:rPr>
              <w:t>—传播路径的平均离地高度，m。</w:t>
            </w:r>
          </w:p>
          <w:p w14:paraId="6C566EAE">
            <w:pPr>
              <w:ind w:firstLine="480"/>
              <w:rPr>
                <w:rFonts w:cs="Times New Roman"/>
                <w:color w:val="auto"/>
              </w:rPr>
            </w:pPr>
            <w:r>
              <w:rPr>
                <w:rFonts w:cs="Times New Roman"/>
                <w:color w:val="auto"/>
              </w:rPr>
              <w:t>若A</w:t>
            </w:r>
            <w:r>
              <w:rPr>
                <w:rFonts w:cs="Times New Roman"/>
                <w:color w:val="auto"/>
                <w:vertAlign w:val="subscript"/>
              </w:rPr>
              <w:t>gr</w:t>
            </w:r>
            <w:r>
              <w:rPr>
                <w:rFonts w:cs="Times New Roman"/>
                <w:color w:val="auto"/>
              </w:rPr>
              <w:t>计算出负值，则A</w:t>
            </w:r>
            <w:r>
              <w:rPr>
                <w:rFonts w:cs="Times New Roman"/>
                <w:color w:val="auto"/>
                <w:vertAlign w:val="subscript"/>
              </w:rPr>
              <w:t>gr</w:t>
            </w:r>
            <w:r>
              <w:rPr>
                <w:rFonts w:cs="Times New Roman"/>
                <w:color w:val="auto"/>
              </w:rPr>
              <w:t>可用“0”代替。本项目厂区地面除绿化外均为坚实地面，且本次预测仅针对厂界，故A</w:t>
            </w:r>
            <w:r>
              <w:rPr>
                <w:rFonts w:cs="Times New Roman"/>
                <w:color w:val="auto"/>
                <w:vertAlign w:val="subscript"/>
              </w:rPr>
              <w:t>gr</w:t>
            </w:r>
            <w:r>
              <w:rPr>
                <w:rFonts w:cs="Times New Roman"/>
                <w:color w:val="auto"/>
              </w:rPr>
              <w:t>可忽略不计。</w:t>
            </w:r>
          </w:p>
          <w:p w14:paraId="7F277907">
            <w:pPr>
              <w:ind w:firstLine="480"/>
              <w:rPr>
                <w:rFonts w:cs="Times New Roman"/>
                <w:color w:val="auto"/>
              </w:rPr>
            </w:pPr>
            <w:r>
              <w:rPr>
                <w:rFonts w:cs="Times New Roman"/>
                <w:color w:val="auto"/>
              </w:rPr>
              <w:t>⑤其它多方面原因引起的衰减</w:t>
            </w:r>
          </w:p>
          <w:p w14:paraId="29F77D45">
            <w:pPr>
              <w:ind w:firstLine="480"/>
              <w:rPr>
                <w:rFonts w:cs="Times New Roman"/>
                <w:color w:val="auto"/>
              </w:rPr>
            </w:pPr>
            <w:r>
              <w:rPr>
                <w:rFonts w:cs="Times New Roman"/>
                <w:color w:val="auto"/>
              </w:rPr>
              <w:t>其它衰减包括通过工业场所的衰减，通过房屋群的衰减。在本次预测中可忽略不计。在声环境影响评价中，一般情况下，不考虑自然条件（如风、温度梯度、雾）变化引起的附加修正。</w:t>
            </w:r>
          </w:p>
          <w:p w14:paraId="714537C4">
            <w:pPr>
              <w:ind w:firstLine="480"/>
              <w:rPr>
                <w:rFonts w:cs="Times New Roman"/>
                <w:color w:val="auto"/>
              </w:rPr>
            </w:pPr>
            <w:r>
              <w:rPr>
                <w:rFonts w:cs="Times New Roman"/>
                <w:color w:val="auto"/>
              </w:rPr>
              <w:t>（2）预测程序</w:t>
            </w:r>
          </w:p>
          <w:p w14:paraId="6D865D6A">
            <w:pPr>
              <w:ind w:firstLine="480"/>
              <w:rPr>
                <w:rFonts w:cs="Times New Roman"/>
                <w:color w:val="auto"/>
              </w:rPr>
            </w:pPr>
            <w:r>
              <w:rPr>
                <w:rFonts w:cs="Times New Roman"/>
                <w:color w:val="auto"/>
              </w:rPr>
              <w:t>预测点噪声级预测计算基本步骤如下：</w:t>
            </w:r>
          </w:p>
          <w:p w14:paraId="023262D0">
            <w:pPr>
              <w:ind w:firstLine="480"/>
              <w:rPr>
                <w:rFonts w:cs="Times New Roman"/>
                <w:color w:val="auto"/>
              </w:rPr>
            </w:pPr>
            <w:r>
              <w:rPr>
                <w:rFonts w:cs="Times New Roman"/>
                <w:color w:val="auto"/>
              </w:rPr>
              <w:t>①建立坐标系，确定各声源坐标和预测点坐标，本项目声源主要为自油泵、运输车辆及装卸过程产生的噪声、</w:t>
            </w:r>
            <w:r>
              <w:rPr>
                <w:rFonts w:hint="eastAsia" w:cs="Times New Roman"/>
                <w:color w:val="auto"/>
                <w:lang w:val="en-US" w:eastAsia="zh-CN"/>
              </w:rPr>
              <w:t>龙门吊</w:t>
            </w:r>
            <w:r>
              <w:rPr>
                <w:rFonts w:cs="Times New Roman"/>
                <w:color w:val="auto"/>
              </w:rPr>
              <w:t>运行噪声，为点源及面源。</w:t>
            </w:r>
          </w:p>
          <w:p w14:paraId="59353F18">
            <w:pPr>
              <w:ind w:firstLine="480"/>
              <w:rPr>
                <w:rFonts w:cs="Times New Roman"/>
                <w:color w:val="auto"/>
              </w:rPr>
            </w:pPr>
            <w:r>
              <w:rPr>
                <w:rFonts w:cs="Times New Roman"/>
                <w:color w:val="auto"/>
              </w:rPr>
              <w:t>②根据已获得的声源源强的数据和各声源到预测点的声波传播条件资料，计算出噪声从各声源传播到预测点的声衰减量，由此计算出各声源单独作用在预测点时产生的A声级L</w:t>
            </w:r>
            <w:r>
              <w:rPr>
                <w:rFonts w:cs="Times New Roman"/>
                <w:color w:val="auto"/>
                <w:vertAlign w:val="subscript"/>
              </w:rPr>
              <w:t>Ai</w:t>
            </w:r>
            <w:r>
              <w:rPr>
                <w:rFonts w:cs="Times New Roman"/>
                <w:color w:val="auto"/>
              </w:rPr>
              <w:t>；</w:t>
            </w:r>
          </w:p>
          <w:p w14:paraId="1B57F13A">
            <w:pPr>
              <w:ind w:firstLine="480"/>
              <w:rPr>
                <w:rFonts w:cs="Times New Roman"/>
                <w:color w:val="auto"/>
              </w:rPr>
            </w:pPr>
            <w:r>
              <w:rPr>
                <w:rFonts w:cs="Times New Roman"/>
                <w:color w:val="auto"/>
              </w:rPr>
              <w:t>③声级计算</w:t>
            </w:r>
          </w:p>
          <w:p w14:paraId="5BC33102">
            <w:pPr>
              <w:ind w:firstLine="480"/>
              <w:rPr>
                <w:rFonts w:cs="Times New Roman"/>
                <w:color w:val="auto"/>
              </w:rPr>
            </w:pPr>
            <w:r>
              <w:rPr>
                <w:rFonts w:cs="Times New Roman"/>
                <w:color w:val="auto"/>
              </w:rPr>
              <w:t>建设项目声源在预测点产生的等效声级贡献值（L</w:t>
            </w:r>
            <w:r>
              <w:rPr>
                <w:rFonts w:cs="Times New Roman"/>
                <w:color w:val="auto"/>
                <w:vertAlign w:val="subscript"/>
              </w:rPr>
              <w:t>eqg</w:t>
            </w:r>
            <w:r>
              <w:rPr>
                <w:rFonts w:cs="Times New Roman"/>
                <w:color w:val="auto"/>
              </w:rPr>
              <w:t>）计算公式：</w:t>
            </w:r>
          </w:p>
          <w:p w14:paraId="76BCA27A">
            <w:pPr>
              <w:ind w:firstLine="480"/>
              <w:jc w:val="center"/>
              <w:rPr>
                <w:rFonts w:cs="Times New Roman"/>
                <w:color w:val="auto"/>
              </w:rPr>
            </w:pPr>
            <w:r>
              <w:rPr>
                <w:rFonts w:cs="Times New Roman"/>
                <w:color w:val="auto"/>
              </w:rPr>
              <w:object>
                <v:shape id="_x0000_i1032" o:spt="75" type="#_x0000_t75" style="height:36.7pt;width:129.05pt;" o:ole="t" filled="f" o:preferrelative="t" stroked="f" coordsize="21600,21600">
                  <v:path/>
                  <v:fill on="f" focussize="0,0"/>
                  <v:stroke on="f" joinstyle="miter"/>
                  <v:imagedata r:id="rId24" o:title=""/>
                  <o:lock v:ext="edit" aspectratio="t"/>
                  <w10:wrap type="none"/>
                  <w10:anchorlock/>
                </v:shape>
                <o:OLEObject Type="Embed" ProgID="Visio.Drawing.11" ShapeID="_x0000_i1032" DrawAspect="Content" ObjectID="_1468075732" r:id="rId23">
                  <o:LockedField>false</o:LockedField>
                </o:OLEObject>
              </w:object>
            </w:r>
          </w:p>
          <w:p w14:paraId="7D91C249">
            <w:pPr>
              <w:ind w:firstLine="480"/>
              <w:rPr>
                <w:rFonts w:cs="Times New Roman"/>
                <w:color w:val="auto"/>
              </w:rPr>
            </w:pPr>
            <w:r>
              <w:rPr>
                <w:rFonts w:cs="Times New Roman"/>
                <w:color w:val="auto"/>
              </w:rPr>
              <w:t>式中：L</w:t>
            </w:r>
            <w:r>
              <w:rPr>
                <w:rFonts w:cs="Times New Roman"/>
                <w:color w:val="auto"/>
                <w:vertAlign w:val="subscript"/>
              </w:rPr>
              <w:t>eqg</w:t>
            </w:r>
            <w:r>
              <w:rPr>
                <w:rFonts w:cs="Times New Roman"/>
                <w:color w:val="auto"/>
              </w:rPr>
              <w:t>—建设项目声源在预测点的等效声级贡献值，dB（A）；</w:t>
            </w:r>
          </w:p>
          <w:p w14:paraId="66379058">
            <w:pPr>
              <w:ind w:firstLine="480"/>
              <w:rPr>
                <w:rFonts w:cs="Times New Roman"/>
                <w:color w:val="auto"/>
              </w:rPr>
            </w:pPr>
            <w:r>
              <w:rPr>
                <w:rFonts w:cs="Times New Roman"/>
                <w:color w:val="auto"/>
              </w:rPr>
              <w:t xml:space="preserve">      L</w:t>
            </w:r>
            <w:r>
              <w:rPr>
                <w:rFonts w:cs="Times New Roman"/>
                <w:color w:val="auto"/>
                <w:vertAlign w:val="subscript"/>
              </w:rPr>
              <w:t>Ai</w:t>
            </w:r>
            <w:r>
              <w:rPr>
                <w:rFonts w:cs="Times New Roman"/>
                <w:color w:val="auto"/>
              </w:rPr>
              <w:t>—i声源在预测点产生的A声级，dB（A）；</w:t>
            </w:r>
          </w:p>
          <w:p w14:paraId="5B5BD4C1">
            <w:pPr>
              <w:ind w:firstLine="480"/>
              <w:rPr>
                <w:rFonts w:cs="Times New Roman"/>
                <w:color w:val="auto"/>
              </w:rPr>
            </w:pPr>
            <w:r>
              <w:rPr>
                <w:rFonts w:cs="Times New Roman"/>
                <w:color w:val="auto"/>
              </w:rPr>
              <w:t xml:space="preserve">      T—预测计算的时间段，s；</w:t>
            </w:r>
          </w:p>
          <w:p w14:paraId="1A8C539B">
            <w:pPr>
              <w:ind w:firstLine="480"/>
              <w:rPr>
                <w:rFonts w:cs="Times New Roman"/>
                <w:color w:val="auto"/>
              </w:rPr>
            </w:pPr>
            <w:r>
              <w:rPr>
                <w:rFonts w:cs="Times New Roman"/>
                <w:color w:val="auto"/>
              </w:rPr>
              <w:t xml:space="preserve">      t</w:t>
            </w:r>
            <w:r>
              <w:rPr>
                <w:rFonts w:cs="Times New Roman"/>
                <w:color w:val="auto"/>
                <w:vertAlign w:val="subscript"/>
              </w:rPr>
              <w:t>i</w:t>
            </w:r>
            <w:r>
              <w:rPr>
                <w:rFonts w:cs="Times New Roman"/>
                <w:color w:val="auto"/>
              </w:rPr>
              <w:t>—i声源在T时段内的运行时间，s。</w:t>
            </w:r>
          </w:p>
          <w:p w14:paraId="1D24F2E2">
            <w:pPr>
              <w:ind w:firstLine="480"/>
              <w:rPr>
                <w:rFonts w:cs="Times New Roman"/>
                <w:color w:val="auto"/>
              </w:rPr>
            </w:pPr>
            <w:r>
              <w:rPr>
                <w:rFonts w:cs="Times New Roman"/>
                <w:color w:val="auto"/>
              </w:rPr>
              <w:t>预测点的预测等效声级（L</w:t>
            </w:r>
            <w:r>
              <w:rPr>
                <w:rFonts w:cs="Times New Roman"/>
                <w:color w:val="auto"/>
                <w:vertAlign w:val="subscript"/>
              </w:rPr>
              <w:t>eq</w:t>
            </w:r>
            <w:r>
              <w:rPr>
                <w:rFonts w:cs="Times New Roman"/>
                <w:color w:val="auto"/>
              </w:rPr>
              <w:t>）计算公式：</w:t>
            </w:r>
          </w:p>
          <w:p w14:paraId="44BF42D2">
            <w:pPr>
              <w:ind w:firstLine="480"/>
              <w:jc w:val="center"/>
              <w:rPr>
                <w:rFonts w:cs="Times New Roman"/>
                <w:color w:val="auto"/>
              </w:rPr>
            </w:pPr>
            <w:r>
              <w:rPr>
                <w:rFonts w:cs="Times New Roman"/>
                <w:color w:val="auto"/>
              </w:rPr>
              <w:object>
                <v:shape id="_x0000_i1033" o:spt="75" type="#_x0000_t75" style="height:21.05pt;width:136.55pt;" o:ole="t" filled="f" o:preferrelative="t" stroked="f" coordsize="21600,21600">
                  <v:path/>
                  <v:fill on="f" focussize="0,0"/>
                  <v:stroke on="f" joinstyle="miter"/>
                  <v:imagedata r:id="rId26" o:title=""/>
                  <o:lock v:ext="edit" aspectratio="t"/>
                  <w10:wrap type="none"/>
                  <w10:anchorlock/>
                </v:shape>
                <o:OLEObject Type="Embed" ProgID="Visio.Drawing.11" ShapeID="_x0000_i1033" DrawAspect="Content" ObjectID="_1468075733" r:id="rId25">
                  <o:LockedField>false</o:LockedField>
                </o:OLEObject>
              </w:object>
            </w:r>
          </w:p>
          <w:p w14:paraId="6FC6D9C8">
            <w:pPr>
              <w:ind w:firstLine="480"/>
              <w:rPr>
                <w:rFonts w:cs="Times New Roman"/>
                <w:color w:val="auto"/>
              </w:rPr>
            </w:pPr>
            <w:r>
              <w:rPr>
                <w:rFonts w:cs="Times New Roman"/>
                <w:color w:val="auto"/>
              </w:rPr>
              <w:t>式中：L</w:t>
            </w:r>
            <w:r>
              <w:rPr>
                <w:rFonts w:cs="Times New Roman"/>
                <w:color w:val="auto"/>
                <w:vertAlign w:val="subscript"/>
              </w:rPr>
              <w:t>eqg</w:t>
            </w:r>
            <w:r>
              <w:rPr>
                <w:rFonts w:cs="Times New Roman"/>
                <w:color w:val="auto"/>
              </w:rPr>
              <w:t>—建设项目声源在预测点的等效声级贡献值，dB（A）；</w:t>
            </w:r>
          </w:p>
          <w:p w14:paraId="21E79F92">
            <w:pPr>
              <w:ind w:firstLine="480"/>
              <w:rPr>
                <w:rFonts w:cs="Times New Roman"/>
                <w:color w:val="auto"/>
              </w:rPr>
            </w:pPr>
            <w:r>
              <w:rPr>
                <w:rFonts w:cs="Times New Roman"/>
                <w:color w:val="auto"/>
              </w:rPr>
              <w:t xml:space="preserve">      L</w:t>
            </w:r>
            <w:r>
              <w:rPr>
                <w:rFonts w:cs="Times New Roman"/>
                <w:color w:val="auto"/>
                <w:vertAlign w:val="subscript"/>
              </w:rPr>
              <w:t>eqb</w:t>
            </w:r>
            <w:r>
              <w:rPr>
                <w:rFonts w:cs="Times New Roman"/>
                <w:color w:val="auto"/>
              </w:rPr>
              <w:t>—预测点的背景值，dB（A）。</w:t>
            </w:r>
          </w:p>
          <w:p w14:paraId="219C9161">
            <w:pPr>
              <w:ind w:firstLine="480"/>
              <w:rPr>
                <w:rFonts w:cs="Times New Roman"/>
                <w:color w:val="auto"/>
              </w:rPr>
            </w:pPr>
            <w:r>
              <w:rPr>
                <w:rFonts w:cs="Times New Roman"/>
                <w:color w:val="auto"/>
              </w:rPr>
              <w:t>（3）参数选取</w:t>
            </w:r>
          </w:p>
          <w:p w14:paraId="0426E395">
            <w:pPr>
              <w:ind w:firstLine="480"/>
              <w:rPr>
                <w:rFonts w:cs="Times New Roman"/>
                <w:color w:val="auto"/>
              </w:rPr>
            </w:pPr>
            <w:r>
              <w:rPr>
                <w:rFonts w:cs="Times New Roman"/>
                <w:color w:val="auto"/>
              </w:rPr>
              <w:t>计算过程考虑了建筑物的屏障作用和室内源向室外的传播，进行预测。项目各种产噪设备对场界噪声影响贡献预测结果见下表。</w:t>
            </w:r>
          </w:p>
          <w:p w14:paraId="31A3DE59">
            <w:pPr>
              <w:ind w:firstLine="480"/>
              <w:rPr>
                <w:rFonts w:cs="Times New Roman"/>
                <w:color w:val="auto"/>
              </w:rPr>
            </w:pPr>
            <w:r>
              <w:rPr>
                <w:rFonts w:cs="Times New Roman"/>
                <w:color w:val="auto"/>
              </w:rPr>
              <w:t>根据本项目投产后厂内主要噪声源的位置、声功率级值以及所采取的噪声防治措施，运营期厂界噪声预测结果见下表。</w:t>
            </w:r>
          </w:p>
          <w:p w14:paraId="06986AC7">
            <w:pPr>
              <w:pStyle w:val="36"/>
              <w:rPr>
                <w:rFonts w:cs="Times New Roman"/>
                <w:color w:val="auto"/>
              </w:rPr>
            </w:pPr>
            <w:r>
              <w:rPr>
                <w:rFonts w:cs="Times New Roman"/>
                <w:color w:val="auto"/>
              </w:rPr>
              <w:t>表4-13  厂界噪声预测结果        单位：Leq（dB（A））</w:t>
            </w:r>
          </w:p>
          <w:tbl>
            <w:tblPr>
              <w:tblStyle w:val="2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77"/>
              <w:gridCol w:w="936"/>
              <w:gridCol w:w="1367"/>
              <w:gridCol w:w="1371"/>
              <w:gridCol w:w="3284"/>
            </w:tblGrid>
            <w:tr w14:paraId="7E1883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83" w:type="pct"/>
                  <w:vMerge w:val="restart"/>
                  <w:vAlign w:val="center"/>
                </w:tcPr>
                <w:p w14:paraId="362F231C">
                  <w:pPr>
                    <w:pStyle w:val="50"/>
                    <w:jc w:val="center"/>
                    <w:rPr>
                      <w:b/>
                      <w:bCs/>
                      <w:color w:val="auto"/>
                    </w:rPr>
                  </w:pPr>
                  <w:r>
                    <w:rPr>
                      <w:b/>
                      <w:bCs/>
                      <w:color w:val="auto"/>
                    </w:rPr>
                    <w:t>序号</w:t>
                  </w:r>
                </w:p>
              </w:tc>
              <w:tc>
                <w:tcPr>
                  <w:tcW w:w="621" w:type="pct"/>
                  <w:vMerge w:val="restart"/>
                  <w:vAlign w:val="center"/>
                </w:tcPr>
                <w:p w14:paraId="613A2B84">
                  <w:pPr>
                    <w:pStyle w:val="50"/>
                    <w:jc w:val="center"/>
                    <w:rPr>
                      <w:b/>
                      <w:bCs/>
                      <w:color w:val="auto"/>
                    </w:rPr>
                  </w:pPr>
                  <w:r>
                    <w:rPr>
                      <w:b/>
                      <w:bCs/>
                      <w:color w:val="auto"/>
                    </w:rPr>
                    <w:t>厂界</w:t>
                  </w:r>
                </w:p>
              </w:tc>
              <w:tc>
                <w:tcPr>
                  <w:tcW w:w="1815" w:type="pct"/>
                  <w:gridSpan w:val="2"/>
                  <w:vAlign w:val="center"/>
                </w:tcPr>
                <w:p w14:paraId="62CA2592">
                  <w:pPr>
                    <w:pStyle w:val="50"/>
                    <w:jc w:val="center"/>
                    <w:rPr>
                      <w:b/>
                      <w:bCs/>
                      <w:color w:val="auto"/>
                    </w:rPr>
                  </w:pPr>
                  <w:r>
                    <w:rPr>
                      <w:b/>
                      <w:bCs/>
                      <w:color w:val="auto"/>
                    </w:rPr>
                    <w:t>贡献值</w:t>
                  </w:r>
                </w:p>
              </w:tc>
              <w:tc>
                <w:tcPr>
                  <w:tcW w:w="2178" w:type="pct"/>
                  <w:vMerge w:val="restart"/>
                  <w:vAlign w:val="center"/>
                </w:tcPr>
                <w:p w14:paraId="41876092">
                  <w:pPr>
                    <w:pStyle w:val="50"/>
                    <w:jc w:val="center"/>
                    <w:rPr>
                      <w:b/>
                      <w:bCs/>
                      <w:color w:val="auto"/>
                    </w:rPr>
                  </w:pPr>
                  <w:r>
                    <w:rPr>
                      <w:b/>
                      <w:bCs/>
                      <w:color w:val="auto"/>
                    </w:rPr>
                    <w:t>标准值</w:t>
                  </w:r>
                </w:p>
              </w:tc>
            </w:tr>
            <w:tr w14:paraId="658E76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83" w:type="pct"/>
                  <w:vMerge w:val="continue"/>
                  <w:vAlign w:val="center"/>
                </w:tcPr>
                <w:p w14:paraId="223F1837">
                  <w:pPr>
                    <w:pStyle w:val="50"/>
                    <w:jc w:val="center"/>
                    <w:rPr>
                      <w:color w:val="auto"/>
                    </w:rPr>
                  </w:pPr>
                </w:p>
              </w:tc>
              <w:tc>
                <w:tcPr>
                  <w:tcW w:w="621" w:type="pct"/>
                  <w:vMerge w:val="continue"/>
                  <w:vAlign w:val="center"/>
                </w:tcPr>
                <w:p w14:paraId="4D5A0C98">
                  <w:pPr>
                    <w:pStyle w:val="50"/>
                    <w:jc w:val="center"/>
                    <w:rPr>
                      <w:color w:val="auto"/>
                    </w:rPr>
                  </w:pPr>
                </w:p>
              </w:tc>
              <w:tc>
                <w:tcPr>
                  <w:tcW w:w="906" w:type="pct"/>
                  <w:vAlign w:val="center"/>
                </w:tcPr>
                <w:p w14:paraId="0D13F817">
                  <w:pPr>
                    <w:pStyle w:val="50"/>
                    <w:jc w:val="center"/>
                    <w:rPr>
                      <w:b/>
                      <w:bCs/>
                      <w:color w:val="auto"/>
                    </w:rPr>
                  </w:pPr>
                  <w:r>
                    <w:rPr>
                      <w:b/>
                      <w:bCs/>
                      <w:color w:val="auto"/>
                    </w:rPr>
                    <w:t>昼间</w:t>
                  </w:r>
                </w:p>
              </w:tc>
              <w:tc>
                <w:tcPr>
                  <w:tcW w:w="909" w:type="pct"/>
                  <w:vAlign w:val="center"/>
                </w:tcPr>
                <w:p w14:paraId="4037DB21">
                  <w:pPr>
                    <w:pStyle w:val="50"/>
                    <w:jc w:val="center"/>
                    <w:rPr>
                      <w:b/>
                      <w:bCs/>
                      <w:color w:val="auto"/>
                    </w:rPr>
                  </w:pPr>
                  <w:r>
                    <w:rPr>
                      <w:b/>
                      <w:bCs/>
                      <w:color w:val="auto"/>
                    </w:rPr>
                    <w:t>夜间</w:t>
                  </w:r>
                </w:p>
              </w:tc>
              <w:tc>
                <w:tcPr>
                  <w:tcW w:w="2178" w:type="pct"/>
                  <w:vMerge w:val="continue"/>
                  <w:vAlign w:val="center"/>
                </w:tcPr>
                <w:p w14:paraId="2D0159A5">
                  <w:pPr>
                    <w:pStyle w:val="50"/>
                    <w:jc w:val="center"/>
                    <w:rPr>
                      <w:color w:val="auto"/>
                    </w:rPr>
                  </w:pPr>
                </w:p>
              </w:tc>
            </w:tr>
            <w:tr w14:paraId="6F7DF0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83" w:type="pct"/>
                  <w:vAlign w:val="center"/>
                </w:tcPr>
                <w:p w14:paraId="2FE028BB">
                  <w:pPr>
                    <w:pStyle w:val="50"/>
                    <w:jc w:val="center"/>
                    <w:rPr>
                      <w:color w:val="auto"/>
                    </w:rPr>
                  </w:pPr>
                  <w:r>
                    <w:rPr>
                      <w:color w:val="auto"/>
                    </w:rPr>
                    <w:t>1#</w:t>
                  </w:r>
                </w:p>
              </w:tc>
              <w:tc>
                <w:tcPr>
                  <w:tcW w:w="621" w:type="pct"/>
                  <w:vAlign w:val="center"/>
                </w:tcPr>
                <w:p w14:paraId="502FA703">
                  <w:pPr>
                    <w:pStyle w:val="50"/>
                    <w:jc w:val="center"/>
                    <w:rPr>
                      <w:color w:val="auto"/>
                    </w:rPr>
                  </w:pPr>
                  <w:r>
                    <w:rPr>
                      <w:color w:val="auto"/>
                    </w:rPr>
                    <w:t>东</w:t>
                  </w:r>
                </w:p>
              </w:tc>
              <w:tc>
                <w:tcPr>
                  <w:tcW w:w="906" w:type="pct"/>
                  <w:vAlign w:val="center"/>
                </w:tcPr>
                <w:p w14:paraId="3FEB066E">
                  <w:pPr>
                    <w:pStyle w:val="50"/>
                    <w:jc w:val="center"/>
                    <w:rPr>
                      <w:rFonts w:hint="default" w:eastAsia="宋体"/>
                      <w:color w:val="auto"/>
                      <w:lang w:val="en-US" w:eastAsia="zh-CN"/>
                    </w:rPr>
                  </w:pPr>
                  <w:r>
                    <w:rPr>
                      <w:rFonts w:hint="eastAsia"/>
                      <w:color w:val="auto"/>
                      <w:lang w:val="en-US" w:eastAsia="zh-CN"/>
                    </w:rPr>
                    <w:t>59.7</w:t>
                  </w:r>
                </w:p>
              </w:tc>
              <w:tc>
                <w:tcPr>
                  <w:tcW w:w="909" w:type="pct"/>
                  <w:vAlign w:val="center"/>
                </w:tcPr>
                <w:p w14:paraId="2994CA73">
                  <w:pPr>
                    <w:pStyle w:val="50"/>
                    <w:jc w:val="center"/>
                    <w:rPr>
                      <w:rFonts w:hint="default" w:eastAsia="宋体"/>
                      <w:color w:val="auto"/>
                      <w:lang w:val="en-US" w:eastAsia="zh-CN"/>
                    </w:rPr>
                  </w:pPr>
                  <w:r>
                    <w:rPr>
                      <w:rFonts w:hint="eastAsia"/>
                      <w:color w:val="auto"/>
                      <w:lang w:val="en-US" w:eastAsia="zh-CN"/>
                    </w:rPr>
                    <w:t>46.9</w:t>
                  </w:r>
                </w:p>
              </w:tc>
              <w:tc>
                <w:tcPr>
                  <w:tcW w:w="2178" w:type="pct"/>
                  <w:vMerge w:val="restart"/>
                  <w:vAlign w:val="center"/>
                </w:tcPr>
                <w:p w14:paraId="06A8199B">
                  <w:pPr>
                    <w:pStyle w:val="50"/>
                    <w:jc w:val="center"/>
                    <w:rPr>
                      <w:color w:val="auto"/>
                    </w:rPr>
                  </w:pPr>
                  <w:r>
                    <w:rPr>
                      <w:color w:val="auto"/>
                    </w:rPr>
                    <w:t>《工业企业厂界环境噪声排放标准》(GB12348－2008)2类标准限值（昼间6</w:t>
                  </w:r>
                  <w:r>
                    <w:rPr>
                      <w:rFonts w:hint="eastAsia"/>
                      <w:color w:val="auto"/>
                      <w:lang w:val="en-US" w:eastAsia="zh-CN"/>
                    </w:rPr>
                    <w:t>0</w:t>
                  </w:r>
                  <w:r>
                    <w:rPr>
                      <w:color w:val="auto"/>
                    </w:rPr>
                    <w:t>dB（A）、夜间5</w:t>
                  </w:r>
                  <w:r>
                    <w:rPr>
                      <w:rFonts w:hint="eastAsia"/>
                      <w:color w:val="auto"/>
                      <w:lang w:val="en-US" w:eastAsia="zh-CN"/>
                    </w:rPr>
                    <w:t>0</w:t>
                  </w:r>
                  <w:r>
                    <w:rPr>
                      <w:color w:val="auto"/>
                    </w:rPr>
                    <w:t>dB（A））</w:t>
                  </w:r>
                </w:p>
              </w:tc>
            </w:tr>
            <w:tr w14:paraId="4BFE64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83" w:type="pct"/>
                  <w:vAlign w:val="center"/>
                </w:tcPr>
                <w:p w14:paraId="3EFAE6E9">
                  <w:pPr>
                    <w:pStyle w:val="50"/>
                    <w:jc w:val="center"/>
                    <w:rPr>
                      <w:color w:val="auto"/>
                    </w:rPr>
                  </w:pPr>
                  <w:r>
                    <w:rPr>
                      <w:color w:val="auto"/>
                    </w:rPr>
                    <w:t>2#</w:t>
                  </w:r>
                </w:p>
              </w:tc>
              <w:tc>
                <w:tcPr>
                  <w:tcW w:w="621" w:type="pct"/>
                  <w:vAlign w:val="center"/>
                </w:tcPr>
                <w:p w14:paraId="1AACD337">
                  <w:pPr>
                    <w:pStyle w:val="50"/>
                    <w:jc w:val="center"/>
                    <w:rPr>
                      <w:color w:val="auto"/>
                    </w:rPr>
                  </w:pPr>
                  <w:r>
                    <w:rPr>
                      <w:color w:val="auto"/>
                    </w:rPr>
                    <w:t>南</w:t>
                  </w:r>
                </w:p>
              </w:tc>
              <w:tc>
                <w:tcPr>
                  <w:tcW w:w="906" w:type="pct"/>
                  <w:vAlign w:val="center"/>
                </w:tcPr>
                <w:p w14:paraId="322DB33C">
                  <w:pPr>
                    <w:pStyle w:val="50"/>
                    <w:jc w:val="center"/>
                    <w:rPr>
                      <w:color w:val="auto"/>
                    </w:rPr>
                  </w:pPr>
                  <w:r>
                    <w:rPr>
                      <w:color w:val="auto"/>
                    </w:rPr>
                    <w:t>48.8</w:t>
                  </w:r>
                </w:p>
              </w:tc>
              <w:tc>
                <w:tcPr>
                  <w:tcW w:w="909" w:type="pct"/>
                  <w:vAlign w:val="center"/>
                </w:tcPr>
                <w:p w14:paraId="3F5E8797">
                  <w:pPr>
                    <w:pStyle w:val="50"/>
                    <w:jc w:val="center"/>
                    <w:rPr>
                      <w:color w:val="auto"/>
                    </w:rPr>
                  </w:pPr>
                  <w:r>
                    <w:rPr>
                      <w:color w:val="auto"/>
                    </w:rPr>
                    <w:t>45.6</w:t>
                  </w:r>
                </w:p>
              </w:tc>
              <w:tc>
                <w:tcPr>
                  <w:tcW w:w="2178" w:type="pct"/>
                  <w:vMerge w:val="continue"/>
                  <w:vAlign w:val="center"/>
                </w:tcPr>
                <w:p w14:paraId="33590686">
                  <w:pPr>
                    <w:pStyle w:val="50"/>
                    <w:jc w:val="center"/>
                    <w:rPr>
                      <w:color w:val="auto"/>
                    </w:rPr>
                  </w:pPr>
                </w:p>
              </w:tc>
            </w:tr>
            <w:tr w14:paraId="2C1C16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83" w:type="pct"/>
                  <w:vAlign w:val="center"/>
                </w:tcPr>
                <w:p w14:paraId="13C3C818">
                  <w:pPr>
                    <w:pStyle w:val="50"/>
                    <w:jc w:val="center"/>
                    <w:rPr>
                      <w:color w:val="auto"/>
                    </w:rPr>
                  </w:pPr>
                  <w:r>
                    <w:rPr>
                      <w:color w:val="auto"/>
                    </w:rPr>
                    <w:t>3#</w:t>
                  </w:r>
                </w:p>
              </w:tc>
              <w:tc>
                <w:tcPr>
                  <w:tcW w:w="621" w:type="pct"/>
                  <w:vAlign w:val="center"/>
                </w:tcPr>
                <w:p w14:paraId="011CE63E">
                  <w:pPr>
                    <w:pStyle w:val="50"/>
                    <w:jc w:val="center"/>
                    <w:rPr>
                      <w:color w:val="auto"/>
                    </w:rPr>
                  </w:pPr>
                  <w:r>
                    <w:rPr>
                      <w:color w:val="auto"/>
                    </w:rPr>
                    <w:t>西</w:t>
                  </w:r>
                </w:p>
              </w:tc>
              <w:tc>
                <w:tcPr>
                  <w:tcW w:w="906" w:type="pct"/>
                  <w:vAlign w:val="center"/>
                </w:tcPr>
                <w:p w14:paraId="32838F53">
                  <w:pPr>
                    <w:pStyle w:val="50"/>
                    <w:jc w:val="center"/>
                    <w:rPr>
                      <w:color w:val="auto"/>
                    </w:rPr>
                  </w:pPr>
                  <w:r>
                    <w:rPr>
                      <w:color w:val="auto"/>
                    </w:rPr>
                    <w:t>47.1</w:t>
                  </w:r>
                </w:p>
              </w:tc>
              <w:tc>
                <w:tcPr>
                  <w:tcW w:w="909" w:type="pct"/>
                  <w:vAlign w:val="center"/>
                </w:tcPr>
                <w:p w14:paraId="0E1C3EC6">
                  <w:pPr>
                    <w:pStyle w:val="50"/>
                    <w:jc w:val="center"/>
                    <w:rPr>
                      <w:color w:val="auto"/>
                    </w:rPr>
                  </w:pPr>
                  <w:r>
                    <w:rPr>
                      <w:color w:val="auto"/>
                    </w:rPr>
                    <w:t>44.5</w:t>
                  </w:r>
                </w:p>
              </w:tc>
              <w:tc>
                <w:tcPr>
                  <w:tcW w:w="2178" w:type="pct"/>
                  <w:vMerge w:val="continue"/>
                  <w:vAlign w:val="center"/>
                </w:tcPr>
                <w:p w14:paraId="74C70FCC">
                  <w:pPr>
                    <w:pStyle w:val="50"/>
                    <w:jc w:val="center"/>
                    <w:rPr>
                      <w:color w:val="auto"/>
                    </w:rPr>
                  </w:pPr>
                </w:p>
              </w:tc>
            </w:tr>
            <w:tr w14:paraId="4501D0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3" w:type="pct"/>
                  <w:vAlign w:val="center"/>
                </w:tcPr>
                <w:p w14:paraId="646017D9">
                  <w:pPr>
                    <w:pStyle w:val="50"/>
                    <w:jc w:val="center"/>
                    <w:rPr>
                      <w:color w:val="auto"/>
                    </w:rPr>
                  </w:pPr>
                  <w:r>
                    <w:rPr>
                      <w:color w:val="auto"/>
                    </w:rPr>
                    <w:t>4#</w:t>
                  </w:r>
                </w:p>
              </w:tc>
              <w:tc>
                <w:tcPr>
                  <w:tcW w:w="621" w:type="pct"/>
                  <w:vAlign w:val="center"/>
                </w:tcPr>
                <w:p w14:paraId="59DEEC66">
                  <w:pPr>
                    <w:pStyle w:val="50"/>
                    <w:jc w:val="center"/>
                    <w:rPr>
                      <w:color w:val="auto"/>
                    </w:rPr>
                  </w:pPr>
                  <w:r>
                    <w:rPr>
                      <w:color w:val="auto"/>
                    </w:rPr>
                    <w:t>北</w:t>
                  </w:r>
                </w:p>
              </w:tc>
              <w:tc>
                <w:tcPr>
                  <w:tcW w:w="906" w:type="pct"/>
                  <w:vAlign w:val="center"/>
                </w:tcPr>
                <w:p w14:paraId="2FD98D82">
                  <w:pPr>
                    <w:pStyle w:val="50"/>
                    <w:jc w:val="center"/>
                    <w:rPr>
                      <w:rFonts w:hint="default" w:eastAsia="宋体"/>
                      <w:color w:val="auto"/>
                      <w:lang w:val="en-US" w:eastAsia="zh-CN"/>
                    </w:rPr>
                  </w:pPr>
                  <w:r>
                    <w:rPr>
                      <w:rFonts w:hint="eastAsia"/>
                      <w:color w:val="auto"/>
                      <w:lang w:val="en-US" w:eastAsia="zh-CN"/>
                    </w:rPr>
                    <w:t>44.2</w:t>
                  </w:r>
                </w:p>
              </w:tc>
              <w:tc>
                <w:tcPr>
                  <w:tcW w:w="909" w:type="pct"/>
                  <w:vAlign w:val="center"/>
                </w:tcPr>
                <w:p w14:paraId="681E735B">
                  <w:pPr>
                    <w:pStyle w:val="50"/>
                    <w:jc w:val="center"/>
                    <w:rPr>
                      <w:rFonts w:hint="default" w:eastAsia="宋体"/>
                      <w:color w:val="auto"/>
                      <w:lang w:val="en-US" w:eastAsia="zh-CN"/>
                    </w:rPr>
                  </w:pPr>
                  <w:r>
                    <w:rPr>
                      <w:rFonts w:hint="eastAsia"/>
                      <w:color w:val="auto"/>
                      <w:lang w:val="en-US" w:eastAsia="zh-CN"/>
                    </w:rPr>
                    <w:t>41.7</w:t>
                  </w:r>
                </w:p>
              </w:tc>
              <w:tc>
                <w:tcPr>
                  <w:tcW w:w="2178" w:type="pct"/>
                  <w:vMerge w:val="continue"/>
                  <w:vAlign w:val="center"/>
                </w:tcPr>
                <w:p w14:paraId="557C5278">
                  <w:pPr>
                    <w:pStyle w:val="50"/>
                    <w:jc w:val="center"/>
                    <w:rPr>
                      <w:color w:val="auto"/>
                    </w:rPr>
                  </w:pPr>
                </w:p>
              </w:tc>
            </w:tr>
          </w:tbl>
          <w:p w14:paraId="5C566FA2">
            <w:pPr>
              <w:pStyle w:val="36"/>
              <w:rPr>
                <w:rFonts w:cs="Times New Roman"/>
                <w:color w:val="auto"/>
              </w:rPr>
            </w:pPr>
            <w:r>
              <w:rPr>
                <w:rFonts w:cs="Times New Roman"/>
                <w:color w:val="auto"/>
              </w:rPr>
              <w:t>表4-1</w:t>
            </w:r>
            <w:r>
              <w:rPr>
                <w:rFonts w:hint="eastAsia" w:cs="Times New Roman"/>
                <w:color w:val="auto"/>
                <w:lang w:val="en-US" w:eastAsia="zh-CN"/>
              </w:rPr>
              <w:t>4</w:t>
            </w:r>
            <w:r>
              <w:rPr>
                <w:rFonts w:cs="Times New Roman"/>
                <w:color w:val="auto"/>
              </w:rPr>
              <w:t xml:space="preserve">  </w:t>
            </w:r>
            <w:r>
              <w:rPr>
                <w:rFonts w:hint="eastAsia" w:cs="Times New Roman"/>
                <w:color w:val="auto"/>
                <w:lang w:val="en-US" w:eastAsia="zh-CN"/>
              </w:rPr>
              <w:t>敏感点</w:t>
            </w:r>
            <w:r>
              <w:rPr>
                <w:rFonts w:cs="Times New Roman"/>
                <w:color w:val="auto"/>
              </w:rPr>
              <w:t>噪声预测结果        单位：Leq（dB（A））</w:t>
            </w:r>
          </w:p>
          <w:tbl>
            <w:tblPr>
              <w:tblStyle w:val="27"/>
              <w:tblW w:w="474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0"/>
              <w:gridCol w:w="705"/>
              <w:gridCol w:w="682"/>
              <w:gridCol w:w="668"/>
              <w:gridCol w:w="821"/>
              <w:gridCol w:w="776"/>
              <w:gridCol w:w="795"/>
              <w:gridCol w:w="675"/>
              <w:gridCol w:w="1729"/>
            </w:tblGrid>
            <w:tr w14:paraId="2F1145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16" w:type="pct"/>
                  <w:vMerge w:val="restart"/>
                  <w:vAlign w:val="center"/>
                </w:tcPr>
                <w:p w14:paraId="378114CE">
                  <w:pPr>
                    <w:pStyle w:val="50"/>
                    <w:jc w:val="center"/>
                    <w:rPr>
                      <w:b/>
                      <w:bCs/>
                      <w:color w:val="auto"/>
                    </w:rPr>
                  </w:pPr>
                  <w:r>
                    <w:rPr>
                      <w:b/>
                      <w:bCs/>
                      <w:color w:val="auto"/>
                    </w:rPr>
                    <w:t>序号</w:t>
                  </w:r>
                </w:p>
              </w:tc>
              <w:tc>
                <w:tcPr>
                  <w:tcW w:w="492" w:type="pct"/>
                  <w:vMerge w:val="restart"/>
                  <w:vAlign w:val="center"/>
                </w:tcPr>
                <w:p w14:paraId="55853F2F">
                  <w:pPr>
                    <w:pStyle w:val="50"/>
                    <w:jc w:val="center"/>
                    <w:rPr>
                      <w:b/>
                      <w:bCs/>
                      <w:color w:val="auto"/>
                    </w:rPr>
                  </w:pPr>
                  <w:r>
                    <w:rPr>
                      <w:b/>
                      <w:bCs/>
                      <w:color w:val="auto"/>
                    </w:rPr>
                    <w:t>厂界</w:t>
                  </w:r>
                </w:p>
              </w:tc>
              <w:tc>
                <w:tcPr>
                  <w:tcW w:w="942" w:type="pct"/>
                  <w:gridSpan w:val="2"/>
                  <w:vAlign w:val="center"/>
                </w:tcPr>
                <w:p w14:paraId="24150923">
                  <w:pPr>
                    <w:pStyle w:val="50"/>
                    <w:jc w:val="center"/>
                    <w:rPr>
                      <w:rFonts w:hint="default" w:eastAsia="宋体"/>
                      <w:b/>
                      <w:bCs/>
                      <w:color w:val="auto"/>
                      <w:lang w:val="en-US" w:eastAsia="zh-CN"/>
                    </w:rPr>
                  </w:pPr>
                  <w:r>
                    <w:rPr>
                      <w:rFonts w:hint="eastAsia"/>
                      <w:b/>
                      <w:bCs/>
                      <w:color w:val="auto"/>
                      <w:lang w:val="en-US" w:eastAsia="zh-CN"/>
                    </w:rPr>
                    <w:t>现状值</w:t>
                  </w:r>
                </w:p>
              </w:tc>
              <w:tc>
                <w:tcPr>
                  <w:tcW w:w="1115" w:type="pct"/>
                  <w:gridSpan w:val="2"/>
                  <w:vAlign w:val="center"/>
                </w:tcPr>
                <w:p w14:paraId="0186EE1D">
                  <w:pPr>
                    <w:pStyle w:val="50"/>
                    <w:jc w:val="center"/>
                    <w:rPr>
                      <w:rFonts w:hint="default"/>
                      <w:b/>
                      <w:bCs/>
                      <w:color w:val="auto"/>
                      <w:lang w:val="en-US" w:eastAsia="zh-CN"/>
                    </w:rPr>
                  </w:pPr>
                  <w:r>
                    <w:rPr>
                      <w:rFonts w:hint="eastAsia"/>
                      <w:b/>
                      <w:bCs/>
                      <w:color w:val="auto"/>
                      <w:lang w:val="en-US" w:eastAsia="zh-CN"/>
                    </w:rPr>
                    <w:t>贡献值</w:t>
                  </w:r>
                </w:p>
              </w:tc>
              <w:tc>
                <w:tcPr>
                  <w:tcW w:w="1026" w:type="pct"/>
                  <w:gridSpan w:val="2"/>
                  <w:vAlign w:val="center"/>
                </w:tcPr>
                <w:p w14:paraId="7FB05D84">
                  <w:pPr>
                    <w:pStyle w:val="50"/>
                    <w:jc w:val="center"/>
                    <w:rPr>
                      <w:rFonts w:hint="eastAsia" w:eastAsia="宋体"/>
                      <w:b/>
                      <w:bCs/>
                      <w:color w:val="auto"/>
                      <w:lang w:eastAsia="zh-CN"/>
                    </w:rPr>
                  </w:pPr>
                  <w:r>
                    <w:rPr>
                      <w:rFonts w:hint="eastAsia"/>
                      <w:b/>
                      <w:bCs/>
                      <w:color w:val="auto"/>
                      <w:lang w:val="en-US" w:eastAsia="zh-CN"/>
                    </w:rPr>
                    <w:t>预测值</w:t>
                  </w:r>
                </w:p>
              </w:tc>
              <w:tc>
                <w:tcPr>
                  <w:tcW w:w="1207" w:type="pct"/>
                  <w:vMerge w:val="restart"/>
                  <w:vAlign w:val="center"/>
                </w:tcPr>
                <w:p w14:paraId="2059D086">
                  <w:pPr>
                    <w:pStyle w:val="50"/>
                    <w:jc w:val="center"/>
                    <w:rPr>
                      <w:b/>
                      <w:bCs/>
                      <w:color w:val="auto"/>
                    </w:rPr>
                  </w:pPr>
                  <w:r>
                    <w:rPr>
                      <w:b/>
                      <w:bCs/>
                      <w:color w:val="auto"/>
                    </w:rPr>
                    <w:t>标准值</w:t>
                  </w:r>
                </w:p>
              </w:tc>
            </w:tr>
            <w:tr w14:paraId="541733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16" w:type="pct"/>
                  <w:vMerge w:val="continue"/>
                  <w:vAlign w:val="center"/>
                </w:tcPr>
                <w:p w14:paraId="32B42C9C">
                  <w:pPr>
                    <w:pStyle w:val="50"/>
                    <w:jc w:val="center"/>
                    <w:rPr>
                      <w:color w:val="auto"/>
                    </w:rPr>
                  </w:pPr>
                </w:p>
              </w:tc>
              <w:tc>
                <w:tcPr>
                  <w:tcW w:w="492" w:type="pct"/>
                  <w:vMerge w:val="continue"/>
                  <w:vAlign w:val="center"/>
                </w:tcPr>
                <w:p w14:paraId="43D53D95">
                  <w:pPr>
                    <w:pStyle w:val="50"/>
                    <w:jc w:val="center"/>
                    <w:rPr>
                      <w:color w:val="auto"/>
                    </w:rPr>
                  </w:pPr>
                </w:p>
              </w:tc>
              <w:tc>
                <w:tcPr>
                  <w:tcW w:w="476" w:type="pct"/>
                  <w:vAlign w:val="center"/>
                </w:tcPr>
                <w:p w14:paraId="04A2B3DD">
                  <w:pPr>
                    <w:pStyle w:val="50"/>
                    <w:jc w:val="center"/>
                    <w:rPr>
                      <w:rFonts w:hint="eastAsia" w:eastAsia="宋体"/>
                      <w:b/>
                      <w:bCs/>
                      <w:color w:val="auto"/>
                      <w:lang w:val="en-US" w:eastAsia="zh-CN"/>
                    </w:rPr>
                  </w:pPr>
                  <w:r>
                    <w:rPr>
                      <w:rFonts w:hint="eastAsia"/>
                      <w:b/>
                      <w:bCs/>
                      <w:color w:val="auto"/>
                      <w:lang w:val="en-US" w:eastAsia="zh-CN"/>
                    </w:rPr>
                    <w:t>昼间</w:t>
                  </w:r>
                </w:p>
              </w:tc>
              <w:tc>
                <w:tcPr>
                  <w:tcW w:w="466" w:type="pct"/>
                  <w:vAlign w:val="center"/>
                </w:tcPr>
                <w:p w14:paraId="2E950FF7">
                  <w:pPr>
                    <w:pStyle w:val="50"/>
                    <w:jc w:val="center"/>
                    <w:rPr>
                      <w:rFonts w:hint="eastAsia" w:eastAsia="宋体"/>
                      <w:b/>
                      <w:bCs/>
                      <w:color w:val="auto"/>
                      <w:lang w:val="en-US" w:eastAsia="zh-CN"/>
                    </w:rPr>
                  </w:pPr>
                  <w:r>
                    <w:rPr>
                      <w:rFonts w:hint="eastAsia"/>
                      <w:b/>
                      <w:bCs/>
                      <w:color w:val="auto"/>
                      <w:lang w:val="en-US" w:eastAsia="zh-CN"/>
                    </w:rPr>
                    <w:t>夜间</w:t>
                  </w:r>
                </w:p>
              </w:tc>
              <w:tc>
                <w:tcPr>
                  <w:tcW w:w="573" w:type="pct"/>
                  <w:shd w:val="clear" w:color="auto" w:fill="auto"/>
                  <w:vAlign w:val="center"/>
                </w:tcPr>
                <w:p w14:paraId="281A9FAA">
                  <w:pPr>
                    <w:pStyle w:val="50"/>
                    <w:ind w:firstLine="0" w:firstLineChars="0"/>
                    <w:jc w:val="center"/>
                    <w:rPr>
                      <w:rFonts w:hint="default" w:ascii="Times New Roman" w:hAnsi="Times New Roman" w:eastAsia="宋体" w:cs="Times New Roman"/>
                      <w:b/>
                      <w:bCs/>
                      <w:color w:val="auto"/>
                      <w:kern w:val="2"/>
                      <w:sz w:val="21"/>
                      <w:szCs w:val="24"/>
                      <w:lang w:val="en-US" w:eastAsia="zh-CN" w:bidi="ar-SA"/>
                    </w:rPr>
                  </w:pPr>
                  <w:r>
                    <w:rPr>
                      <w:b/>
                      <w:bCs/>
                      <w:color w:val="auto"/>
                    </w:rPr>
                    <w:t>昼间</w:t>
                  </w:r>
                </w:p>
              </w:tc>
              <w:tc>
                <w:tcPr>
                  <w:tcW w:w="541" w:type="pct"/>
                  <w:shd w:val="clear" w:color="auto" w:fill="auto"/>
                  <w:vAlign w:val="center"/>
                </w:tcPr>
                <w:p w14:paraId="1B37AF89">
                  <w:pPr>
                    <w:pStyle w:val="50"/>
                    <w:ind w:firstLine="0" w:firstLineChars="0"/>
                    <w:jc w:val="center"/>
                    <w:rPr>
                      <w:rFonts w:hint="eastAsia" w:ascii="Times New Roman" w:hAnsi="Times New Roman" w:eastAsia="宋体" w:cs="Times New Roman"/>
                      <w:b/>
                      <w:bCs/>
                      <w:color w:val="auto"/>
                      <w:kern w:val="2"/>
                      <w:sz w:val="21"/>
                      <w:szCs w:val="24"/>
                      <w:lang w:val="en-US" w:eastAsia="zh-CN" w:bidi="ar-SA"/>
                    </w:rPr>
                  </w:pPr>
                  <w:r>
                    <w:rPr>
                      <w:b/>
                      <w:bCs/>
                      <w:color w:val="auto"/>
                    </w:rPr>
                    <w:t>夜间</w:t>
                  </w:r>
                </w:p>
              </w:tc>
              <w:tc>
                <w:tcPr>
                  <w:tcW w:w="555" w:type="pct"/>
                  <w:vAlign w:val="center"/>
                </w:tcPr>
                <w:p w14:paraId="688C0B34">
                  <w:pPr>
                    <w:pStyle w:val="50"/>
                    <w:jc w:val="center"/>
                    <w:rPr>
                      <w:b/>
                      <w:bCs/>
                      <w:color w:val="auto"/>
                    </w:rPr>
                  </w:pPr>
                  <w:r>
                    <w:rPr>
                      <w:b/>
                      <w:bCs/>
                      <w:color w:val="auto"/>
                    </w:rPr>
                    <w:t>昼间</w:t>
                  </w:r>
                </w:p>
              </w:tc>
              <w:tc>
                <w:tcPr>
                  <w:tcW w:w="471" w:type="pct"/>
                  <w:vAlign w:val="center"/>
                </w:tcPr>
                <w:p w14:paraId="2D8DBA17">
                  <w:pPr>
                    <w:pStyle w:val="50"/>
                    <w:jc w:val="center"/>
                    <w:rPr>
                      <w:b/>
                      <w:bCs/>
                      <w:color w:val="auto"/>
                    </w:rPr>
                  </w:pPr>
                  <w:r>
                    <w:rPr>
                      <w:b/>
                      <w:bCs/>
                      <w:color w:val="auto"/>
                    </w:rPr>
                    <w:t>夜间</w:t>
                  </w:r>
                </w:p>
              </w:tc>
              <w:tc>
                <w:tcPr>
                  <w:tcW w:w="1207" w:type="pct"/>
                  <w:vMerge w:val="continue"/>
                  <w:vAlign w:val="center"/>
                </w:tcPr>
                <w:p w14:paraId="6FD69F60">
                  <w:pPr>
                    <w:pStyle w:val="50"/>
                    <w:jc w:val="center"/>
                    <w:rPr>
                      <w:color w:val="auto"/>
                    </w:rPr>
                  </w:pPr>
                </w:p>
              </w:tc>
            </w:tr>
            <w:tr w14:paraId="174DE2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16" w:type="pct"/>
                  <w:vAlign w:val="center"/>
                </w:tcPr>
                <w:p w14:paraId="3591DF52">
                  <w:pPr>
                    <w:pStyle w:val="50"/>
                    <w:jc w:val="center"/>
                    <w:rPr>
                      <w:color w:val="auto"/>
                    </w:rPr>
                  </w:pPr>
                  <w:r>
                    <w:rPr>
                      <w:color w:val="auto"/>
                    </w:rPr>
                    <w:t>1#</w:t>
                  </w:r>
                </w:p>
              </w:tc>
              <w:tc>
                <w:tcPr>
                  <w:tcW w:w="492" w:type="pct"/>
                  <w:vAlign w:val="center"/>
                </w:tcPr>
                <w:p w14:paraId="20F91F02">
                  <w:pPr>
                    <w:pStyle w:val="50"/>
                    <w:jc w:val="center"/>
                    <w:rPr>
                      <w:rFonts w:hint="default" w:eastAsia="宋体"/>
                      <w:color w:val="auto"/>
                      <w:lang w:val="en-US" w:eastAsia="zh-CN"/>
                    </w:rPr>
                  </w:pPr>
                  <w:r>
                    <w:rPr>
                      <w:rFonts w:hint="eastAsia"/>
                      <w:color w:val="auto"/>
                      <w:lang w:val="en-US" w:eastAsia="zh-CN"/>
                    </w:rPr>
                    <w:t>西侧居民区</w:t>
                  </w:r>
                </w:p>
              </w:tc>
              <w:tc>
                <w:tcPr>
                  <w:tcW w:w="476" w:type="pct"/>
                  <w:vAlign w:val="center"/>
                </w:tcPr>
                <w:p w14:paraId="090391DE">
                  <w:pPr>
                    <w:pStyle w:val="50"/>
                    <w:jc w:val="center"/>
                    <w:rPr>
                      <w:rFonts w:hint="default"/>
                      <w:color w:val="auto"/>
                      <w:lang w:val="en-US" w:eastAsia="zh-CN"/>
                    </w:rPr>
                  </w:pPr>
                  <w:r>
                    <w:rPr>
                      <w:rFonts w:hint="eastAsia"/>
                      <w:color w:val="auto"/>
                      <w:lang w:val="en-US" w:eastAsia="zh-CN"/>
                    </w:rPr>
                    <w:t>49</w:t>
                  </w:r>
                </w:p>
              </w:tc>
              <w:tc>
                <w:tcPr>
                  <w:tcW w:w="466" w:type="pct"/>
                  <w:vAlign w:val="center"/>
                </w:tcPr>
                <w:p w14:paraId="0F3E77BF">
                  <w:pPr>
                    <w:pStyle w:val="50"/>
                    <w:jc w:val="center"/>
                    <w:rPr>
                      <w:rFonts w:hint="default"/>
                      <w:color w:val="auto"/>
                      <w:lang w:val="en-US" w:eastAsia="zh-CN"/>
                    </w:rPr>
                  </w:pPr>
                  <w:r>
                    <w:rPr>
                      <w:rFonts w:hint="eastAsia"/>
                      <w:color w:val="auto"/>
                      <w:lang w:val="en-US" w:eastAsia="zh-CN"/>
                    </w:rPr>
                    <w:t>42</w:t>
                  </w:r>
                </w:p>
              </w:tc>
              <w:tc>
                <w:tcPr>
                  <w:tcW w:w="573" w:type="pct"/>
                  <w:vAlign w:val="center"/>
                </w:tcPr>
                <w:p w14:paraId="4819EE59">
                  <w:pPr>
                    <w:pStyle w:val="50"/>
                    <w:jc w:val="center"/>
                    <w:rPr>
                      <w:rFonts w:hint="default"/>
                      <w:color w:val="auto"/>
                      <w:lang w:val="en-US" w:eastAsia="zh-CN"/>
                    </w:rPr>
                  </w:pPr>
                  <w:r>
                    <w:rPr>
                      <w:rFonts w:hint="eastAsia"/>
                      <w:color w:val="auto"/>
                      <w:lang w:val="en-US" w:eastAsia="zh-CN"/>
                    </w:rPr>
                    <w:t>48.84</w:t>
                  </w:r>
                </w:p>
              </w:tc>
              <w:tc>
                <w:tcPr>
                  <w:tcW w:w="541" w:type="pct"/>
                  <w:vAlign w:val="center"/>
                </w:tcPr>
                <w:p w14:paraId="77BAA926">
                  <w:pPr>
                    <w:pStyle w:val="50"/>
                    <w:jc w:val="center"/>
                    <w:rPr>
                      <w:rFonts w:hint="default"/>
                      <w:color w:val="auto"/>
                      <w:lang w:val="en-US" w:eastAsia="zh-CN"/>
                    </w:rPr>
                  </w:pPr>
                  <w:r>
                    <w:rPr>
                      <w:rFonts w:hint="eastAsia"/>
                      <w:color w:val="auto"/>
                      <w:lang w:val="en-US" w:eastAsia="zh-CN"/>
                    </w:rPr>
                    <w:t>41.69</w:t>
                  </w:r>
                </w:p>
              </w:tc>
              <w:tc>
                <w:tcPr>
                  <w:tcW w:w="555" w:type="pct"/>
                  <w:vAlign w:val="center"/>
                </w:tcPr>
                <w:p w14:paraId="623EF107">
                  <w:pPr>
                    <w:pStyle w:val="50"/>
                    <w:jc w:val="center"/>
                    <w:rPr>
                      <w:rFonts w:hint="default" w:eastAsia="宋体"/>
                      <w:color w:val="auto"/>
                      <w:lang w:val="en-US" w:eastAsia="zh-CN"/>
                    </w:rPr>
                  </w:pPr>
                  <w:r>
                    <w:rPr>
                      <w:rFonts w:hint="eastAsia"/>
                      <w:color w:val="auto"/>
                      <w:lang w:val="en-US" w:eastAsia="zh-CN"/>
                    </w:rPr>
                    <w:t>51.3</w:t>
                  </w:r>
                </w:p>
              </w:tc>
              <w:tc>
                <w:tcPr>
                  <w:tcW w:w="471" w:type="pct"/>
                  <w:vAlign w:val="center"/>
                </w:tcPr>
                <w:p w14:paraId="0A1EBC0C">
                  <w:pPr>
                    <w:pStyle w:val="50"/>
                    <w:jc w:val="center"/>
                    <w:rPr>
                      <w:rFonts w:hint="default" w:eastAsia="宋体"/>
                      <w:color w:val="auto"/>
                      <w:lang w:val="en-US" w:eastAsia="zh-CN"/>
                    </w:rPr>
                  </w:pPr>
                  <w:r>
                    <w:rPr>
                      <w:rFonts w:hint="eastAsia"/>
                      <w:color w:val="auto"/>
                      <w:lang w:val="en-US" w:eastAsia="zh-CN"/>
                    </w:rPr>
                    <w:t>43.1</w:t>
                  </w:r>
                </w:p>
              </w:tc>
              <w:tc>
                <w:tcPr>
                  <w:tcW w:w="1207" w:type="pct"/>
                  <w:vMerge w:val="restart"/>
                  <w:vAlign w:val="center"/>
                </w:tcPr>
                <w:p w14:paraId="0E453BE3">
                  <w:pPr>
                    <w:pStyle w:val="50"/>
                    <w:jc w:val="center"/>
                    <w:rPr>
                      <w:color w:val="auto"/>
                    </w:rPr>
                  </w:pPr>
                  <w:r>
                    <w:rPr>
                      <w:color w:val="auto"/>
                    </w:rPr>
                    <w:t>《</w:t>
                  </w:r>
                  <w:r>
                    <w:rPr>
                      <w:rFonts w:hint="eastAsia"/>
                      <w:color w:val="auto"/>
                      <w:lang w:val="en-US" w:eastAsia="zh-CN"/>
                    </w:rPr>
                    <w:t>声环境质量标准</w:t>
                  </w:r>
                  <w:r>
                    <w:rPr>
                      <w:color w:val="auto"/>
                    </w:rPr>
                    <w:t>》(GB</w:t>
                  </w:r>
                  <w:r>
                    <w:rPr>
                      <w:rFonts w:hint="eastAsia"/>
                      <w:color w:val="auto"/>
                      <w:lang w:val="en-US" w:eastAsia="zh-CN"/>
                    </w:rPr>
                    <w:t>3096</w:t>
                  </w:r>
                  <w:r>
                    <w:rPr>
                      <w:color w:val="auto"/>
                    </w:rPr>
                    <w:t>－2008)2</w:t>
                  </w:r>
                  <w:r>
                    <w:rPr>
                      <w:rFonts w:hint="eastAsia"/>
                      <w:color w:val="auto"/>
                      <w:lang w:val="en-US" w:eastAsia="zh-CN"/>
                    </w:rPr>
                    <w:t>类功能区</w:t>
                  </w:r>
                  <w:r>
                    <w:rPr>
                      <w:color w:val="auto"/>
                    </w:rPr>
                    <w:t>（昼间6</w:t>
                  </w:r>
                  <w:r>
                    <w:rPr>
                      <w:rFonts w:hint="eastAsia"/>
                      <w:color w:val="auto"/>
                      <w:lang w:val="en-US" w:eastAsia="zh-CN"/>
                    </w:rPr>
                    <w:t>0</w:t>
                  </w:r>
                  <w:r>
                    <w:rPr>
                      <w:color w:val="auto"/>
                    </w:rPr>
                    <w:t>dB（A）、夜间5</w:t>
                  </w:r>
                  <w:r>
                    <w:rPr>
                      <w:rFonts w:hint="eastAsia"/>
                      <w:color w:val="auto"/>
                      <w:lang w:val="en-US" w:eastAsia="zh-CN"/>
                    </w:rPr>
                    <w:t>0</w:t>
                  </w:r>
                  <w:r>
                    <w:rPr>
                      <w:color w:val="auto"/>
                    </w:rPr>
                    <w:t>dB（A））</w:t>
                  </w:r>
                </w:p>
              </w:tc>
            </w:tr>
            <w:tr w14:paraId="64179D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16" w:type="pct"/>
                  <w:vAlign w:val="center"/>
                </w:tcPr>
                <w:p w14:paraId="319E5AB5">
                  <w:pPr>
                    <w:pStyle w:val="50"/>
                    <w:jc w:val="center"/>
                    <w:rPr>
                      <w:color w:val="auto"/>
                    </w:rPr>
                  </w:pPr>
                  <w:r>
                    <w:rPr>
                      <w:color w:val="auto"/>
                    </w:rPr>
                    <w:t>2#</w:t>
                  </w:r>
                </w:p>
              </w:tc>
              <w:tc>
                <w:tcPr>
                  <w:tcW w:w="492" w:type="pct"/>
                  <w:vAlign w:val="center"/>
                </w:tcPr>
                <w:p w14:paraId="3C5D9C53">
                  <w:pPr>
                    <w:pStyle w:val="50"/>
                    <w:jc w:val="center"/>
                    <w:rPr>
                      <w:rFonts w:hint="default" w:eastAsia="宋体"/>
                      <w:color w:val="auto"/>
                      <w:lang w:val="en-US" w:eastAsia="zh-CN"/>
                    </w:rPr>
                  </w:pPr>
                  <w:r>
                    <w:rPr>
                      <w:rFonts w:hint="eastAsia"/>
                      <w:color w:val="auto"/>
                      <w:lang w:val="en-US" w:eastAsia="zh-CN"/>
                    </w:rPr>
                    <w:t>北侧居民区</w:t>
                  </w:r>
                </w:p>
              </w:tc>
              <w:tc>
                <w:tcPr>
                  <w:tcW w:w="476" w:type="pct"/>
                  <w:vAlign w:val="center"/>
                </w:tcPr>
                <w:p w14:paraId="539717FD">
                  <w:pPr>
                    <w:pStyle w:val="50"/>
                    <w:jc w:val="center"/>
                    <w:rPr>
                      <w:rFonts w:hint="default"/>
                      <w:color w:val="auto"/>
                      <w:lang w:val="en-US" w:eastAsia="zh-CN"/>
                    </w:rPr>
                  </w:pPr>
                  <w:r>
                    <w:rPr>
                      <w:rFonts w:hint="eastAsia"/>
                      <w:color w:val="auto"/>
                      <w:lang w:val="en-US" w:eastAsia="zh-CN"/>
                    </w:rPr>
                    <w:t>51</w:t>
                  </w:r>
                </w:p>
              </w:tc>
              <w:tc>
                <w:tcPr>
                  <w:tcW w:w="466" w:type="pct"/>
                  <w:vAlign w:val="center"/>
                </w:tcPr>
                <w:p w14:paraId="01F64A18">
                  <w:pPr>
                    <w:pStyle w:val="50"/>
                    <w:jc w:val="center"/>
                    <w:rPr>
                      <w:rFonts w:hint="default"/>
                      <w:color w:val="auto"/>
                      <w:lang w:val="en-US" w:eastAsia="zh-CN"/>
                    </w:rPr>
                  </w:pPr>
                  <w:r>
                    <w:rPr>
                      <w:rFonts w:hint="eastAsia"/>
                      <w:color w:val="auto"/>
                      <w:lang w:val="en-US" w:eastAsia="zh-CN"/>
                    </w:rPr>
                    <w:t>44</w:t>
                  </w:r>
                </w:p>
              </w:tc>
              <w:tc>
                <w:tcPr>
                  <w:tcW w:w="573" w:type="pct"/>
                  <w:vAlign w:val="center"/>
                </w:tcPr>
                <w:p w14:paraId="7FC412F9">
                  <w:pPr>
                    <w:pStyle w:val="50"/>
                    <w:jc w:val="center"/>
                    <w:rPr>
                      <w:rFonts w:hint="default"/>
                      <w:color w:val="auto"/>
                      <w:lang w:val="en-US" w:eastAsia="zh-CN"/>
                    </w:rPr>
                  </w:pPr>
                  <w:r>
                    <w:rPr>
                      <w:rFonts w:hint="eastAsia"/>
                      <w:color w:val="auto"/>
                      <w:lang w:val="en-US" w:eastAsia="zh-CN"/>
                    </w:rPr>
                    <w:t>47.68</w:t>
                  </w:r>
                </w:p>
              </w:tc>
              <w:tc>
                <w:tcPr>
                  <w:tcW w:w="541" w:type="pct"/>
                  <w:vAlign w:val="center"/>
                </w:tcPr>
                <w:p w14:paraId="60641D47">
                  <w:pPr>
                    <w:pStyle w:val="50"/>
                    <w:jc w:val="center"/>
                    <w:rPr>
                      <w:rFonts w:hint="default"/>
                      <w:color w:val="auto"/>
                      <w:lang w:val="en-US" w:eastAsia="zh-CN"/>
                    </w:rPr>
                  </w:pPr>
                  <w:r>
                    <w:rPr>
                      <w:rFonts w:hint="eastAsia"/>
                      <w:color w:val="auto"/>
                      <w:lang w:val="en-US" w:eastAsia="zh-CN"/>
                    </w:rPr>
                    <w:t>43.77</w:t>
                  </w:r>
                </w:p>
              </w:tc>
              <w:tc>
                <w:tcPr>
                  <w:tcW w:w="555" w:type="pct"/>
                  <w:vAlign w:val="center"/>
                </w:tcPr>
                <w:p w14:paraId="74B8F9C7">
                  <w:pPr>
                    <w:pStyle w:val="50"/>
                    <w:jc w:val="center"/>
                    <w:rPr>
                      <w:rFonts w:hint="default" w:eastAsia="宋体"/>
                      <w:color w:val="auto"/>
                      <w:lang w:val="en-US" w:eastAsia="zh-CN"/>
                    </w:rPr>
                  </w:pPr>
                  <w:r>
                    <w:rPr>
                      <w:rFonts w:hint="eastAsia"/>
                      <w:color w:val="auto"/>
                      <w:lang w:val="en-US" w:eastAsia="zh-CN"/>
                    </w:rPr>
                    <w:t>52.2</w:t>
                  </w:r>
                </w:p>
              </w:tc>
              <w:tc>
                <w:tcPr>
                  <w:tcW w:w="471" w:type="pct"/>
                  <w:vAlign w:val="center"/>
                </w:tcPr>
                <w:p w14:paraId="460E3BB5">
                  <w:pPr>
                    <w:pStyle w:val="50"/>
                    <w:jc w:val="center"/>
                    <w:rPr>
                      <w:rFonts w:hint="default" w:eastAsia="宋体"/>
                      <w:color w:val="auto"/>
                      <w:lang w:val="en-US" w:eastAsia="zh-CN"/>
                    </w:rPr>
                  </w:pPr>
                  <w:r>
                    <w:rPr>
                      <w:rFonts w:hint="eastAsia"/>
                      <w:color w:val="auto"/>
                      <w:lang w:val="en-US" w:eastAsia="zh-CN"/>
                    </w:rPr>
                    <w:t>44.6</w:t>
                  </w:r>
                </w:p>
              </w:tc>
              <w:tc>
                <w:tcPr>
                  <w:tcW w:w="1207" w:type="pct"/>
                  <w:vMerge w:val="continue"/>
                  <w:vAlign w:val="center"/>
                </w:tcPr>
                <w:p w14:paraId="04BA736B">
                  <w:pPr>
                    <w:pStyle w:val="50"/>
                    <w:jc w:val="center"/>
                    <w:rPr>
                      <w:color w:val="auto"/>
                    </w:rPr>
                  </w:pPr>
                </w:p>
              </w:tc>
            </w:tr>
          </w:tbl>
          <w:p w14:paraId="0F053FAF">
            <w:pPr>
              <w:ind w:firstLine="480"/>
              <w:rPr>
                <w:rFonts w:hint="default" w:eastAsia="宋体" w:cs="Times New Roman"/>
                <w:color w:val="auto"/>
                <w:lang w:val="en-US" w:eastAsia="zh-CN"/>
              </w:rPr>
            </w:pPr>
            <w:r>
              <w:rPr>
                <w:rFonts w:cs="Times New Roman"/>
                <w:color w:val="auto"/>
              </w:rPr>
              <w:t>由上表可知，项目投产后，厂界贡献值满足《工业企业厂界环境噪声排放标准》（GB12348 -2008）2类标准的限值要求，</w:t>
            </w:r>
            <w:r>
              <w:rPr>
                <w:rFonts w:hint="eastAsia" w:cs="Times New Roman"/>
                <w:color w:val="auto"/>
                <w:lang w:val="en-US" w:eastAsia="zh-CN"/>
              </w:rPr>
              <w:t>敏感点噪声预测均满足《声环境质量标准》（GB3096-2008）2类功能区相关限值要求，综上，项目</w:t>
            </w:r>
            <w:r>
              <w:rPr>
                <w:rFonts w:cs="Times New Roman"/>
                <w:color w:val="auto"/>
              </w:rPr>
              <w:t>对周边声环境影响不大。</w:t>
            </w:r>
          </w:p>
          <w:p w14:paraId="171D0B72">
            <w:pPr>
              <w:ind w:firstLine="482"/>
              <w:rPr>
                <w:rFonts w:cs="Times New Roman"/>
                <w:b/>
                <w:color w:val="auto"/>
              </w:rPr>
            </w:pPr>
            <w:r>
              <w:rPr>
                <w:rFonts w:cs="Times New Roman"/>
                <w:b/>
                <w:color w:val="auto"/>
              </w:rPr>
              <w:t>四、固体废物产生及处置情况</w:t>
            </w:r>
          </w:p>
          <w:p w14:paraId="5CB1DB4E">
            <w:pPr>
              <w:ind w:firstLine="480"/>
              <w:rPr>
                <w:rFonts w:cs="Times New Roman"/>
                <w:color w:val="auto"/>
              </w:rPr>
            </w:pPr>
            <w:r>
              <w:rPr>
                <w:rFonts w:cs="Times New Roman"/>
                <w:color w:val="auto"/>
              </w:rPr>
              <w:t>本项目固体废物主要有主筋处理过程产生的金属边角料、</w:t>
            </w:r>
            <w:r>
              <w:rPr>
                <w:rFonts w:hint="eastAsia" w:cs="Times New Roman"/>
                <w:color w:val="auto"/>
                <w:lang w:val="en-US" w:eastAsia="zh-CN"/>
              </w:rPr>
              <w:t>钢筋切割设备</w:t>
            </w:r>
            <w:r>
              <w:rPr>
                <w:rFonts w:cs="Times New Roman"/>
                <w:color w:val="auto"/>
              </w:rPr>
              <w:t>中产生的废机油以及含油抹布、成品残次品以及职工生活垃圾。</w:t>
            </w:r>
          </w:p>
          <w:p w14:paraId="6ABA38BD">
            <w:pPr>
              <w:ind w:firstLine="482"/>
              <w:rPr>
                <w:rFonts w:cs="Times New Roman"/>
                <w:b/>
                <w:bCs/>
                <w:color w:val="auto"/>
              </w:rPr>
            </w:pPr>
            <w:r>
              <w:rPr>
                <w:rFonts w:cs="Times New Roman"/>
                <w:b/>
                <w:bCs/>
                <w:color w:val="auto"/>
              </w:rPr>
              <w:t>1、成品残次品</w:t>
            </w:r>
          </w:p>
          <w:p w14:paraId="21EB7A60">
            <w:pPr>
              <w:ind w:firstLine="480"/>
              <w:rPr>
                <w:rFonts w:cs="Times New Roman"/>
                <w:color w:val="auto"/>
              </w:rPr>
            </w:pPr>
            <w:r>
              <w:rPr>
                <w:rFonts w:cs="Times New Roman"/>
                <w:color w:val="auto"/>
              </w:rPr>
              <w:t>根据类比同规模项目，成品残次品产生率约为0.</w:t>
            </w:r>
            <w:r>
              <w:rPr>
                <w:rFonts w:hint="eastAsia" w:cs="Times New Roman"/>
                <w:color w:val="auto"/>
                <w:lang w:val="en-US" w:eastAsia="zh-CN"/>
              </w:rPr>
              <w:t>3</w:t>
            </w:r>
            <w:r>
              <w:rPr>
                <w:rFonts w:hint="eastAsia" w:cs="Times New Roman"/>
                <w:color w:val="auto"/>
              </w:rPr>
              <w:t>%</w:t>
            </w:r>
            <w:r>
              <w:rPr>
                <w:rFonts w:cs="Times New Roman"/>
                <w:color w:val="auto"/>
              </w:rPr>
              <w:t>。项目年生产</w:t>
            </w:r>
            <w:r>
              <w:rPr>
                <w:rFonts w:hint="eastAsia" w:cs="Times New Roman"/>
                <w:color w:val="auto"/>
                <w:lang w:val="en-US" w:eastAsia="zh-CN"/>
              </w:rPr>
              <w:t>水泥预制品1.2万平方米</w:t>
            </w:r>
            <w:r>
              <w:rPr>
                <w:rFonts w:cs="Times New Roman"/>
                <w:color w:val="auto"/>
              </w:rPr>
              <w:t>，则成品残次品约产生</w:t>
            </w:r>
            <w:r>
              <w:rPr>
                <w:rFonts w:hint="eastAsia" w:cs="Times New Roman"/>
                <w:color w:val="auto"/>
                <w:lang w:val="en-US" w:eastAsia="zh-CN"/>
              </w:rPr>
              <w:t>36平方米，破碎后大约90t，</w:t>
            </w:r>
            <w:r>
              <w:rPr>
                <w:rFonts w:cs="Times New Roman"/>
                <w:color w:val="auto"/>
              </w:rPr>
              <w:t>暂存于成品堆场一侧，定期外售附近砖厂。</w:t>
            </w:r>
            <w:r>
              <w:rPr>
                <w:rFonts w:hint="eastAsia" w:cs="Times New Roman"/>
                <w:color w:val="auto"/>
              </w:rPr>
              <w:t>残次品中不含其他物质，经破碎后可用作制砖的原料。</w:t>
            </w:r>
          </w:p>
          <w:p w14:paraId="3CAA5148">
            <w:pPr>
              <w:ind w:firstLine="480"/>
              <w:rPr>
                <w:rFonts w:cs="Times New Roman"/>
                <w:color w:val="auto"/>
              </w:rPr>
            </w:pPr>
            <w:r>
              <w:rPr>
                <w:rFonts w:cs="Times New Roman"/>
                <w:color w:val="auto"/>
              </w:rPr>
              <w:t>本项目拟在生产车间西侧设置1座30m</w:t>
            </w:r>
            <w:r>
              <w:rPr>
                <w:rFonts w:cs="Times New Roman"/>
                <w:color w:val="auto"/>
                <w:vertAlign w:val="superscript"/>
              </w:rPr>
              <w:t>2</w:t>
            </w:r>
            <w:r>
              <w:rPr>
                <w:rFonts w:cs="Times New Roman"/>
                <w:color w:val="auto"/>
              </w:rPr>
              <w:t>一般固废暂存间，全封闭彩钢结构，地面采用防渗混凝土硬化，防渗系数K≤1×10</w:t>
            </w:r>
            <w:r>
              <w:rPr>
                <w:rFonts w:cs="Times New Roman"/>
                <w:color w:val="auto"/>
                <w:vertAlign w:val="superscript"/>
              </w:rPr>
              <w:t>-7</w:t>
            </w:r>
            <w:r>
              <w:rPr>
                <w:rFonts w:cs="Times New Roman"/>
                <w:color w:val="auto"/>
              </w:rPr>
              <w:t>cm/s。一般固废应按照《一般工业固体废物贮存和填埋污染控制标准》（GB18599-2020）中要求收集在容器内，在一般固废暂存点分类存放，定期处理处置。做好台账记录，方便管理。</w:t>
            </w:r>
          </w:p>
          <w:p w14:paraId="2DDFAD1C">
            <w:pPr>
              <w:ind w:firstLine="482"/>
              <w:rPr>
                <w:rFonts w:cs="Times New Roman"/>
                <w:b/>
                <w:bCs/>
                <w:color w:val="auto"/>
              </w:rPr>
            </w:pPr>
            <w:r>
              <w:rPr>
                <w:rFonts w:cs="Times New Roman"/>
                <w:b/>
                <w:bCs/>
                <w:color w:val="auto"/>
              </w:rPr>
              <w:t>2、金属边角料</w:t>
            </w:r>
          </w:p>
          <w:p w14:paraId="4433686A">
            <w:pPr>
              <w:ind w:firstLine="480"/>
              <w:rPr>
                <w:rFonts w:cs="Times New Roman"/>
                <w:color w:val="auto"/>
              </w:rPr>
            </w:pPr>
            <w:r>
              <w:rPr>
                <w:rFonts w:cs="Times New Roman"/>
                <w:color w:val="auto"/>
              </w:rPr>
              <w:t>主筋下料经过切割、墩头会产生金属边角料，年用</w:t>
            </w:r>
            <w:r>
              <w:rPr>
                <w:rFonts w:hint="eastAsia" w:cs="Times New Roman"/>
                <w:color w:val="auto"/>
                <w:lang w:val="en-US" w:eastAsia="zh-CN"/>
              </w:rPr>
              <w:t>钢筋300</w:t>
            </w:r>
            <w:r>
              <w:rPr>
                <w:rFonts w:cs="Times New Roman"/>
                <w:color w:val="auto"/>
              </w:rPr>
              <w:t>t/a，边角料产生量约占原料用量的</w:t>
            </w:r>
            <w:r>
              <w:rPr>
                <w:rFonts w:hint="eastAsia" w:cs="Times New Roman"/>
                <w:color w:val="auto"/>
              </w:rPr>
              <w:t>0.01%</w:t>
            </w:r>
            <w:r>
              <w:rPr>
                <w:rFonts w:cs="Times New Roman"/>
                <w:color w:val="auto"/>
              </w:rPr>
              <w:t>，则金属边角料产生量为</w:t>
            </w:r>
            <w:r>
              <w:rPr>
                <w:rFonts w:hint="eastAsia" w:cs="Times New Roman"/>
                <w:color w:val="auto"/>
                <w:lang w:val="en-US" w:eastAsia="zh-CN"/>
              </w:rPr>
              <w:t>0.03</w:t>
            </w:r>
            <w:r>
              <w:rPr>
                <w:rFonts w:cs="Times New Roman"/>
                <w:color w:val="auto"/>
              </w:rPr>
              <w:t>t/a，收集后暂存于一般固废暂存间，外售废品回收站。</w:t>
            </w:r>
          </w:p>
          <w:p w14:paraId="7AF12EED">
            <w:pPr>
              <w:ind w:firstLine="482"/>
              <w:rPr>
                <w:rFonts w:cs="Times New Roman"/>
                <w:b/>
                <w:bCs/>
                <w:color w:val="auto"/>
              </w:rPr>
            </w:pPr>
            <w:r>
              <w:rPr>
                <w:rFonts w:cs="Times New Roman"/>
                <w:b/>
                <w:bCs/>
                <w:color w:val="auto"/>
              </w:rPr>
              <w:t>3、废机油及含油抹布</w:t>
            </w:r>
          </w:p>
          <w:p w14:paraId="78AB7564">
            <w:pPr>
              <w:ind w:firstLine="480"/>
              <w:rPr>
                <w:rFonts w:cs="Times New Roman"/>
                <w:color w:val="auto"/>
              </w:rPr>
            </w:pPr>
            <w:r>
              <w:rPr>
                <w:rFonts w:cs="Times New Roman"/>
                <w:color w:val="auto"/>
              </w:rPr>
              <w:t>本项目张拉过程中产生的废机油约为1.2t/a，属于《国家危险废物管理名录（202</w:t>
            </w:r>
            <w:r>
              <w:rPr>
                <w:rFonts w:hint="eastAsia" w:cs="Times New Roman"/>
                <w:color w:val="auto"/>
              </w:rPr>
              <w:t>5</w:t>
            </w:r>
            <w:r>
              <w:rPr>
                <w:rFonts w:cs="Times New Roman"/>
                <w:color w:val="auto"/>
              </w:rPr>
              <w:t>年）》中的危险废物，危废类别HW08，危废代码900-249-08，密闭油桶收集后暂存于危废暂存间内，定期委托有资质单位拉运处置。</w:t>
            </w:r>
          </w:p>
          <w:p w14:paraId="3A6DB3FD">
            <w:pPr>
              <w:ind w:firstLine="480"/>
              <w:rPr>
                <w:rFonts w:cs="Times New Roman"/>
                <w:color w:val="auto"/>
              </w:rPr>
            </w:pPr>
            <w:r>
              <w:rPr>
                <w:rFonts w:cs="Times New Roman"/>
                <w:color w:val="auto"/>
              </w:rPr>
              <w:t>擦拭机油产生的机油废抹布产生量为0.02t/a，属于《国家危险废物管理名录（202</w:t>
            </w:r>
            <w:r>
              <w:rPr>
                <w:rFonts w:hint="eastAsia" w:cs="Times New Roman"/>
                <w:color w:val="auto"/>
              </w:rPr>
              <w:t>5</w:t>
            </w:r>
            <w:r>
              <w:rPr>
                <w:rFonts w:cs="Times New Roman"/>
                <w:color w:val="auto"/>
              </w:rPr>
              <w:t>年）》中的危险废物，危废类别HW49，危废代码900-041-49。</w:t>
            </w:r>
          </w:p>
          <w:p w14:paraId="549CF518">
            <w:pPr>
              <w:ind w:firstLine="480"/>
              <w:rPr>
                <w:rFonts w:cs="Times New Roman"/>
                <w:color w:val="auto"/>
              </w:rPr>
            </w:pPr>
            <w:r>
              <w:rPr>
                <w:rFonts w:cs="Times New Roman"/>
                <w:color w:val="auto"/>
              </w:rPr>
              <w:t>根据《国家危险废物名录（202</w:t>
            </w:r>
            <w:r>
              <w:rPr>
                <w:rFonts w:hint="eastAsia" w:cs="Times New Roman"/>
                <w:color w:val="auto"/>
              </w:rPr>
              <w:t>5</w:t>
            </w:r>
            <w:r>
              <w:rPr>
                <w:rFonts w:cs="Times New Roman"/>
                <w:color w:val="auto"/>
              </w:rPr>
              <w:t>年）》豁免清单，本项目含油抹布</w:t>
            </w:r>
            <w:r>
              <w:rPr>
                <w:rFonts w:hint="eastAsia" w:cs="Times New Roman"/>
                <w:color w:val="auto"/>
                <w:lang w:val="en-US" w:eastAsia="zh-CN"/>
              </w:rPr>
              <w:t>不属于豁免处理</w:t>
            </w:r>
            <w:r>
              <w:rPr>
                <w:rFonts w:cs="Times New Roman"/>
                <w:color w:val="auto"/>
              </w:rPr>
              <w:t>，全过程按危废管理，定期</w:t>
            </w:r>
            <w:r>
              <w:rPr>
                <w:rFonts w:hint="eastAsia" w:cs="Times New Roman"/>
                <w:color w:val="auto"/>
                <w:lang w:val="en-US" w:eastAsia="zh-CN"/>
              </w:rPr>
              <w:t>和废润滑油一同处理</w:t>
            </w:r>
            <w:r>
              <w:rPr>
                <w:rFonts w:cs="Times New Roman"/>
                <w:color w:val="auto"/>
              </w:rPr>
              <w:t>。</w:t>
            </w:r>
          </w:p>
          <w:p w14:paraId="7B6D9D17">
            <w:pPr>
              <w:ind w:firstLine="480"/>
              <w:rPr>
                <w:rFonts w:cs="Times New Roman"/>
                <w:color w:val="auto"/>
              </w:rPr>
            </w:pPr>
            <w:r>
              <w:rPr>
                <w:rFonts w:cs="Times New Roman"/>
                <w:color w:val="auto"/>
              </w:rPr>
              <w:t>本项目拟在生产车间西侧（一般固废暂存间</w:t>
            </w:r>
            <w:r>
              <w:rPr>
                <w:rFonts w:hint="eastAsia" w:cs="Times New Roman"/>
                <w:color w:val="auto"/>
              </w:rPr>
              <w:t>西</w:t>
            </w:r>
            <w:r>
              <w:rPr>
                <w:rFonts w:cs="Times New Roman"/>
                <w:color w:val="auto"/>
              </w:rPr>
              <w:t>侧）新建1座危废暂存间，占地面积为10m</w:t>
            </w:r>
            <w:r>
              <w:rPr>
                <w:rFonts w:cs="Times New Roman"/>
                <w:color w:val="auto"/>
                <w:vertAlign w:val="superscript"/>
              </w:rPr>
              <w:t>2</w:t>
            </w:r>
            <w:r>
              <w:rPr>
                <w:rFonts w:cs="Times New Roman"/>
                <w:color w:val="auto"/>
              </w:rPr>
              <w:t>，全封闭设置，用于存放废机油，危废间裙脚高度为150mm，内设置导流槽、集液池，导流槽与集液池相连，废机油泄漏后通过导流槽流入集液池，导流槽、集液池均按《危险废物贮存污染控制标准》（GB18597-2023）要求进行防渗和防腐，渗透系数K≤10-</w:t>
            </w:r>
            <w:r>
              <w:rPr>
                <w:rFonts w:cs="Times New Roman"/>
                <w:color w:val="auto"/>
                <w:vertAlign w:val="superscript"/>
              </w:rPr>
              <w:t>10</w:t>
            </w:r>
            <w:r>
              <w:rPr>
                <w:rFonts w:cs="Times New Roman"/>
                <w:color w:val="auto"/>
              </w:rPr>
              <w:t>cm/s。</w:t>
            </w:r>
          </w:p>
          <w:p w14:paraId="6EED5845">
            <w:pPr>
              <w:ind w:firstLine="482"/>
              <w:rPr>
                <w:rFonts w:cs="Times New Roman"/>
                <w:b/>
                <w:bCs/>
                <w:color w:val="auto"/>
              </w:rPr>
            </w:pPr>
            <w:r>
              <w:rPr>
                <w:rFonts w:hint="eastAsia" w:cs="Times New Roman"/>
                <w:b/>
                <w:bCs/>
                <w:color w:val="auto"/>
                <w:lang w:val="en-US" w:eastAsia="zh-CN"/>
              </w:rPr>
              <w:t>4</w:t>
            </w:r>
            <w:r>
              <w:rPr>
                <w:rFonts w:cs="Times New Roman"/>
                <w:b/>
                <w:bCs/>
                <w:color w:val="auto"/>
              </w:rPr>
              <w:t>、除尘灰</w:t>
            </w:r>
          </w:p>
          <w:p w14:paraId="5777A4DD">
            <w:pPr>
              <w:ind w:firstLine="480"/>
              <w:rPr>
                <w:rFonts w:cs="Times New Roman"/>
                <w:color w:val="auto"/>
              </w:rPr>
            </w:pPr>
            <w:r>
              <w:rPr>
                <w:rFonts w:cs="Times New Roman"/>
                <w:color w:val="auto"/>
              </w:rPr>
              <w:t>本项目除尘灰产生量约为</w:t>
            </w:r>
            <w:r>
              <w:rPr>
                <w:rFonts w:hint="eastAsia" w:cs="Times New Roman"/>
                <w:color w:val="auto"/>
                <w:lang w:val="en-US" w:eastAsia="zh-CN"/>
              </w:rPr>
              <w:t>0.0255</w:t>
            </w:r>
            <w:r>
              <w:rPr>
                <w:rFonts w:cs="Times New Roman"/>
                <w:color w:val="auto"/>
              </w:rPr>
              <w:t>t/a，经收集后回用于生产，不外排。</w:t>
            </w:r>
          </w:p>
          <w:p w14:paraId="165D65EC">
            <w:pPr>
              <w:ind w:firstLine="482"/>
              <w:rPr>
                <w:rFonts w:cs="Times New Roman"/>
                <w:b/>
                <w:bCs/>
                <w:color w:val="auto"/>
              </w:rPr>
            </w:pPr>
            <w:r>
              <w:rPr>
                <w:rFonts w:hint="eastAsia" w:cs="Times New Roman"/>
                <w:b/>
                <w:bCs/>
                <w:color w:val="auto"/>
              </w:rPr>
              <w:t>6</w:t>
            </w:r>
            <w:r>
              <w:rPr>
                <w:rFonts w:cs="Times New Roman"/>
                <w:b/>
                <w:bCs/>
                <w:color w:val="auto"/>
              </w:rPr>
              <w:t>、废包装袋</w:t>
            </w:r>
          </w:p>
          <w:p w14:paraId="7726805B">
            <w:pPr>
              <w:ind w:firstLine="480"/>
              <w:rPr>
                <w:rFonts w:cs="Times New Roman"/>
                <w:color w:val="auto"/>
              </w:rPr>
            </w:pPr>
            <w:r>
              <w:rPr>
                <w:rFonts w:cs="Times New Roman"/>
                <w:color w:val="auto"/>
              </w:rPr>
              <w:t>原料运输将会产生一定的废包装袋，产生量约为0.01t/a，收集后外售。</w:t>
            </w:r>
          </w:p>
          <w:p w14:paraId="3CBB4A15">
            <w:pPr>
              <w:ind w:firstLine="482"/>
              <w:rPr>
                <w:rFonts w:cs="Times New Roman"/>
                <w:b/>
                <w:bCs/>
                <w:color w:val="auto"/>
              </w:rPr>
            </w:pPr>
            <w:r>
              <w:rPr>
                <w:rFonts w:hint="eastAsia" w:cs="Times New Roman"/>
                <w:b/>
                <w:bCs/>
                <w:color w:val="auto"/>
              </w:rPr>
              <w:t>7</w:t>
            </w:r>
            <w:r>
              <w:rPr>
                <w:rFonts w:cs="Times New Roman"/>
                <w:b/>
                <w:bCs/>
                <w:color w:val="auto"/>
              </w:rPr>
              <w:t>、废包装桶</w:t>
            </w:r>
          </w:p>
          <w:p w14:paraId="3819A259">
            <w:pPr>
              <w:ind w:firstLine="480"/>
              <w:rPr>
                <w:rFonts w:hint="default" w:eastAsia="宋体" w:cs="Times New Roman"/>
                <w:color w:val="auto"/>
                <w:lang w:val="en-US" w:eastAsia="zh-CN"/>
              </w:rPr>
            </w:pPr>
            <w:r>
              <w:rPr>
                <w:rFonts w:cs="Times New Roman"/>
                <w:color w:val="auto"/>
              </w:rPr>
              <w:t>本项目外加剂、脱模剂等储运将产生废包装桶，产生量约0.</w:t>
            </w:r>
            <w:r>
              <w:rPr>
                <w:rFonts w:hint="eastAsia" w:cs="Times New Roman"/>
                <w:color w:val="auto"/>
                <w:lang w:val="en-US" w:eastAsia="zh-CN"/>
              </w:rPr>
              <w:t>0</w:t>
            </w:r>
            <w:r>
              <w:rPr>
                <w:rFonts w:cs="Times New Roman"/>
                <w:color w:val="auto"/>
              </w:rPr>
              <w:t>5t/a，交由生产厂家回收利用。</w:t>
            </w:r>
            <w:r>
              <w:rPr>
                <w:rFonts w:hint="eastAsia" w:cs="Times New Roman"/>
                <w:color w:val="auto"/>
                <w:lang w:val="en-US" w:eastAsia="zh-CN"/>
              </w:rPr>
              <w:t>脱模剂本身不属于危险废物，用于金属制品脱模产生的的废脱模剂属于危险废物。本项目为水泥制品，所以脱模剂产生的废包装桶不属于危险废物。</w:t>
            </w:r>
          </w:p>
          <w:p w14:paraId="67167D01">
            <w:pPr>
              <w:ind w:firstLine="482"/>
              <w:rPr>
                <w:rFonts w:cs="Times New Roman"/>
                <w:b/>
                <w:bCs/>
                <w:color w:val="auto"/>
              </w:rPr>
            </w:pPr>
            <w:r>
              <w:rPr>
                <w:rFonts w:hint="eastAsia" w:cs="Times New Roman"/>
                <w:b/>
                <w:bCs/>
                <w:color w:val="auto"/>
                <w:lang w:val="en-US" w:eastAsia="zh-CN"/>
              </w:rPr>
              <w:t>8</w:t>
            </w:r>
            <w:r>
              <w:rPr>
                <w:rFonts w:cs="Times New Roman"/>
                <w:b/>
                <w:bCs/>
                <w:color w:val="auto"/>
              </w:rPr>
              <w:t>、生活垃圾</w:t>
            </w:r>
          </w:p>
          <w:p w14:paraId="1B820FEB">
            <w:pPr>
              <w:ind w:firstLine="480"/>
              <w:rPr>
                <w:rFonts w:cs="Times New Roman"/>
                <w:color w:val="auto"/>
              </w:rPr>
            </w:pPr>
            <w:r>
              <w:rPr>
                <w:rFonts w:cs="Times New Roman"/>
                <w:color w:val="auto"/>
              </w:rPr>
              <w:t>本项目劳动定员</w:t>
            </w:r>
            <w:r>
              <w:rPr>
                <w:rFonts w:hint="eastAsia" w:cs="Times New Roman"/>
                <w:color w:val="auto"/>
                <w:lang w:val="en-US" w:eastAsia="zh-CN"/>
              </w:rPr>
              <w:t>30</w:t>
            </w:r>
            <w:r>
              <w:rPr>
                <w:rFonts w:cs="Times New Roman"/>
                <w:color w:val="auto"/>
              </w:rPr>
              <w:t>人，人均产生的生活垃圾按0.5kg/d计算，则共产生生活垃圾</w:t>
            </w:r>
            <w:r>
              <w:rPr>
                <w:rFonts w:hint="eastAsia" w:cs="Times New Roman"/>
                <w:color w:val="auto"/>
                <w:lang w:val="en-US" w:eastAsia="zh-CN"/>
              </w:rPr>
              <w:t>2.25</w:t>
            </w:r>
            <w:r>
              <w:rPr>
                <w:rFonts w:cs="Times New Roman"/>
                <w:color w:val="auto"/>
              </w:rPr>
              <w:t>t/a，项目区设垃圾桶收集生活垃圾，委托环卫部门定期清运，不外排。</w:t>
            </w:r>
          </w:p>
          <w:p w14:paraId="77C58AEF">
            <w:pPr>
              <w:ind w:firstLine="480"/>
              <w:rPr>
                <w:rFonts w:cs="Times New Roman"/>
                <w:color w:val="auto"/>
              </w:rPr>
            </w:pPr>
            <w:r>
              <w:rPr>
                <w:rFonts w:cs="Times New Roman"/>
                <w:color w:val="auto"/>
              </w:rPr>
              <w:t>本项目一般工业固体废物产生及处置情况汇总表如下：</w:t>
            </w:r>
          </w:p>
          <w:p w14:paraId="34B6782B">
            <w:pPr>
              <w:pStyle w:val="36"/>
              <w:rPr>
                <w:rFonts w:cs="Times New Roman"/>
                <w:color w:val="auto"/>
                <w:highlight w:val="none"/>
              </w:rPr>
            </w:pPr>
            <w:r>
              <w:rPr>
                <w:rFonts w:cs="Times New Roman"/>
                <w:color w:val="auto"/>
                <w:highlight w:val="none"/>
              </w:rPr>
              <w:t>表4-14  项目一般固体废物产生情况一览表</w:t>
            </w:r>
          </w:p>
          <w:tbl>
            <w:tblPr>
              <w:tblStyle w:val="2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85"/>
              <w:gridCol w:w="1594"/>
              <w:gridCol w:w="1215"/>
              <w:gridCol w:w="2660"/>
            </w:tblGrid>
            <w:tr w14:paraId="097F21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1" w:type="pct"/>
                  <w:vAlign w:val="center"/>
                </w:tcPr>
                <w:p w14:paraId="08A2483C">
                  <w:pPr>
                    <w:pStyle w:val="50"/>
                    <w:jc w:val="center"/>
                    <w:rPr>
                      <w:b/>
                      <w:bCs/>
                      <w:color w:val="auto"/>
                    </w:rPr>
                  </w:pPr>
                  <w:r>
                    <w:rPr>
                      <w:b/>
                      <w:bCs/>
                      <w:color w:val="auto"/>
                    </w:rPr>
                    <w:t>序号</w:t>
                  </w:r>
                </w:p>
              </w:tc>
              <w:tc>
                <w:tcPr>
                  <w:tcW w:w="919" w:type="pct"/>
                  <w:vAlign w:val="center"/>
                </w:tcPr>
                <w:p w14:paraId="589995BA">
                  <w:pPr>
                    <w:pStyle w:val="50"/>
                    <w:jc w:val="center"/>
                    <w:rPr>
                      <w:b/>
                      <w:bCs/>
                      <w:color w:val="auto"/>
                    </w:rPr>
                  </w:pPr>
                  <w:r>
                    <w:rPr>
                      <w:b/>
                      <w:bCs/>
                      <w:color w:val="auto"/>
                    </w:rPr>
                    <w:t>固废名称</w:t>
                  </w:r>
                </w:p>
              </w:tc>
              <w:tc>
                <w:tcPr>
                  <w:tcW w:w="1057" w:type="pct"/>
                  <w:vAlign w:val="center"/>
                </w:tcPr>
                <w:p w14:paraId="6B8D35F6">
                  <w:pPr>
                    <w:pStyle w:val="50"/>
                    <w:jc w:val="center"/>
                    <w:rPr>
                      <w:b/>
                      <w:bCs/>
                      <w:color w:val="auto"/>
                    </w:rPr>
                  </w:pPr>
                  <w:r>
                    <w:rPr>
                      <w:b/>
                      <w:bCs/>
                      <w:color w:val="auto"/>
                    </w:rPr>
                    <w:t>产生工序</w:t>
                  </w:r>
                </w:p>
              </w:tc>
              <w:tc>
                <w:tcPr>
                  <w:tcW w:w="806" w:type="pct"/>
                  <w:vAlign w:val="center"/>
                </w:tcPr>
                <w:p w14:paraId="0E1934C3">
                  <w:pPr>
                    <w:pStyle w:val="50"/>
                    <w:jc w:val="center"/>
                    <w:rPr>
                      <w:b/>
                      <w:bCs/>
                      <w:color w:val="auto"/>
                    </w:rPr>
                  </w:pPr>
                  <w:r>
                    <w:rPr>
                      <w:b/>
                      <w:bCs/>
                      <w:color w:val="auto"/>
                    </w:rPr>
                    <w:t>预测产生（t/a）</w:t>
                  </w:r>
                </w:p>
              </w:tc>
              <w:tc>
                <w:tcPr>
                  <w:tcW w:w="1765" w:type="pct"/>
                  <w:vAlign w:val="center"/>
                </w:tcPr>
                <w:p w14:paraId="4AD00718">
                  <w:pPr>
                    <w:pStyle w:val="50"/>
                    <w:jc w:val="center"/>
                    <w:rPr>
                      <w:b/>
                      <w:bCs/>
                      <w:color w:val="auto"/>
                    </w:rPr>
                  </w:pPr>
                  <w:r>
                    <w:rPr>
                      <w:b/>
                      <w:bCs/>
                      <w:color w:val="auto"/>
                    </w:rPr>
                    <w:t>处理方式</w:t>
                  </w:r>
                </w:p>
              </w:tc>
            </w:tr>
            <w:tr w14:paraId="72A8A4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1" w:type="pct"/>
                  <w:vAlign w:val="center"/>
                </w:tcPr>
                <w:p w14:paraId="2F77215E">
                  <w:pPr>
                    <w:pStyle w:val="50"/>
                    <w:jc w:val="center"/>
                    <w:rPr>
                      <w:color w:val="auto"/>
                    </w:rPr>
                  </w:pPr>
                  <w:r>
                    <w:rPr>
                      <w:color w:val="auto"/>
                    </w:rPr>
                    <w:t>1</w:t>
                  </w:r>
                </w:p>
              </w:tc>
              <w:tc>
                <w:tcPr>
                  <w:tcW w:w="919" w:type="pct"/>
                  <w:vAlign w:val="center"/>
                </w:tcPr>
                <w:p w14:paraId="494D6490">
                  <w:pPr>
                    <w:pStyle w:val="50"/>
                    <w:jc w:val="center"/>
                    <w:rPr>
                      <w:color w:val="auto"/>
                    </w:rPr>
                  </w:pPr>
                  <w:r>
                    <w:rPr>
                      <w:color w:val="auto"/>
                    </w:rPr>
                    <w:t>成品残次品</w:t>
                  </w:r>
                </w:p>
              </w:tc>
              <w:tc>
                <w:tcPr>
                  <w:tcW w:w="1057" w:type="pct"/>
                  <w:vAlign w:val="center"/>
                </w:tcPr>
                <w:p w14:paraId="1972C688">
                  <w:pPr>
                    <w:pStyle w:val="50"/>
                    <w:jc w:val="center"/>
                    <w:rPr>
                      <w:color w:val="auto"/>
                    </w:rPr>
                  </w:pPr>
                  <w:r>
                    <w:rPr>
                      <w:color w:val="auto"/>
                    </w:rPr>
                    <w:t>检验</w:t>
                  </w:r>
                </w:p>
              </w:tc>
              <w:tc>
                <w:tcPr>
                  <w:tcW w:w="806" w:type="pct"/>
                  <w:vAlign w:val="center"/>
                </w:tcPr>
                <w:p w14:paraId="71C4B0B3">
                  <w:pPr>
                    <w:pStyle w:val="50"/>
                    <w:jc w:val="center"/>
                    <w:rPr>
                      <w:rFonts w:hint="default" w:eastAsia="宋体"/>
                      <w:color w:val="auto"/>
                      <w:lang w:val="en-US" w:eastAsia="zh-CN"/>
                    </w:rPr>
                  </w:pPr>
                  <w:r>
                    <w:rPr>
                      <w:rFonts w:hint="eastAsia"/>
                      <w:color w:val="auto"/>
                      <w:lang w:val="en-US" w:eastAsia="zh-CN"/>
                    </w:rPr>
                    <w:t>90</w:t>
                  </w:r>
                </w:p>
              </w:tc>
              <w:tc>
                <w:tcPr>
                  <w:tcW w:w="1765" w:type="pct"/>
                  <w:vAlign w:val="center"/>
                </w:tcPr>
                <w:p w14:paraId="6ABD340D">
                  <w:pPr>
                    <w:pStyle w:val="50"/>
                    <w:jc w:val="center"/>
                    <w:rPr>
                      <w:color w:val="auto"/>
                    </w:rPr>
                  </w:pPr>
                  <w:r>
                    <w:rPr>
                      <w:color w:val="auto"/>
                    </w:rPr>
                    <w:t>收集后暂存于一般固废暂存间，外售砖厂</w:t>
                  </w:r>
                </w:p>
              </w:tc>
            </w:tr>
            <w:tr w14:paraId="1DE3D7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1" w:type="pct"/>
                  <w:vAlign w:val="center"/>
                </w:tcPr>
                <w:p w14:paraId="7983EC6B">
                  <w:pPr>
                    <w:pStyle w:val="50"/>
                    <w:jc w:val="center"/>
                    <w:rPr>
                      <w:color w:val="auto"/>
                    </w:rPr>
                  </w:pPr>
                  <w:r>
                    <w:rPr>
                      <w:color w:val="auto"/>
                    </w:rPr>
                    <w:t>2</w:t>
                  </w:r>
                </w:p>
              </w:tc>
              <w:tc>
                <w:tcPr>
                  <w:tcW w:w="919" w:type="pct"/>
                  <w:vAlign w:val="center"/>
                </w:tcPr>
                <w:p w14:paraId="472ECF97">
                  <w:pPr>
                    <w:pStyle w:val="50"/>
                    <w:jc w:val="center"/>
                    <w:rPr>
                      <w:color w:val="auto"/>
                    </w:rPr>
                  </w:pPr>
                  <w:r>
                    <w:rPr>
                      <w:color w:val="auto"/>
                    </w:rPr>
                    <w:t>金属边角料</w:t>
                  </w:r>
                </w:p>
              </w:tc>
              <w:tc>
                <w:tcPr>
                  <w:tcW w:w="1057" w:type="pct"/>
                  <w:vAlign w:val="center"/>
                </w:tcPr>
                <w:p w14:paraId="5CF4A7DD">
                  <w:pPr>
                    <w:pStyle w:val="50"/>
                    <w:jc w:val="center"/>
                    <w:rPr>
                      <w:color w:val="auto"/>
                    </w:rPr>
                  </w:pPr>
                  <w:r>
                    <w:rPr>
                      <w:color w:val="auto"/>
                    </w:rPr>
                    <w:t>切割</w:t>
                  </w:r>
                </w:p>
              </w:tc>
              <w:tc>
                <w:tcPr>
                  <w:tcW w:w="806" w:type="pct"/>
                  <w:vAlign w:val="center"/>
                </w:tcPr>
                <w:p w14:paraId="5B81E9F3">
                  <w:pPr>
                    <w:pStyle w:val="50"/>
                    <w:jc w:val="center"/>
                    <w:rPr>
                      <w:rFonts w:hint="default" w:eastAsia="宋体"/>
                      <w:color w:val="auto"/>
                      <w:lang w:val="en-US" w:eastAsia="zh-CN"/>
                    </w:rPr>
                  </w:pPr>
                  <w:r>
                    <w:rPr>
                      <w:rFonts w:hint="eastAsia"/>
                      <w:color w:val="auto"/>
                      <w:lang w:val="en-US" w:eastAsia="zh-CN"/>
                    </w:rPr>
                    <w:t>0.03</w:t>
                  </w:r>
                </w:p>
              </w:tc>
              <w:tc>
                <w:tcPr>
                  <w:tcW w:w="1765" w:type="pct"/>
                  <w:vAlign w:val="center"/>
                </w:tcPr>
                <w:p w14:paraId="5A33E31F">
                  <w:pPr>
                    <w:pStyle w:val="50"/>
                    <w:jc w:val="center"/>
                    <w:rPr>
                      <w:color w:val="auto"/>
                    </w:rPr>
                  </w:pPr>
                  <w:r>
                    <w:rPr>
                      <w:color w:val="auto"/>
                    </w:rPr>
                    <w:t>收集后暂存于一般固废暂存间，外售废品回收站。</w:t>
                  </w:r>
                </w:p>
              </w:tc>
            </w:tr>
            <w:tr w14:paraId="7B9F10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51" w:type="pct"/>
                  <w:vAlign w:val="center"/>
                </w:tcPr>
                <w:p w14:paraId="380B0D61">
                  <w:pPr>
                    <w:pStyle w:val="50"/>
                    <w:jc w:val="center"/>
                    <w:rPr>
                      <w:rFonts w:hint="eastAsia" w:eastAsia="宋体"/>
                      <w:color w:val="auto"/>
                      <w:lang w:eastAsia="zh-CN"/>
                    </w:rPr>
                  </w:pPr>
                  <w:r>
                    <w:rPr>
                      <w:rFonts w:hint="eastAsia"/>
                      <w:color w:val="auto"/>
                      <w:lang w:val="en-US" w:eastAsia="zh-CN"/>
                    </w:rPr>
                    <w:t>3</w:t>
                  </w:r>
                </w:p>
              </w:tc>
              <w:tc>
                <w:tcPr>
                  <w:tcW w:w="919" w:type="pct"/>
                  <w:vAlign w:val="center"/>
                </w:tcPr>
                <w:p w14:paraId="6179B76F">
                  <w:pPr>
                    <w:pStyle w:val="50"/>
                    <w:jc w:val="center"/>
                    <w:rPr>
                      <w:color w:val="auto"/>
                    </w:rPr>
                  </w:pPr>
                  <w:r>
                    <w:rPr>
                      <w:color w:val="auto"/>
                    </w:rPr>
                    <w:t>除尘灰</w:t>
                  </w:r>
                </w:p>
              </w:tc>
              <w:tc>
                <w:tcPr>
                  <w:tcW w:w="1057" w:type="pct"/>
                  <w:vAlign w:val="center"/>
                </w:tcPr>
                <w:p w14:paraId="6A1AA746">
                  <w:pPr>
                    <w:pStyle w:val="50"/>
                    <w:jc w:val="center"/>
                    <w:rPr>
                      <w:color w:val="auto"/>
                    </w:rPr>
                  </w:pPr>
                  <w:r>
                    <w:rPr>
                      <w:color w:val="auto"/>
                    </w:rPr>
                    <w:t>物料运输储存、物料混合</w:t>
                  </w:r>
                </w:p>
              </w:tc>
              <w:tc>
                <w:tcPr>
                  <w:tcW w:w="806" w:type="pct"/>
                  <w:vAlign w:val="center"/>
                </w:tcPr>
                <w:p w14:paraId="7DDF7D1C">
                  <w:pPr>
                    <w:pStyle w:val="50"/>
                    <w:jc w:val="center"/>
                    <w:rPr>
                      <w:rFonts w:hint="default" w:eastAsia="宋体"/>
                      <w:color w:val="auto"/>
                      <w:lang w:val="en-US" w:eastAsia="zh-CN"/>
                    </w:rPr>
                  </w:pPr>
                  <w:r>
                    <w:rPr>
                      <w:rFonts w:hint="eastAsia"/>
                      <w:color w:val="auto"/>
                      <w:lang w:val="en-US" w:eastAsia="zh-CN"/>
                    </w:rPr>
                    <w:t>0.0255</w:t>
                  </w:r>
                </w:p>
              </w:tc>
              <w:tc>
                <w:tcPr>
                  <w:tcW w:w="1765" w:type="pct"/>
                  <w:vAlign w:val="center"/>
                </w:tcPr>
                <w:p w14:paraId="7F609D5D">
                  <w:pPr>
                    <w:pStyle w:val="50"/>
                    <w:jc w:val="center"/>
                    <w:rPr>
                      <w:color w:val="auto"/>
                    </w:rPr>
                  </w:pPr>
                  <w:r>
                    <w:rPr>
                      <w:color w:val="auto"/>
                    </w:rPr>
                    <w:t>回用于生产。</w:t>
                  </w:r>
                </w:p>
              </w:tc>
            </w:tr>
            <w:tr w14:paraId="1BD2B0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1" w:type="pct"/>
                  <w:vAlign w:val="center"/>
                </w:tcPr>
                <w:p w14:paraId="18519701">
                  <w:pPr>
                    <w:pStyle w:val="50"/>
                    <w:jc w:val="center"/>
                    <w:rPr>
                      <w:rFonts w:hint="eastAsia" w:eastAsia="宋体"/>
                      <w:color w:val="auto"/>
                      <w:lang w:eastAsia="zh-CN"/>
                    </w:rPr>
                  </w:pPr>
                  <w:r>
                    <w:rPr>
                      <w:rFonts w:hint="eastAsia"/>
                      <w:color w:val="auto"/>
                      <w:lang w:val="en-US" w:eastAsia="zh-CN"/>
                    </w:rPr>
                    <w:t>4</w:t>
                  </w:r>
                </w:p>
              </w:tc>
              <w:tc>
                <w:tcPr>
                  <w:tcW w:w="919" w:type="pct"/>
                  <w:vAlign w:val="center"/>
                </w:tcPr>
                <w:p w14:paraId="19A13F5E">
                  <w:pPr>
                    <w:pStyle w:val="50"/>
                    <w:jc w:val="center"/>
                    <w:rPr>
                      <w:color w:val="auto"/>
                    </w:rPr>
                  </w:pPr>
                  <w:r>
                    <w:rPr>
                      <w:color w:val="auto"/>
                    </w:rPr>
                    <w:t>废包装袋</w:t>
                  </w:r>
                </w:p>
              </w:tc>
              <w:tc>
                <w:tcPr>
                  <w:tcW w:w="1057" w:type="pct"/>
                  <w:vAlign w:val="center"/>
                </w:tcPr>
                <w:p w14:paraId="5B2E3B03">
                  <w:pPr>
                    <w:pStyle w:val="50"/>
                    <w:jc w:val="center"/>
                    <w:rPr>
                      <w:color w:val="auto"/>
                    </w:rPr>
                  </w:pPr>
                  <w:r>
                    <w:rPr>
                      <w:color w:val="auto"/>
                    </w:rPr>
                    <w:t>原料运输</w:t>
                  </w:r>
                </w:p>
              </w:tc>
              <w:tc>
                <w:tcPr>
                  <w:tcW w:w="806" w:type="pct"/>
                  <w:vAlign w:val="center"/>
                </w:tcPr>
                <w:p w14:paraId="64847AFF">
                  <w:pPr>
                    <w:pStyle w:val="50"/>
                    <w:jc w:val="center"/>
                    <w:rPr>
                      <w:color w:val="auto"/>
                    </w:rPr>
                  </w:pPr>
                  <w:r>
                    <w:rPr>
                      <w:color w:val="auto"/>
                    </w:rPr>
                    <w:t>0.01</w:t>
                  </w:r>
                </w:p>
              </w:tc>
              <w:tc>
                <w:tcPr>
                  <w:tcW w:w="1765" w:type="pct"/>
                  <w:vAlign w:val="center"/>
                </w:tcPr>
                <w:p w14:paraId="44341E2C">
                  <w:pPr>
                    <w:pStyle w:val="50"/>
                    <w:jc w:val="center"/>
                    <w:rPr>
                      <w:color w:val="auto"/>
                    </w:rPr>
                  </w:pPr>
                  <w:r>
                    <w:rPr>
                      <w:color w:val="auto"/>
                    </w:rPr>
                    <w:t>收集后外售。</w:t>
                  </w:r>
                </w:p>
              </w:tc>
            </w:tr>
            <w:tr w14:paraId="0D9E54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1" w:type="pct"/>
                  <w:vAlign w:val="center"/>
                </w:tcPr>
                <w:p w14:paraId="73B1E0BB">
                  <w:pPr>
                    <w:pStyle w:val="50"/>
                    <w:jc w:val="center"/>
                    <w:rPr>
                      <w:rFonts w:hint="eastAsia" w:eastAsia="宋体"/>
                      <w:color w:val="auto"/>
                      <w:lang w:eastAsia="zh-CN"/>
                    </w:rPr>
                  </w:pPr>
                  <w:r>
                    <w:rPr>
                      <w:rFonts w:hint="eastAsia"/>
                      <w:color w:val="auto"/>
                      <w:lang w:val="en-US" w:eastAsia="zh-CN"/>
                    </w:rPr>
                    <w:t>5</w:t>
                  </w:r>
                </w:p>
              </w:tc>
              <w:tc>
                <w:tcPr>
                  <w:tcW w:w="919" w:type="pct"/>
                  <w:vAlign w:val="center"/>
                </w:tcPr>
                <w:p w14:paraId="12948DD3">
                  <w:pPr>
                    <w:pStyle w:val="50"/>
                    <w:jc w:val="center"/>
                    <w:rPr>
                      <w:color w:val="auto"/>
                    </w:rPr>
                  </w:pPr>
                  <w:r>
                    <w:rPr>
                      <w:color w:val="auto"/>
                    </w:rPr>
                    <w:t>废包装桶</w:t>
                  </w:r>
                </w:p>
              </w:tc>
              <w:tc>
                <w:tcPr>
                  <w:tcW w:w="1057" w:type="pct"/>
                  <w:vAlign w:val="center"/>
                </w:tcPr>
                <w:p w14:paraId="4F7BB068">
                  <w:pPr>
                    <w:pStyle w:val="50"/>
                    <w:jc w:val="center"/>
                    <w:rPr>
                      <w:color w:val="auto"/>
                    </w:rPr>
                  </w:pPr>
                  <w:r>
                    <w:rPr>
                      <w:color w:val="auto"/>
                    </w:rPr>
                    <w:t>原辅料运输</w:t>
                  </w:r>
                </w:p>
              </w:tc>
              <w:tc>
                <w:tcPr>
                  <w:tcW w:w="806" w:type="pct"/>
                  <w:vAlign w:val="center"/>
                </w:tcPr>
                <w:p w14:paraId="0C8178AD">
                  <w:pPr>
                    <w:pStyle w:val="50"/>
                    <w:jc w:val="center"/>
                    <w:rPr>
                      <w:color w:val="auto"/>
                    </w:rPr>
                  </w:pPr>
                  <w:r>
                    <w:rPr>
                      <w:color w:val="auto"/>
                    </w:rPr>
                    <w:t>0.5</w:t>
                  </w:r>
                </w:p>
              </w:tc>
              <w:tc>
                <w:tcPr>
                  <w:tcW w:w="1765" w:type="pct"/>
                  <w:vAlign w:val="center"/>
                </w:tcPr>
                <w:p w14:paraId="6B65EAC8">
                  <w:pPr>
                    <w:pStyle w:val="50"/>
                    <w:jc w:val="center"/>
                    <w:rPr>
                      <w:color w:val="auto"/>
                    </w:rPr>
                  </w:pPr>
                  <w:r>
                    <w:rPr>
                      <w:color w:val="auto"/>
                    </w:rPr>
                    <w:t>交由厂家回收利用。</w:t>
                  </w:r>
                </w:p>
              </w:tc>
            </w:tr>
            <w:tr w14:paraId="26EC52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1" w:type="pct"/>
                  <w:vAlign w:val="center"/>
                </w:tcPr>
                <w:p w14:paraId="798D3B26">
                  <w:pPr>
                    <w:pStyle w:val="50"/>
                    <w:jc w:val="center"/>
                    <w:rPr>
                      <w:rFonts w:hint="default" w:eastAsia="宋体"/>
                      <w:color w:val="auto"/>
                      <w:lang w:val="en-US" w:eastAsia="zh-CN"/>
                    </w:rPr>
                  </w:pPr>
                  <w:r>
                    <w:rPr>
                      <w:rFonts w:hint="eastAsia"/>
                      <w:color w:val="auto"/>
                      <w:lang w:val="en-US" w:eastAsia="zh-CN"/>
                    </w:rPr>
                    <w:t>6</w:t>
                  </w:r>
                </w:p>
              </w:tc>
              <w:tc>
                <w:tcPr>
                  <w:tcW w:w="919" w:type="pct"/>
                  <w:vAlign w:val="center"/>
                </w:tcPr>
                <w:p w14:paraId="3E08D775">
                  <w:pPr>
                    <w:pStyle w:val="50"/>
                    <w:jc w:val="center"/>
                    <w:rPr>
                      <w:color w:val="auto"/>
                    </w:rPr>
                  </w:pPr>
                  <w:r>
                    <w:rPr>
                      <w:color w:val="auto"/>
                    </w:rPr>
                    <w:t>生活垃圾</w:t>
                  </w:r>
                </w:p>
              </w:tc>
              <w:tc>
                <w:tcPr>
                  <w:tcW w:w="1057" w:type="pct"/>
                  <w:vAlign w:val="center"/>
                </w:tcPr>
                <w:p w14:paraId="22E64CF9">
                  <w:pPr>
                    <w:pStyle w:val="50"/>
                    <w:jc w:val="center"/>
                    <w:rPr>
                      <w:color w:val="auto"/>
                    </w:rPr>
                  </w:pPr>
                  <w:r>
                    <w:rPr>
                      <w:color w:val="auto"/>
                    </w:rPr>
                    <w:t>员工日常生活</w:t>
                  </w:r>
                </w:p>
              </w:tc>
              <w:tc>
                <w:tcPr>
                  <w:tcW w:w="806" w:type="pct"/>
                  <w:vAlign w:val="center"/>
                </w:tcPr>
                <w:p w14:paraId="56EBF971">
                  <w:pPr>
                    <w:pStyle w:val="50"/>
                    <w:jc w:val="center"/>
                    <w:rPr>
                      <w:rFonts w:hint="default" w:eastAsia="宋体"/>
                      <w:color w:val="auto"/>
                      <w:lang w:val="en-US" w:eastAsia="zh-CN"/>
                    </w:rPr>
                  </w:pPr>
                  <w:r>
                    <w:rPr>
                      <w:rFonts w:hint="eastAsia"/>
                      <w:color w:val="auto"/>
                      <w:lang w:val="en-US" w:eastAsia="zh-CN"/>
                    </w:rPr>
                    <w:t>2.25</w:t>
                  </w:r>
                </w:p>
              </w:tc>
              <w:tc>
                <w:tcPr>
                  <w:tcW w:w="1765" w:type="pct"/>
                  <w:vAlign w:val="center"/>
                </w:tcPr>
                <w:p w14:paraId="7BB9A28F">
                  <w:pPr>
                    <w:pStyle w:val="50"/>
                    <w:jc w:val="center"/>
                    <w:rPr>
                      <w:color w:val="auto"/>
                    </w:rPr>
                  </w:pPr>
                  <w:r>
                    <w:rPr>
                      <w:color w:val="auto"/>
                    </w:rPr>
                    <w:t>集中收集，委托环卫部门定期清运。</w:t>
                  </w:r>
                </w:p>
              </w:tc>
            </w:tr>
          </w:tbl>
          <w:p w14:paraId="19EBF950">
            <w:pPr>
              <w:ind w:firstLine="480"/>
              <w:rPr>
                <w:rFonts w:cs="Times New Roman"/>
                <w:color w:val="auto"/>
              </w:rPr>
            </w:pPr>
            <w:r>
              <w:rPr>
                <w:rFonts w:cs="Times New Roman"/>
                <w:color w:val="auto"/>
              </w:rPr>
              <w:t>本项目危险废物产生及处置情况见下表。</w:t>
            </w:r>
          </w:p>
          <w:p w14:paraId="5B65D92C">
            <w:pPr>
              <w:pStyle w:val="36"/>
              <w:rPr>
                <w:rFonts w:cs="Times New Roman"/>
                <w:color w:val="auto"/>
              </w:rPr>
            </w:pPr>
            <w:r>
              <w:rPr>
                <w:rFonts w:cs="Times New Roman"/>
                <w:color w:val="auto"/>
              </w:rPr>
              <w:t>表4-15  危险废物产生量及处置情况一览表</w:t>
            </w:r>
          </w:p>
          <w:tbl>
            <w:tblPr>
              <w:tblStyle w:val="27"/>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3"/>
              <w:gridCol w:w="731"/>
              <w:gridCol w:w="885"/>
              <w:gridCol w:w="765"/>
              <w:gridCol w:w="586"/>
              <w:gridCol w:w="720"/>
              <w:gridCol w:w="419"/>
              <w:gridCol w:w="472"/>
              <w:gridCol w:w="550"/>
              <w:gridCol w:w="449"/>
              <w:gridCol w:w="481"/>
              <w:gridCol w:w="1061"/>
            </w:tblGrid>
            <w:tr w14:paraId="055000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323" w:hRule="atLeast"/>
              </w:trPr>
              <w:tc>
                <w:tcPr>
                  <w:tcW w:w="274" w:type="pct"/>
                  <w:vAlign w:val="center"/>
                </w:tcPr>
                <w:p w14:paraId="0F795FA6">
                  <w:pPr>
                    <w:pStyle w:val="50"/>
                    <w:jc w:val="center"/>
                    <w:rPr>
                      <w:b/>
                      <w:bCs/>
                      <w:color w:val="auto"/>
                    </w:rPr>
                  </w:pPr>
                  <w:r>
                    <w:rPr>
                      <w:b/>
                      <w:bCs/>
                      <w:color w:val="auto"/>
                    </w:rPr>
                    <w:t>序号</w:t>
                  </w:r>
                </w:p>
              </w:tc>
              <w:tc>
                <w:tcPr>
                  <w:tcW w:w="485" w:type="pct"/>
                  <w:vAlign w:val="center"/>
                </w:tcPr>
                <w:p w14:paraId="284C89A7">
                  <w:pPr>
                    <w:pStyle w:val="50"/>
                    <w:jc w:val="center"/>
                    <w:rPr>
                      <w:b/>
                      <w:bCs/>
                      <w:color w:val="auto"/>
                    </w:rPr>
                  </w:pPr>
                  <w:r>
                    <w:rPr>
                      <w:b/>
                      <w:bCs/>
                      <w:color w:val="auto"/>
                    </w:rPr>
                    <w:t>危险废物名称</w:t>
                  </w:r>
                </w:p>
              </w:tc>
              <w:tc>
                <w:tcPr>
                  <w:tcW w:w="587" w:type="pct"/>
                  <w:vAlign w:val="center"/>
                </w:tcPr>
                <w:p w14:paraId="5BCC51CC">
                  <w:pPr>
                    <w:pStyle w:val="50"/>
                    <w:jc w:val="center"/>
                    <w:rPr>
                      <w:b/>
                      <w:bCs/>
                      <w:color w:val="auto"/>
                    </w:rPr>
                  </w:pPr>
                  <w:r>
                    <w:rPr>
                      <w:b/>
                      <w:bCs/>
                      <w:color w:val="auto"/>
                    </w:rPr>
                    <w:t>危废类别</w:t>
                  </w:r>
                </w:p>
              </w:tc>
              <w:tc>
                <w:tcPr>
                  <w:tcW w:w="507" w:type="pct"/>
                  <w:vAlign w:val="center"/>
                </w:tcPr>
                <w:p w14:paraId="2B73DF82">
                  <w:pPr>
                    <w:pStyle w:val="50"/>
                    <w:jc w:val="center"/>
                    <w:rPr>
                      <w:b/>
                      <w:bCs/>
                      <w:color w:val="auto"/>
                    </w:rPr>
                  </w:pPr>
                  <w:r>
                    <w:rPr>
                      <w:b/>
                      <w:bCs/>
                      <w:color w:val="auto"/>
                    </w:rPr>
                    <w:t>危废代码</w:t>
                  </w:r>
                </w:p>
              </w:tc>
              <w:tc>
                <w:tcPr>
                  <w:tcW w:w="389" w:type="pct"/>
                  <w:vAlign w:val="center"/>
                </w:tcPr>
                <w:p w14:paraId="1357F866">
                  <w:pPr>
                    <w:pStyle w:val="50"/>
                    <w:jc w:val="center"/>
                    <w:rPr>
                      <w:b/>
                      <w:bCs/>
                      <w:color w:val="auto"/>
                    </w:rPr>
                  </w:pPr>
                  <w:r>
                    <w:rPr>
                      <w:b/>
                      <w:bCs/>
                      <w:color w:val="auto"/>
                    </w:rPr>
                    <w:t>产生量t/a</w:t>
                  </w:r>
                </w:p>
              </w:tc>
              <w:tc>
                <w:tcPr>
                  <w:tcW w:w="477" w:type="pct"/>
                  <w:vAlign w:val="center"/>
                </w:tcPr>
                <w:p w14:paraId="10B1A43D">
                  <w:pPr>
                    <w:pStyle w:val="50"/>
                    <w:jc w:val="center"/>
                    <w:rPr>
                      <w:b/>
                      <w:bCs/>
                      <w:color w:val="auto"/>
                    </w:rPr>
                  </w:pPr>
                  <w:r>
                    <w:rPr>
                      <w:b/>
                      <w:bCs/>
                      <w:color w:val="auto"/>
                    </w:rPr>
                    <w:t>产生工序及装置</w:t>
                  </w:r>
                </w:p>
              </w:tc>
              <w:tc>
                <w:tcPr>
                  <w:tcW w:w="278" w:type="pct"/>
                  <w:vAlign w:val="center"/>
                </w:tcPr>
                <w:p w14:paraId="3CF9616F">
                  <w:pPr>
                    <w:pStyle w:val="50"/>
                    <w:jc w:val="center"/>
                    <w:rPr>
                      <w:b/>
                      <w:bCs/>
                      <w:color w:val="auto"/>
                    </w:rPr>
                  </w:pPr>
                  <w:r>
                    <w:rPr>
                      <w:b/>
                      <w:bCs/>
                      <w:color w:val="auto"/>
                    </w:rPr>
                    <w:t>形态</w:t>
                  </w:r>
                </w:p>
              </w:tc>
              <w:tc>
                <w:tcPr>
                  <w:tcW w:w="313" w:type="pct"/>
                  <w:vAlign w:val="center"/>
                </w:tcPr>
                <w:p w14:paraId="7E0A10E3">
                  <w:pPr>
                    <w:pStyle w:val="50"/>
                    <w:jc w:val="center"/>
                    <w:rPr>
                      <w:b/>
                      <w:bCs/>
                      <w:color w:val="auto"/>
                    </w:rPr>
                  </w:pPr>
                  <w:r>
                    <w:rPr>
                      <w:b/>
                      <w:bCs/>
                      <w:color w:val="auto"/>
                    </w:rPr>
                    <w:t>主要成分</w:t>
                  </w:r>
                </w:p>
              </w:tc>
              <w:tc>
                <w:tcPr>
                  <w:tcW w:w="365" w:type="pct"/>
                  <w:vAlign w:val="center"/>
                </w:tcPr>
                <w:p w14:paraId="54D51C66">
                  <w:pPr>
                    <w:pStyle w:val="50"/>
                    <w:jc w:val="center"/>
                    <w:rPr>
                      <w:b/>
                      <w:bCs/>
                      <w:color w:val="auto"/>
                    </w:rPr>
                  </w:pPr>
                  <w:r>
                    <w:rPr>
                      <w:b/>
                      <w:bCs/>
                      <w:color w:val="auto"/>
                    </w:rPr>
                    <w:t>有害成分</w:t>
                  </w:r>
                </w:p>
              </w:tc>
              <w:tc>
                <w:tcPr>
                  <w:tcW w:w="298" w:type="pct"/>
                  <w:vAlign w:val="center"/>
                </w:tcPr>
                <w:p w14:paraId="11A4CA27">
                  <w:pPr>
                    <w:pStyle w:val="50"/>
                    <w:jc w:val="center"/>
                    <w:rPr>
                      <w:b/>
                      <w:bCs/>
                      <w:color w:val="auto"/>
                    </w:rPr>
                  </w:pPr>
                  <w:r>
                    <w:rPr>
                      <w:b/>
                      <w:bCs/>
                      <w:color w:val="auto"/>
                    </w:rPr>
                    <w:t>产废周期</w:t>
                  </w:r>
                </w:p>
              </w:tc>
              <w:tc>
                <w:tcPr>
                  <w:tcW w:w="319" w:type="pct"/>
                  <w:vAlign w:val="center"/>
                </w:tcPr>
                <w:p w14:paraId="138B8FED">
                  <w:pPr>
                    <w:pStyle w:val="50"/>
                    <w:jc w:val="center"/>
                    <w:rPr>
                      <w:b/>
                      <w:bCs/>
                      <w:color w:val="auto"/>
                    </w:rPr>
                  </w:pPr>
                  <w:r>
                    <w:rPr>
                      <w:b/>
                      <w:bCs/>
                      <w:color w:val="auto"/>
                    </w:rPr>
                    <w:t>危险特性</w:t>
                  </w:r>
                </w:p>
              </w:tc>
              <w:tc>
                <w:tcPr>
                  <w:tcW w:w="704" w:type="pct"/>
                  <w:vAlign w:val="center"/>
                </w:tcPr>
                <w:p w14:paraId="62E6B813">
                  <w:pPr>
                    <w:pStyle w:val="50"/>
                    <w:jc w:val="center"/>
                    <w:rPr>
                      <w:b/>
                      <w:bCs/>
                      <w:color w:val="auto"/>
                    </w:rPr>
                  </w:pPr>
                  <w:r>
                    <w:rPr>
                      <w:b/>
                      <w:bCs/>
                      <w:color w:val="auto"/>
                    </w:rPr>
                    <w:t>污染防治措施</w:t>
                  </w:r>
                </w:p>
              </w:tc>
            </w:tr>
            <w:tr w14:paraId="0D1771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274" w:type="pct"/>
                  <w:vAlign w:val="center"/>
                </w:tcPr>
                <w:p w14:paraId="1A4C7BA1">
                  <w:pPr>
                    <w:pStyle w:val="50"/>
                    <w:jc w:val="center"/>
                    <w:rPr>
                      <w:color w:val="auto"/>
                    </w:rPr>
                  </w:pPr>
                  <w:r>
                    <w:rPr>
                      <w:color w:val="auto"/>
                    </w:rPr>
                    <w:t>1</w:t>
                  </w:r>
                </w:p>
              </w:tc>
              <w:tc>
                <w:tcPr>
                  <w:tcW w:w="485" w:type="pct"/>
                  <w:vAlign w:val="center"/>
                </w:tcPr>
                <w:p w14:paraId="0494904D">
                  <w:pPr>
                    <w:pStyle w:val="50"/>
                    <w:jc w:val="center"/>
                    <w:rPr>
                      <w:color w:val="auto"/>
                    </w:rPr>
                  </w:pPr>
                  <w:r>
                    <w:rPr>
                      <w:color w:val="auto"/>
                    </w:rPr>
                    <w:t>废机油</w:t>
                  </w:r>
                </w:p>
              </w:tc>
              <w:tc>
                <w:tcPr>
                  <w:tcW w:w="587" w:type="pct"/>
                  <w:vAlign w:val="center"/>
                </w:tcPr>
                <w:p w14:paraId="5CCA4904">
                  <w:pPr>
                    <w:pStyle w:val="50"/>
                    <w:jc w:val="center"/>
                    <w:rPr>
                      <w:color w:val="auto"/>
                    </w:rPr>
                  </w:pPr>
                  <w:r>
                    <w:rPr>
                      <w:color w:val="auto"/>
                    </w:rPr>
                    <w:t>HW08</w:t>
                  </w:r>
                </w:p>
              </w:tc>
              <w:tc>
                <w:tcPr>
                  <w:tcW w:w="507" w:type="pct"/>
                  <w:vAlign w:val="center"/>
                </w:tcPr>
                <w:p w14:paraId="564610E2">
                  <w:pPr>
                    <w:pStyle w:val="50"/>
                    <w:jc w:val="center"/>
                    <w:rPr>
                      <w:color w:val="auto"/>
                    </w:rPr>
                  </w:pPr>
                  <w:r>
                    <w:rPr>
                      <w:color w:val="auto"/>
                    </w:rPr>
                    <w:t>900-249-08</w:t>
                  </w:r>
                </w:p>
              </w:tc>
              <w:tc>
                <w:tcPr>
                  <w:tcW w:w="389" w:type="pct"/>
                  <w:vAlign w:val="center"/>
                </w:tcPr>
                <w:p w14:paraId="1112C7E0">
                  <w:pPr>
                    <w:pStyle w:val="50"/>
                    <w:jc w:val="center"/>
                    <w:rPr>
                      <w:color w:val="auto"/>
                    </w:rPr>
                  </w:pPr>
                  <w:r>
                    <w:rPr>
                      <w:color w:val="auto"/>
                    </w:rPr>
                    <w:t>1.2</w:t>
                  </w:r>
                </w:p>
              </w:tc>
              <w:tc>
                <w:tcPr>
                  <w:tcW w:w="477" w:type="pct"/>
                  <w:vAlign w:val="center"/>
                </w:tcPr>
                <w:p w14:paraId="5F3A387C">
                  <w:pPr>
                    <w:pStyle w:val="50"/>
                    <w:jc w:val="center"/>
                    <w:rPr>
                      <w:rFonts w:hint="eastAsia" w:eastAsia="宋体"/>
                      <w:color w:val="auto"/>
                      <w:lang w:eastAsia="zh-CN"/>
                    </w:rPr>
                  </w:pPr>
                  <w:r>
                    <w:rPr>
                      <w:rFonts w:hint="eastAsia"/>
                      <w:color w:val="auto"/>
                      <w:lang w:val="en-US" w:eastAsia="zh-CN"/>
                    </w:rPr>
                    <w:t>切割</w:t>
                  </w:r>
                </w:p>
              </w:tc>
              <w:tc>
                <w:tcPr>
                  <w:tcW w:w="278" w:type="pct"/>
                  <w:vAlign w:val="center"/>
                </w:tcPr>
                <w:p w14:paraId="45AD59E8">
                  <w:pPr>
                    <w:pStyle w:val="50"/>
                    <w:jc w:val="center"/>
                    <w:rPr>
                      <w:color w:val="auto"/>
                    </w:rPr>
                  </w:pPr>
                  <w:r>
                    <w:rPr>
                      <w:color w:val="auto"/>
                    </w:rPr>
                    <w:t>液态</w:t>
                  </w:r>
                </w:p>
              </w:tc>
              <w:tc>
                <w:tcPr>
                  <w:tcW w:w="313" w:type="pct"/>
                  <w:vAlign w:val="center"/>
                </w:tcPr>
                <w:p w14:paraId="6273D40A">
                  <w:pPr>
                    <w:pStyle w:val="50"/>
                    <w:jc w:val="center"/>
                    <w:rPr>
                      <w:color w:val="auto"/>
                    </w:rPr>
                  </w:pPr>
                  <w:r>
                    <w:rPr>
                      <w:color w:val="auto"/>
                    </w:rPr>
                    <w:t>矿物油</w:t>
                  </w:r>
                </w:p>
              </w:tc>
              <w:tc>
                <w:tcPr>
                  <w:tcW w:w="365" w:type="pct"/>
                  <w:vAlign w:val="center"/>
                </w:tcPr>
                <w:p w14:paraId="1B62916A">
                  <w:pPr>
                    <w:pStyle w:val="50"/>
                    <w:jc w:val="center"/>
                    <w:rPr>
                      <w:color w:val="auto"/>
                    </w:rPr>
                  </w:pPr>
                  <w:r>
                    <w:rPr>
                      <w:color w:val="auto"/>
                    </w:rPr>
                    <w:t>废矿物油</w:t>
                  </w:r>
                </w:p>
              </w:tc>
              <w:tc>
                <w:tcPr>
                  <w:tcW w:w="298" w:type="pct"/>
                  <w:vAlign w:val="center"/>
                </w:tcPr>
                <w:p w14:paraId="56ADECDB">
                  <w:pPr>
                    <w:pStyle w:val="50"/>
                    <w:jc w:val="center"/>
                    <w:rPr>
                      <w:rFonts w:hint="eastAsia" w:eastAsia="宋体"/>
                      <w:color w:val="auto"/>
                      <w:lang w:eastAsia="zh-CN"/>
                    </w:rPr>
                  </w:pPr>
                  <w:r>
                    <w:rPr>
                      <w:rFonts w:hint="eastAsia"/>
                      <w:color w:val="auto"/>
                      <w:lang w:val="en-US" w:eastAsia="zh-CN"/>
                    </w:rPr>
                    <w:t>每年</w:t>
                  </w:r>
                </w:p>
              </w:tc>
              <w:tc>
                <w:tcPr>
                  <w:tcW w:w="319" w:type="pct"/>
                  <w:vAlign w:val="center"/>
                </w:tcPr>
                <w:p w14:paraId="1A7363EB">
                  <w:pPr>
                    <w:pStyle w:val="50"/>
                    <w:jc w:val="center"/>
                    <w:rPr>
                      <w:color w:val="auto"/>
                    </w:rPr>
                  </w:pPr>
                  <w:r>
                    <w:rPr>
                      <w:color w:val="auto"/>
                    </w:rPr>
                    <w:t>T，I</w:t>
                  </w:r>
                </w:p>
              </w:tc>
              <w:tc>
                <w:tcPr>
                  <w:tcW w:w="704" w:type="pct"/>
                  <w:vAlign w:val="center"/>
                </w:tcPr>
                <w:p w14:paraId="533E2022">
                  <w:pPr>
                    <w:pStyle w:val="50"/>
                    <w:jc w:val="center"/>
                    <w:rPr>
                      <w:color w:val="auto"/>
                    </w:rPr>
                  </w:pPr>
                  <w:r>
                    <w:rPr>
                      <w:color w:val="auto"/>
                    </w:rPr>
                    <w:t>密闭油桶收集后暂存于危废暂存间内，定期委托有资质单位拉运处置。</w:t>
                  </w:r>
                </w:p>
              </w:tc>
            </w:tr>
            <w:tr w14:paraId="299E6D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274" w:type="pct"/>
                  <w:vAlign w:val="center"/>
                </w:tcPr>
                <w:p w14:paraId="453EABEC">
                  <w:pPr>
                    <w:pStyle w:val="50"/>
                    <w:jc w:val="center"/>
                    <w:rPr>
                      <w:rFonts w:hint="eastAsia" w:eastAsia="宋体"/>
                      <w:color w:val="auto"/>
                      <w:lang w:val="en-US" w:eastAsia="zh-CN"/>
                    </w:rPr>
                  </w:pPr>
                  <w:r>
                    <w:rPr>
                      <w:rFonts w:hint="eastAsia"/>
                      <w:color w:val="auto"/>
                      <w:lang w:val="en-US" w:eastAsia="zh-CN"/>
                    </w:rPr>
                    <w:t>2</w:t>
                  </w:r>
                </w:p>
              </w:tc>
              <w:tc>
                <w:tcPr>
                  <w:tcW w:w="485" w:type="pct"/>
                  <w:vAlign w:val="center"/>
                </w:tcPr>
                <w:p w14:paraId="32F3D3E7">
                  <w:pPr>
                    <w:pStyle w:val="50"/>
                    <w:jc w:val="center"/>
                    <w:rPr>
                      <w:rFonts w:hint="default" w:eastAsia="宋体"/>
                      <w:color w:val="auto"/>
                      <w:lang w:val="en-US" w:eastAsia="zh-CN"/>
                    </w:rPr>
                  </w:pPr>
                  <w:r>
                    <w:rPr>
                      <w:rFonts w:hint="eastAsia"/>
                      <w:color w:val="auto"/>
                      <w:lang w:val="en-US" w:eastAsia="zh-CN"/>
                    </w:rPr>
                    <w:t>废含油抹布</w:t>
                  </w:r>
                </w:p>
              </w:tc>
              <w:tc>
                <w:tcPr>
                  <w:tcW w:w="587" w:type="pct"/>
                  <w:vAlign w:val="center"/>
                </w:tcPr>
                <w:p w14:paraId="4F6894EB">
                  <w:pPr>
                    <w:pStyle w:val="50"/>
                    <w:jc w:val="center"/>
                    <w:rPr>
                      <w:rFonts w:hint="default" w:eastAsia="宋体"/>
                      <w:color w:val="auto"/>
                      <w:lang w:val="en-US" w:eastAsia="zh-CN"/>
                    </w:rPr>
                  </w:pPr>
                  <w:r>
                    <w:rPr>
                      <w:color w:val="auto"/>
                    </w:rPr>
                    <w:t>HW</w:t>
                  </w:r>
                  <w:r>
                    <w:rPr>
                      <w:rFonts w:hint="eastAsia"/>
                      <w:color w:val="auto"/>
                      <w:lang w:val="en-US" w:eastAsia="zh-CN"/>
                    </w:rPr>
                    <w:t>49</w:t>
                  </w:r>
                </w:p>
              </w:tc>
              <w:tc>
                <w:tcPr>
                  <w:tcW w:w="507" w:type="pct"/>
                  <w:vAlign w:val="center"/>
                </w:tcPr>
                <w:p w14:paraId="43F30E76">
                  <w:pPr>
                    <w:pStyle w:val="50"/>
                    <w:jc w:val="center"/>
                    <w:rPr>
                      <w:color w:val="auto"/>
                    </w:rPr>
                  </w:pPr>
                  <w:r>
                    <w:rPr>
                      <w:rFonts w:cs="Times New Roman"/>
                      <w:color w:val="auto"/>
                    </w:rPr>
                    <w:t>900-041-49</w:t>
                  </w:r>
                </w:p>
              </w:tc>
              <w:tc>
                <w:tcPr>
                  <w:tcW w:w="389" w:type="pct"/>
                  <w:vAlign w:val="center"/>
                </w:tcPr>
                <w:p w14:paraId="74C51F5F">
                  <w:pPr>
                    <w:pStyle w:val="50"/>
                    <w:jc w:val="center"/>
                    <w:rPr>
                      <w:rFonts w:hint="default" w:eastAsia="宋体"/>
                      <w:color w:val="auto"/>
                      <w:lang w:val="en-US" w:eastAsia="zh-CN"/>
                    </w:rPr>
                  </w:pPr>
                  <w:r>
                    <w:rPr>
                      <w:rFonts w:hint="eastAsia"/>
                      <w:color w:val="auto"/>
                      <w:lang w:val="en-US" w:eastAsia="zh-CN"/>
                    </w:rPr>
                    <w:t>0.02</w:t>
                  </w:r>
                </w:p>
              </w:tc>
              <w:tc>
                <w:tcPr>
                  <w:tcW w:w="477" w:type="pct"/>
                  <w:vAlign w:val="center"/>
                </w:tcPr>
                <w:p w14:paraId="59F9F1B6">
                  <w:pPr>
                    <w:pStyle w:val="50"/>
                    <w:jc w:val="center"/>
                    <w:rPr>
                      <w:rFonts w:hint="eastAsia" w:eastAsia="宋体"/>
                      <w:color w:val="auto"/>
                      <w:lang w:val="en-US" w:eastAsia="zh-CN"/>
                    </w:rPr>
                  </w:pPr>
                  <w:r>
                    <w:rPr>
                      <w:rFonts w:hint="eastAsia"/>
                      <w:color w:val="auto"/>
                      <w:lang w:val="en-US" w:eastAsia="zh-CN"/>
                    </w:rPr>
                    <w:t>切割</w:t>
                  </w:r>
                </w:p>
              </w:tc>
              <w:tc>
                <w:tcPr>
                  <w:tcW w:w="278" w:type="pct"/>
                  <w:vAlign w:val="center"/>
                </w:tcPr>
                <w:p w14:paraId="504217D9">
                  <w:pPr>
                    <w:pStyle w:val="50"/>
                    <w:jc w:val="center"/>
                    <w:rPr>
                      <w:rFonts w:hint="eastAsia" w:eastAsia="宋体"/>
                      <w:color w:val="auto"/>
                      <w:lang w:val="en-US" w:eastAsia="zh-CN"/>
                    </w:rPr>
                  </w:pPr>
                  <w:r>
                    <w:rPr>
                      <w:rFonts w:hint="eastAsia"/>
                      <w:color w:val="auto"/>
                      <w:lang w:val="en-US" w:eastAsia="zh-CN"/>
                    </w:rPr>
                    <w:t>固态</w:t>
                  </w:r>
                </w:p>
              </w:tc>
              <w:tc>
                <w:tcPr>
                  <w:tcW w:w="313" w:type="pct"/>
                  <w:shd w:val="clear" w:color="auto" w:fill="auto"/>
                  <w:vAlign w:val="center"/>
                </w:tcPr>
                <w:p w14:paraId="5ACDAF0A">
                  <w:pPr>
                    <w:pStyle w:val="50"/>
                    <w:ind w:firstLine="0" w:firstLineChars="0"/>
                    <w:jc w:val="center"/>
                    <w:rPr>
                      <w:rFonts w:ascii="Times New Roman" w:hAnsi="Times New Roman" w:eastAsia="宋体" w:cs="Times New Roman"/>
                      <w:color w:val="auto"/>
                      <w:kern w:val="2"/>
                      <w:sz w:val="21"/>
                      <w:szCs w:val="24"/>
                      <w:lang w:val="en-US" w:eastAsia="zh-CN" w:bidi="ar-SA"/>
                    </w:rPr>
                  </w:pPr>
                  <w:r>
                    <w:rPr>
                      <w:color w:val="auto"/>
                    </w:rPr>
                    <w:t>矿物油</w:t>
                  </w:r>
                </w:p>
              </w:tc>
              <w:tc>
                <w:tcPr>
                  <w:tcW w:w="365" w:type="pct"/>
                  <w:shd w:val="clear" w:color="auto" w:fill="auto"/>
                  <w:vAlign w:val="center"/>
                </w:tcPr>
                <w:p w14:paraId="45485D55">
                  <w:pPr>
                    <w:pStyle w:val="50"/>
                    <w:ind w:firstLine="0" w:firstLineChars="0"/>
                    <w:jc w:val="center"/>
                    <w:rPr>
                      <w:rFonts w:ascii="Times New Roman" w:hAnsi="Times New Roman" w:eastAsia="宋体" w:cs="Times New Roman"/>
                      <w:color w:val="auto"/>
                      <w:kern w:val="2"/>
                      <w:sz w:val="21"/>
                      <w:szCs w:val="24"/>
                      <w:lang w:val="en-US" w:eastAsia="zh-CN" w:bidi="ar-SA"/>
                    </w:rPr>
                  </w:pPr>
                  <w:r>
                    <w:rPr>
                      <w:color w:val="auto"/>
                    </w:rPr>
                    <w:t>废矿物油</w:t>
                  </w:r>
                </w:p>
              </w:tc>
              <w:tc>
                <w:tcPr>
                  <w:tcW w:w="298" w:type="pct"/>
                  <w:shd w:val="clear" w:color="auto" w:fill="auto"/>
                  <w:vAlign w:val="center"/>
                </w:tcPr>
                <w:p w14:paraId="3BF10FB9">
                  <w:pPr>
                    <w:pStyle w:val="50"/>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每半年</w:t>
                  </w:r>
                </w:p>
              </w:tc>
              <w:tc>
                <w:tcPr>
                  <w:tcW w:w="319" w:type="pct"/>
                  <w:vAlign w:val="center"/>
                </w:tcPr>
                <w:p w14:paraId="22D55F3B">
                  <w:pPr>
                    <w:pStyle w:val="50"/>
                    <w:jc w:val="center"/>
                    <w:rPr>
                      <w:color w:val="auto"/>
                    </w:rPr>
                  </w:pPr>
                  <w:r>
                    <w:rPr>
                      <w:color w:val="auto"/>
                    </w:rPr>
                    <w:t>T，I</w:t>
                  </w:r>
                </w:p>
              </w:tc>
              <w:tc>
                <w:tcPr>
                  <w:tcW w:w="704" w:type="pct"/>
                  <w:vAlign w:val="center"/>
                </w:tcPr>
                <w:p w14:paraId="26C7632D">
                  <w:pPr>
                    <w:pStyle w:val="50"/>
                    <w:jc w:val="center"/>
                    <w:rPr>
                      <w:rFonts w:hint="default" w:eastAsia="宋体"/>
                      <w:color w:val="auto"/>
                      <w:lang w:val="en-US" w:eastAsia="zh-CN"/>
                    </w:rPr>
                  </w:pPr>
                  <w:r>
                    <w:rPr>
                      <w:rFonts w:hint="eastAsia"/>
                      <w:color w:val="auto"/>
                      <w:lang w:val="en-US" w:eastAsia="zh-CN"/>
                    </w:rPr>
                    <w:t>容器</w:t>
                  </w:r>
                  <w:r>
                    <w:rPr>
                      <w:color w:val="auto"/>
                    </w:rPr>
                    <w:t>收集后暂存于危废暂存间内，定期</w:t>
                  </w:r>
                  <w:r>
                    <w:rPr>
                      <w:rFonts w:hint="eastAsia"/>
                      <w:color w:val="auto"/>
                      <w:lang w:val="en-US" w:eastAsia="zh-CN"/>
                    </w:rPr>
                    <w:t>与废机油一同处置</w:t>
                  </w:r>
                </w:p>
              </w:tc>
            </w:tr>
          </w:tbl>
          <w:p w14:paraId="568C6F03">
            <w:pPr>
              <w:ind w:firstLine="480"/>
              <w:rPr>
                <w:rFonts w:cs="Times New Roman"/>
                <w:color w:val="auto"/>
              </w:rPr>
            </w:pPr>
            <w:r>
              <w:rPr>
                <w:rFonts w:cs="Times New Roman"/>
                <w:color w:val="auto"/>
              </w:rPr>
              <w:t>综上所述，本项目产生的固废均合理处置，不外排，对外环境影响较小。</w:t>
            </w:r>
          </w:p>
          <w:p w14:paraId="5A41DF9A">
            <w:pPr>
              <w:ind w:firstLine="482"/>
              <w:rPr>
                <w:rFonts w:cs="Times New Roman"/>
                <w:b/>
                <w:bCs/>
                <w:color w:val="auto"/>
              </w:rPr>
            </w:pPr>
            <w:r>
              <w:rPr>
                <w:rFonts w:cs="Times New Roman"/>
                <w:b/>
                <w:bCs/>
                <w:color w:val="auto"/>
              </w:rPr>
              <w:t>五、环境风险分析</w:t>
            </w:r>
          </w:p>
          <w:p w14:paraId="20FDFD00">
            <w:pPr>
              <w:ind w:firstLine="480"/>
              <w:rPr>
                <w:rFonts w:cs="Times New Roman"/>
                <w:color w:val="auto"/>
              </w:rPr>
            </w:pPr>
            <w:r>
              <w:rPr>
                <w:rFonts w:cs="Times New Roman"/>
                <w:color w:val="auto"/>
              </w:rPr>
              <w:t>根据国家环境保护部环发[2012]77 号文《关于进一步加强环境影响评价管理防范环境风险的通知》的精神，参照《建设项目环境风险评价技术导则》（HJ169-2018）对拟建项目进行风险评价。通过识别项目的潜在危险源，并提出合理可行的防范、应急与减缓措施，以使建设项目事故率、损失和环境影响达到可接受水平。</w:t>
            </w:r>
          </w:p>
          <w:p w14:paraId="604A358C">
            <w:pPr>
              <w:ind w:firstLine="480"/>
              <w:rPr>
                <w:rFonts w:cs="Times New Roman"/>
                <w:color w:val="auto"/>
              </w:rPr>
            </w:pPr>
            <w:r>
              <w:rPr>
                <w:rFonts w:cs="Times New Roman"/>
                <w:color w:val="auto"/>
              </w:rPr>
              <w:t>（1）风险源调查</w:t>
            </w:r>
          </w:p>
          <w:p w14:paraId="30FB8F27">
            <w:pPr>
              <w:ind w:firstLine="480"/>
              <w:rPr>
                <w:rFonts w:cs="Times New Roman"/>
                <w:color w:val="auto"/>
              </w:rPr>
            </w:pPr>
            <w:r>
              <w:rPr>
                <w:rFonts w:cs="Times New Roman"/>
                <w:color w:val="auto"/>
              </w:rPr>
              <w:t>1）风险源</w:t>
            </w:r>
          </w:p>
          <w:p w14:paraId="5F7A3337">
            <w:pPr>
              <w:ind w:firstLine="480"/>
              <w:rPr>
                <w:rFonts w:cs="Times New Roman"/>
                <w:color w:val="auto"/>
              </w:rPr>
            </w:pPr>
            <w:r>
              <w:rPr>
                <w:rFonts w:cs="Times New Roman"/>
                <w:color w:val="auto"/>
              </w:rPr>
              <w:t>根据《建设项目环境风险评价技术导则》（HJ169-2018），风险源调查是分析建设项目物质与工艺系统危险性和环境敏感性，进行风险潜势的判断，确定环境风险评价等级。</w:t>
            </w:r>
          </w:p>
          <w:p w14:paraId="165BF1A1">
            <w:pPr>
              <w:ind w:firstLine="480"/>
              <w:rPr>
                <w:rFonts w:cs="Times New Roman"/>
                <w:color w:val="auto"/>
              </w:rPr>
            </w:pPr>
            <w:r>
              <w:rPr>
                <w:rFonts w:cs="Times New Roman"/>
                <w:color w:val="auto"/>
              </w:rPr>
              <w:t>通过调查本项目生产和存储过程中原材料及辅助材料、燃料、中间产品、副产品、最终产品、污染物等，确定本项目涉及的风险物质为废机油和</w:t>
            </w:r>
            <w:r>
              <w:rPr>
                <w:rFonts w:hint="eastAsia" w:cs="Times New Roman"/>
                <w:color w:val="auto"/>
                <w:lang w:val="en-US" w:eastAsia="zh-CN"/>
              </w:rPr>
              <w:t>废含油抹布</w:t>
            </w:r>
            <w:r>
              <w:rPr>
                <w:rFonts w:cs="Times New Roman"/>
                <w:color w:val="auto"/>
              </w:rPr>
              <w:t>。</w:t>
            </w:r>
          </w:p>
          <w:p w14:paraId="3865FDCB">
            <w:pPr>
              <w:ind w:firstLine="480"/>
              <w:rPr>
                <w:rFonts w:cs="Times New Roman"/>
                <w:color w:val="auto"/>
              </w:rPr>
            </w:pPr>
            <w:r>
              <w:rPr>
                <w:rFonts w:cs="Times New Roman"/>
                <w:color w:val="auto"/>
              </w:rPr>
              <w:t>2）环境敏感目标</w:t>
            </w:r>
          </w:p>
          <w:p w14:paraId="6EFF0C4B">
            <w:pPr>
              <w:ind w:firstLine="480"/>
              <w:rPr>
                <w:rFonts w:cs="Times New Roman"/>
                <w:color w:val="auto"/>
              </w:rPr>
            </w:pPr>
            <w:r>
              <w:rPr>
                <w:rFonts w:cs="Times New Roman"/>
                <w:color w:val="auto"/>
              </w:rPr>
              <w:t>根据调查，厂区及其评价范围内无学校、医院、行政事业单位等敏感目标，无水源保护区、自然保护区、风景名胜区、文物古迹等需要特殊保护的环境敏感目标；亦无铁路，无水库和国家珍稀动植物，主要敏感目标为</w:t>
            </w:r>
            <w:r>
              <w:rPr>
                <w:rFonts w:hint="eastAsia" w:cs="Times New Roman"/>
                <w:color w:val="auto"/>
                <w:lang w:val="en-US" w:eastAsia="zh-CN"/>
              </w:rPr>
              <w:t>东</w:t>
            </w:r>
            <w:r>
              <w:rPr>
                <w:rFonts w:hint="eastAsia" w:cs="Times New Roman"/>
                <w:color w:val="auto"/>
              </w:rPr>
              <w:t>侧的</w:t>
            </w:r>
            <w:r>
              <w:rPr>
                <w:rFonts w:hint="eastAsia" w:cs="Times New Roman"/>
                <w:color w:val="auto"/>
                <w:lang w:val="en-US" w:eastAsia="zh-CN"/>
              </w:rPr>
              <w:t>乌总干渠</w:t>
            </w:r>
            <w:r>
              <w:rPr>
                <w:rFonts w:cs="Times New Roman"/>
                <w:color w:val="auto"/>
              </w:rPr>
              <w:t>。拟建项目用地性质属于工业用地，未涉及农田。</w:t>
            </w:r>
          </w:p>
          <w:p w14:paraId="4797C01F">
            <w:pPr>
              <w:ind w:firstLine="480"/>
              <w:rPr>
                <w:rFonts w:cs="Times New Roman"/>
                <w:color w:val="auto"/>
              </w:rPr>
            </w:pPr>
            <w:r>
              <w:rPr>
                <w:rFonts w:cs="Times New Roman"/>
                <w:color w:val="auto"/>
              </w:rPr>
              <w:t>（2）风险评价等级及评价范围</w:t>
            </w:r>
          </w:p>
          <w:p w14:paraId="5F675E87">
            <w:pPr>
              <w:ind w:firstLine="480"/>
              <w:rPr>
                <w:rFonts w:cs="Times New Roman"/>
                <w:color w:val="auto"/>
              </w:rPr>
            </w:pPr>
            <w:r>
              <w:rPr>
                <w:rFonts w:cs="Times New Roman"/>
                <w:color w:val="auto"/>
              </w:rPr>
              <w:t>1）危险物质数量与临界量比值</w:t>
            </w:r>
          </w:p>
          <w:p w14:paraId="470A5916">
            <w:pPr>
              <w:ind w:firstLine="480"/>
              <w:rPr>
                <w:rFonts w:cs="Times New Roman"/>
                <w:color w:val="auto"/>
              </w:rPr>
            </w:pPr>
            <w:r>
              <w:rPr>
                <w:rFonts w:cs="Times New Roman"/>
                <w:color w:val="auto"/>
              </w:rPr>
              <w:t>根据《建设项目环境风险评价技术导则》（HJ169-2018），计算所涉及的每种危险物质在厂界内的最大存在总量与其在附录 B 中对应临界量的比值Q。不同厂区的同一种物质，按其在厂界内的最大存在总量计算。</w:t>
            </w:r>
          </w:p>
          <w:p w14:paraId="792422AA">
            <w:pPr>
              <w:ind w:firstLine="480"/>
              <w:rPr>
                <w:rFonts w:cs="Times New Roman"/>
                <w:color w:val="auto"/>
              </w:rPr>
            </w:pPr>
            <w:r>
              <w:rPr>
                <w:rFonts w:cs="Times New Roman"/>
                <w:color w:val="auto"/>
              </w:rPr>
              <w:t>当只涉及一种危险物质时，计算该物质的总量与其临界量比值，即为Q；</w:t>
            </w:r>
          </w:p>
          <w:p w14:paraId="0DC7F4DF">
            <w:pPr>
              <w:ind w:firstLine="480"/>
              <w:rPr>
                <w:rFonts w:cs="Times New Roman"/>
                <w:color w:val="auto"/>
              </w:rPr>
            </w:pPr>
            <w:r>
              <w:rPr>
                <w:rFonts w:cs="Times New Roman"/>
                <w:color w:val="auto"/>
              </w:rPr>
              <w:t>当存在多种危险物质时，则按下式计算物质总量与其临界量比值（Q）；</w:t>
            </w:r>
          </w:p>
          <w:p w14:paraId="268E6931">
            <w:pPr>
              <w:ind w:firstLine="480"/>
              <w:jc w:val="center"/>
              <w:rPr>
                <w:rFonts w:cs="Times New Roman"/>
                <w:color w:val="auto"/>
              </w:rPr>
            </w:pPr>
            <w:r>
              <w:rPr>
                <w:rFonts w:cs="Times New Roman"/>
                <w:color w:val="auto"/>
              </w:rPr>
              <w:object>
                <v:shape id="_x0000_i1034" o:spt="75" type="#_x0000_t75" style="height:17.65pt;width:158.95pt;" o:ole="t" filled="f" o:preferrelative="t" stroked="f" coordsize="21600,21600">
                  <v:path/>
                  <v:fill on="f" focussize="0,0"/>
                  <v:stroke on="f" joinstyle="miter"/>
                  <v:imagedata r:id="rId28" o:title=""/>
                  <o:lock v:ext="edit" aspectratio="t"/>
                  <w10:wrap type="none"/>
                  <w10:anchorlock/>
                </v:shape>
                <o:OLEObject Type="Embed" ProgID="Equation.3" ShapeID="_x0000_i1034" DrawAspect="Content" ObjectID="_1468075734" r:id="rId27">
                  <o:LockedField>false</o:LockedField>
                </o:OLEObject>
              </w:object>
            </w:r>
          </w:p>
          <w:p w14:paraId="0F39A509">
            <w:pPr>
              <w:ind w:firstLine="480"/>
              <w:rPr>
                <w:rFonts w:cs="Times New Roman"/>
                <w:color w:val="auto"/>
              </w:rPr>
            </w:pPr>
            <w:r>
              <w:rPr>
                <w:rFonts w:cs="Times New Roman"/>
                <w:color w:val="auto"/>
              </w:rPr>
              <w:t>式中：</w:t>
            </w:r>
          </w:p>
          <w:p w14:paraId="074F94DA">
            <w:pPr>
              <w:ind w:firstLine="480"/>
              <w:rPr>
                <w:rFonts w:cs="Times New Roman"/>
                <w:color w:val="auto"/>
              </w:rPr>
            </w:pPr>
            <w:r>
              <w:rPr>
                <w:rFonts w:cs="Times New Roman"/>
                <w:color w:val="auto"/>
              </w:rPr>
              <w:object>
                <v:shape id="_x0000_i1035" o:spt="75" type="#_x0000_t75" style="height:17.65pt;width:74.05pt;" o:ole="t" filled="f" o:preferrelative="t" stroked="f" coordsize="21600,21600">
                  <v:path/>
                  <v:fill on="f" focussize="0,0"/>
                  <v:stroke on="f" joinstyle="miter"/>
                  <v:imagedata r:id="rId30" o:title=""/>
                  <o:lock v:ext="edit" aspectratio="t"/>
                  <w10:wrap type="none"/>
                  <w10:anchorlock/>
                </v:shape>
                <o:OLEObject Type="Embed" ProgID="Equation.3" ShapeID="_x0000_i1035" DrawAspect="Content" ObjectID="_1468075735" r:id="rId29">
                  <o:LockedField>false</o:LockedField>
                </o:OLEObject>
              </w:object>
            </w:r>
            <w:r>
              <w:rPr>
                <w:rFonts w:cs="Times New Roman"/>
                <w:color w:val="auto"/>
              </w:rPr>
              <w:t>——每种危险物质的最大存在总量，t;</w:t>
            </w:r>
          </w:p>
          <w:p w14:paraId="6B681727">
            <w:pPr>
              <w:ind w:firstLine="480"/>
              <w:rPr>
                <w:rFonts w:cs="Times New Roman"/>
                <w:color w:val="auto"/>
              </w:rPr>
            </w:pPr>
            <w:r>
              <w:rPr>
                <w:rFonts w:cs="Times New Roman"/>
                <w:color w:val="auto"/>
              </w:rPr>
              <w:object>
                <v:shape id="_x0000_i1036" o:spt="75" type="#_x0000_t75" style="height:17.65pt;width:74.05pt;" o:ole="t" filled="f" o:preferrelative="t" stroked="f" coordsize="21600,21600">
                  <v:path/>
                  <v:fill on="f" focussize="0,0"/>
                  <v:stroke on="f" joinstyle="miter"/>
                  <v:imagedata r:id="rId30" o:title=""/>
                  <o:lock v:ext="edit" aspectratio="t"/>
                  <w10:wrap type="none"/>
                  <w10:anchorlock/>
                </v:shape>
                <o:OLEObject Type="Embed" ProgID="Equation.3" ShapeID="_x0000_i1036" DrawAspect="Content" ObjectID="_1468075736" r:id="rId31">
                  <o:LockedField>false</o:LockedField>
                </o:OLEObject>
              </w:object>
            </w:r>
            <w:r>
              <w:rPr>
                <w:rFonts w:cs="Times New Roman"/>
                <w:color w:val="auto"/>
              </w:rPr>
              <w:t>——每种危险物质的临界量，t；</w:t>
            </w:r>
          </w:p>
          <w:p w14:paraId="7FE1321E">
            <w:pPr>
              <w:ind w:firstLine="480"/>
              <w:rPr>
                <w:rFonts w:cs="Times New Roman"/>
                <w:color w:val="auto"/>
              </w:rPr>
            </w:pPr>
            <w:r>
              <w:rPr>
                <w:rFonts w:cs="Times New Roman"/>
                <w:color w:val="auto"/>
              </w:rPr>
              <w:t>当Q＜1时，该项目环境风险潜势为Ⅰ。</w:t>
            </w:r>
          </w:p>
          <w:p w14:paraId="21116D4B">
            <w:pPr>
              <w:ind w:firstLine="480"/>
              <w:rPr>
                <w:rFonts w:cs="Times New Roman"/>
                <w:color w:val="auto"/>
              </w:rPr>
            </w:pPr>
            <w:r>
              <w:rPr>
                <w:rFonts w:cs="Times New Roman"/>
                <w:color w:val="auto"/>
              </w:rPr>
              <w:t>当Q≥1时，将Q值划分为：（1）1≤Q＜10；（2）10≤Q＜100；（3）Q≥100。</w:t>
            </w:r>
            <w:r>
              <w:rPr>
                <w:rFonts w:hint="eastAsia" w:cs="Times New Roman"/>
                <w:color w:val="auto"/>
              </w:rPr>
              <w:t>、</w:t>
            </w:r>
          </w:p>
          <w:p w14:paraId="0DA5D50A">
            <w:pPr>
              <w:ind w:firstLine="480"/>
              <w:rPr>
                <w:rFonts w:cs="Times New Roman"/>
                <w:color w:val="auto"/>
              </w:rPr>
            </w:pPr>
            <w:r>
              <w:rPr>
                <w:rFonts w:cs="Times New Roman"/>
                <w:color w:val="auto"/>
              </w:rPr>
              <w:t>根据《建设项目环境风险评价技术导则》（HJ 169-2018）表B.1&lt;突发环境事件风险物质及临界量&gt;，本项目风险物质为废机油，废机油设计最大储存量为1.2t。</w:t>
            </w:r>
          </w:p>
          <w:p w14:paraId="2074E36C">
            <w:pPr>
              <w:pStyle w:val="36"/>
              <w:rPr>
                <w:rFonts w:cs="Times New Roman"/>
                <w:color w:val="auto"/>
              </w:rPr>
            </w:pPr>
            <w:r>
              <w:rPr>
                <w:rFonts w:cs="Times New Roman"/>
                <w:color w:val="auto"/>
              </w:rPr>
              <w:t>表4-16  风险物质情况表</w:t>
            </w:r>
          </w:p>
          <w:tbl>
            <w:tblPr>
              <w:tblStyle w:val="2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505"/>
              <w:gridCol w:w="1256"/>
              <w:gridCol w:w="1261"/>
              <w:gridCol w:w="1255"/>
              <w:gridCol w:w="1255"/>
            </w:tblGrid>
            <w:tr w14:paraId="09CD45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5" w:type="pct"/>
                  <w:vAlign w:val="center"/>
                </w:tcPr>
                <w:p w14:paraId="53B39083">
                  <w:pPr>
                    <w:pStyle w:val="50"/>
                    <w:jc w:val="center"/>
                    <w:rPr>
                      <w:b/>
                      <w:bCs/>
                      <w:color w:val="auto"/>
                    </w:rPr>
                  </w:pPr>
                  <w:r>
                    <w:rPr>
                      <w:b/>
                      <w:bCs/>
                      <w:color w:val="auto"/>
                    </w:rPr>
                    <w:t>序号</w:t>
                  </w:r>
                </w:p>
              </w:tc>
              <w:tc>
                <w:tcPr>
                  <w:tcW w:w="998" w:type="pct"/>
                  <w:vAlign w:val="center"/>
                </w:tcPr>
                <w:p w14:paraId="72667875">
                  <w:pPr>
                    <w:pStyle w:val="50"/>
                    <w:jc w:val="center"/>
                    <w:rPr>
                      <w:b/>
                      <w:bCs/>
                      <w:color w:val="auto"/>
                    </w:rPr>
                  </w:pPr>
                  <w:r>
                    <w:rPr>
                      <w:b/>
                      <w:bCs/>
                      <w:color w:val="auto"/>
                    </w:rPr>
                    <w:t>名称</w:t>
                  </w:r>
                </w:p>
              </w:tc>
              <w:tc>
                <w:tcPr>
                  <w:tcW w:w="833" w:type="pct"/>
                  <w:vAlign w:val="center"/>
                </w:tcPr>
                <w:p w14:paraId="7AD659CE">
                  <w:pPr>
                    <w:pStyle w:val="50"/>
                    <w:jc w:val="center"/>
                    <w:rPr>
                      <w:b/>
                      <w:bCs/>
                      <w:color w:val="auto"/>
                    </w:rPr>
                  </w:pPr>
                  <w:r>
                    <w:rPr>
                      <w:b/>
                      <w:bCs/>
                      <w:color w:val="auto"/>
                    </w:rPr>
                    <w:t>最大储存量</w:t>
                  </w:r>
                </w:p>
              </w:tc>
              <w:tc>
                <w:tcPr>
                  <w:tcW w:w="835" w:type="pct"/>
                  <w:vAlign w:val="center"/>
                </w:tcPr>
                <w:p w14:paraId="541D596A">
                  <w:pPr>
                    <w:pStyle w:val="50"/>
                    <w:jc w:val="center"/>
                    <w:rPr>
                      <w:b/>
                      <w:bCs/>
                      <w:color w:val="auto"/>
                    </w:rPr>
                  </w:pPr>
                  <w:r>
                    <w:rPr>
                      <w:b/>
                      <w:bCs/>
                      <w:color w:val="auto"/>
                    </w:rPr>
                    <w:t>临界量</w:t>
                  </w:r>
                </w:p>
              </w:tc>
              <w:tc>
                <w:tcPr>
                  <w:tcW w:w="833" w:type="pct"/>
                  <w:vAlign w:val="center"/>
                </w:tcPr>
                <w:p w14:paraId="5D955E90">
                  <w:pPr>
                    <w:pStyle w:val="50"/>
                    <w:jc w:val="center"/>
                    <w:rPr>
                      <w:b/>
                      <w:bCs/>
                      <w:color w:val="auto"/>
                    </w:rPr>
                  </w:pPr>
                  <w:r>
                    <w:rPr>
                      <w:b/>
                      <w:bCs/>
                      <w:color w:val="auto"/>
                    </w:rPr>
                    <w:t>Q</w:t>
                  </w:r>
                </w:p>
              </w:tc>
              <w:tc>
                <w:tcPr>
                  <w:tcW w:w="833" w:type="pct"/>
                  <w:vAlign w:val="center"/>
                </w:tcPr>
                <w:p w14:paraId="6DF9B4D1">
                  <w:pPr>
                    <w:pStyle w:val="50"/>
                    <w:jc w:val="center"/>
                    <w:rPr>
                      <w:b/>
                      <w:bCs/>
                      <w:color w:val="auto"/>
                    </w:rPr>
                  </w:pPr>
                  <w:r>
                    <w:rPr>
                      <w:b/>
                      <w:bCs/>
                      <w:color w:val="auto"/>
                    </w:rPr>
                    <w:t>备注</w:t>
                  </w:r>
                </w:p>
              </w:tc>
            </w:tr>
            <w:tr w14:paraId="680621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5" w:type="pct"/>
                  <w:vAlign w:val="center"/>
                </w:tcPr>
                <w:p w14:paraId="35D6F627">
                  <w:pPr>
                    <w:pStyle w:val="50"/>
                    <w:jc w:val="center"/>
                    <w:rPr>
                      <w:color w:val="auto"/>
                    </w:rPr>
                  </w:pPr>
                  <w:r>
                    <w:rPr>
                      <w:color w:val="auto"/>
                    </w:rPr>
                    <w:t>1</w:t>
                  </w:r>
                </w:p>
              </w:tc>
              <w:tc>
                <w:tcPr>
                  <w:tcW w:w="998" w:type="pct"/>
                  <w:vAlign w:val="center"/>
                </w:tcPr>
                <w:p w14:paraId="2CA4DF8B">
                  <w:pPr>
                    <w:pStyle w:val="50"/>
                    <w:jc w:val="center"/>
                    <w:rPr>
                      <w:color w:val="auto"/>
                    </w:rPr>
                  </w:pPr>
                  <w:r>
                    <w:rPr>
                      <w:color w:val="auto"/>
                    </w:rPr>
                    <w:t>废机油</w:t>
                  </w:r>
                </w:p>
              </w:tc>
              <w:tc>
                <w:tcPr>
                  <w:tcW w:w="833" w:type="pct"/>
                  <w:vAlign w:val="center"/>
                </w:tcPr>
                <w:p w14:paraId="0449ED1D">
                  <w:pPr>
                    <w:pStyle w:val="50"/>
                    <w:jc w:val="center"/>
                    <w:rPr>
                      <w:color w:val="auto"/>
                    </w:rPr>
                  </w:pPr>
                  <w:r>
                    <w:rPr>
                      <w:color w:val="auto"/>
                    </w:rPr>
                    <w:t>1.2t</w:t>
                  </w:r>
                </w:p>
              </w:tc>
              <w:tc>
                <w:tcPr>
                  <w:tcW w:w="835" w:type="pct"/>
                  <w:vAlign w:val="center"/>
                </w:tcPr>
                <w:p w14:paraId="6D627FFA">
                  <w:pPr>
                    <w:pStyle w:val="50"/>
                    <w:jc w:val="center"/>
                    <w:rPr>
                      <w:color w:val="auto"/>
                    </w:rPr>
                  </w:pPr>
                  <w:r>
                    <w:rPr>
                      <w:color w:val="auto"/>
                    </w:rPr>
                    <w:t>2500t</w:t>
                  </w:r>
                </w:p>
              </w:tc>
              <w:tc>
                <w:tcPr>
                  <w:tcW w:w="833" w:type="pct"/>
                  <w:vAlign w:val="center"/>
                </w:tcPr>
                <w:p w14:paraId="548863E3">
                  <w:pPr>
                    <w:pStyle w:val="50"/>
                    <w:jc w:val="center"/>
                    <w:rPr>
                      <w:color w:val="auto"/>
                    </w:rPr>
                  </w:pPr>
                  <w:r>
                    <w:rPr>
                      <w:color w:val="auto"/>
                    </w:rPr>
                    <w:t>0.00048</w:t>
                  </w:r>
                </w:p>
              </w:tc>
              <w:tc>
                <w:tcPr>
                  <w:tcW w:w="833" w:type="pct"/>
                  <w:vAlign w:val="center"/>
                </w:tcPr>
                <w:p w14:paraId="21CDE067">
                  <w:pPr>
                    <w:pStyle w:val="50"/>
                    <w:jc w:val="center"/>
                    <w:rPr>
                      <w:color w:val="auto"/>
                    </w:rPr>
                  </w:pPr>
                  <w:r>
                    <w:rPr>
                      <w:color w:val="auto"/>
                    </w:rPr>
                    <w:t>/</w:t>
                  </w:r>
                </w:p>
              </w:tc>
            </w:tr>
            <w:tr w14:paraId="2CB42F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33" w:type="pct"/>
                  <w:gridSpan w:val="4"/>
                  <w:vAlign w:val="center"/>
                </w:tcPr>
                <w:p w14:paraId="49CA6F60">
                  <w:pPr>
                    <w:pStyle w:val="50"/>
                    <w:jc w:val="center"/>
                    <w:rPr>
                      <w:color w:val="auto"/>
                    </w:rPr>
                  </w:pPr>
                  <w:r>
                    <w:rPr>
                      <w:color w:val="auto"/>
                    </w:rPr>
                    <w:t>合计</w:t>
                  </w:r>
                </w:p>
              </w:tc>
              <w:tc>
                <w:tcPr>
                  <w:tcW w:w="833" w:type="pct"/>
                  <w:vAlign w:val="center"/>
                </w:tcPr>
                <w:p w14:paraId="21EBFEAB">
                  <w:pPr>
                    <w:pStyle w:val="50"/>
                    <w:jc w:val="center"/>
                    <w:rPr>
                      <w:color w:val="auto"/>
                    </w:rPr>
                  </w:pPr>
                  <w:r>
                    <w:rPr>
                      <w:color w:val="auto"/>
                    </w:rPr>
                    <w:t>0.</w:t>
                  </w:r>
                  <w:r>
                    <w:rPr>
                      <w:rFonts w:hint="eastAsia"/>
                      <w:color w:val="auto"/>
                    </w:rPr>
                    <w:t>00048</w:t>
                  </w:r>
                </w:p>
              </w:tc>
              <w:tc>
                <w:tcPr>
                  <w:tcW w:w="833" w:type="pct"/>
                  <w:vAlign w:val="center"/>
                </w:tcPr>
                <w:p w14:paraId="65D73F15">
                  <w:pPr>
                    <w:pStyle w:val="50"/>
                    <w:jc w:val="center"/>
                    <w:rPr>
                      <w:color w:val="auto"/>
                    </w:rPr>
                  </w:pPr>
                  <w:r>
                    <w:rPr>
                      <w:color w:val="auto"/>
                    </w:rPr>
                    <w:t>/</w:t>
                  </w:r>
                </w:p>
              </w:tc>
            </w:tr>
          </w:tbl>
          <w:p w14:paraId="07CA0D5E">
            <w:pPr>
              <w:ind w:firstLine="480"/>
              <w:rPr>
                <w:rFonts w:cs="Times New Roman"/>
                <w:color w:val="auto"/>
              </w:rPr>
            </w:pPr>
            <w:r>
              <w:rPr>
                <w:rFonts w:cs="Times New Roman"/>
                <w:color w:val="auto"/>
              </w:rPr>
              <w:t>由上表可知，Q=0.</w:t>
            </w:r>
            <w:r>
              <w:rPr>
                <w:rFonts w:hint="eastAsia" w:cs="Times New Roman"/>
                <w:color w:val="auto"/>
              </w:rPr>
              <w:t>0004</w:t>
            </w:r>
            <w:r>
              <w:rPr>
                <w:rFonts w:cs="Times New Roman"/>
                <w:color w:val="auto"/>
              </w:rPr>
              <w:t>8，确定Q&lt;1，确定该项目环境风险潜势为Ⅰ。</w:t>
            </w:r>
          </w:p>
          <w:p w14:paraId="38C9CCF8">
            <w:pPr>
              <w:ind w:firstLine="480"/>
              <w:rPr>
                <w:rFonts w:cs="Times New Roman"/>
                <w:color w:val="auto"/>
              </w:rPr>
            </w:pPr>
            <w:r>
              <w:rPr>
                <w:rFonts w:cs="Times New Roman"/>
                <w:color w:val="auto"/>
              </w:rPr>
              <w:t>2）评价等级</w:t>
            </w:r>
          </w:p>
          <w:p w14:paraId="46B4A822">
            <w:pPr>
              <w:ind w:firstLine="480"/>
              <w:rPr>
                <w:rFonts w:cs="Times New Roman"/>
                <w:color w:val="auto"/>
              </w:rPr>
            </w:pPr>
            <w:r>
              <w:rPr>
                <w:rFonts w:cs="Times New Roman"/>
                <w:color w:val="auto"/>
              </w:rPr>
              <w:t>按照《建设项目环境风险评价技术导则》（HJ169-2018）中所规定的判定原则，本环境风险评价工作等级按下表进行确定。</w:t>
            </w:r>
          </w:p>
          <w:p w14:paraId="75D9F029">
            <w:pPr>
              <w:pStyle w:val="36"/>
              <w:rPr>
                <w:rFonts w:cs="Times New Roman"/>
                <w:color w:val="auto"/>
              </w:rPr>
            </w:pPr>
            <w:r>
              <w:rPr>
                <w:rFonts w:cs="Times New Roman"/>
                <w:color w:val="auto"/>
              </w:rPr>
              <w:t>表4-17  环境风险评价工作等级划分判断</w:t>
            </w:r>
          </w:p>
          <w:tbl>
            <w:tblPr>
              <w:tblStyle w:val="27"/>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516"/>
              <w:gridCol w:w="1505"/>
              <w:gridCol w:w="1504"/>
              <w:gridCol w:w="1507"/>
            </w:tblGrid>
            <w:tr w14:paraId="787C28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7" w:type="pct"/>
                  <w:vAlign w:val="center"/>
                </w:tcPr>
                <w:p w14:paraId="778AEFAF">
                  <w:pPr>
                    <w:pStyle w:val="50"/>
                    <w:jc w:val="center"/>
                    <w:rPr>
                      <w:b/>
                      <w:bCs/>
                      <w:color w:val="auto"/>
                    </w:rPr>
                  </w:pPr>
                  <w:r>
                    <w:rPr>
                      <w:b/>
                      <w:bCs/>
                      <w:color w:val="auto"/>
                    </w:rPr>
                    <w:t>环境风险潜势</w:t>
                  </w:r>
                </w:p>
              </w:tc>
              <w:tc>
                <w:tcPr>
                  <w:tcW w:w="1006" w:type="pct"/>
                  <w:vAlign w:val="center"/>
                </w:tcPr>
                <w:p w14:paraId="18657FB6">
                  <w:pPr>
                    <w:pStyle w:val="50"/>
                    <w:jc w:val="center"/>
                    <w:rPr>
                      <w:b/>
                      <w:bCs/>
                      <w:color w:val="auto"/>
                    </w:rPr>
                  </w:pPr>
                  <w:r>
                    <w:rPr>
                      <w:b/>
                      <w:bCs/>
                      <w:color w:val="auto"/>
                    </w:rPr>
                    <w:t>VI、VI+</w:t>
                  </w:r>
                </w:p>
              </w:tc>
              <w:tc>
                <w:tcPr>
                  <w:tcW w:w="999" w:type="pct"/>
                  <w:vAlign w:val="center"/>
                </w:tcPr>
                <w:p w14:paraId="70F15279">
                  <w:pPr>
                    <w:pStyle w:val="50"/>
                    <w:jc w:val="center"/>
                    <w:rPr>
                      <w:b/>
                      <w:bCs/>
                      <w:color w:val="auto"/>
                    </w:rPr>
                  </w:pPr>
                  <w:r>
                    <w:rPr>
                      <w:b/>
                      <w:bCs/>
                      <w:color w:val="auto"/>
                    </w:rPr>
                    <w:t>III</w:t>
                  </w:r>
                </w:p>
              </w:tc>
              <w:tc>
                <w:tcPr>
                  <w:tcW w:w="998" w:type="pct"/>
                  <w:vAlign w:val="center"/>
                </w:tcPr>
                <w:p w14:paraId="2B908589">
                  <w:pPr>
                    <w:pStyle w:val="50"/>
                    <w:jc w:val="center"/>
                    <w:rPr>
                      <w:b/>
                      <w:bCs/>
                      <w:color w:val="auto"/>
                    </w:rPr>
                  </w:pPr>
                  <w:r>
                    <w:rPr>
                      <w:b/>
                      <w:bCs/>
                      <w:color w:val="auto"/>
                    </w:rPr>
                    <w:t>II</w:t>
                  </w:r>
                </w:p>
              </w:tc>
              <w:tc>
                <w:tcPr>
                  <w:tcW w:w="998" w:type="pct"/>
                  <w:vAlign w:val="center"/>
                </w:tcPr>
                <w:p w14:paraId="2D79607D">
                  <w:pPr>
                    <w:pStyle w:val="50"/>
                    <w:jc w:val="center"/>
                    <w:rPr>
                      <w:b/>
                      <w:bCs/>
                      <w:color w:val="auto"/>
                    </w:rPr>
                  </w:pPr>
                  <w:r>
                    <w:rPr>
                      <w:b/>
                      <w:bCs/>
                      <w:color w:val="auto"/>
                    </w:rPr>
                    <w:t>I</w:t>
                  </w:r>
                </w:p>
              </w:tc>
            </w:tr>
            <w:tr w14:paraId="3F0EF2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7" w:type="pct"/>
                  <w:vAlign w:val="center"/>
                </w:tcPr>
                <w:p w14:paraId="24BE9F9F">
                  <w:pPr>
                    <w:pStyle w:val="50"/>
                    <w:jc w:val="center"/>
                    <w:rPr>
                      <w:color w:val="auto"/>
                    </w:rPr>
                  </w:pPr>
                  <w:r>
                    <w:rPr>
                      <w:color w:val="auto"/>
                    </w:rPr>
                    <w:t>评价工作等级</w:t>
                  </w:r>
                </w:p>
              </w:tc>
              <w:tc>
                <w:tcPr>
                  <w:tcW w:w="1006" w:type="pct"/>
                  <w:vAlign w:val="center"/>
                </w:tcPr>
                <w:p w14:paraId="77A17C05">
                  <w:pPr>
                    <w:pStyle w:val="50"/>
                    <w:jc w:val="center"/>
                    <w:rPr>
                      <w:color w:val="auto"/>
                    </w:rPr>
                  </w:pPr>
                  <w:r>
                    <w:rPr>
                      <w:color w:val="auto"/>
                    </w:rPr>
                    <w:t>一</w:t>
                  </w:r>
                </w:p>
              </w:tc>
              <w:tc>
                <w:tcPr>
                  <w:tcW w:w="999" w:type="pct"/>
                  <w:vAlign w:val="center"/>
                </w:tcPr>
                <w:p w14:paraId="3C30B031">
                  <w:pPr>
                    <w:pStyle w:val="50"/>
                    <w:jc w:val="center"/>
                    <w:rPr>
                      <w:color w:val="auto"/>
                    </w:rPr>
                  </w:pPr>
                  <w:r>
                    <w:rPr>
                      <w:color w:val="auto"/>
                    </w:rPr>
                    <w:t>二</w:t>
                  </w:r>
                </w:p>
              </w:tc>
              <w:tc>
                <w:tcPr>
                  <w:tcW w:w="998" w:type="pct"/>
                  <w:vAlign w:val="center"/>
                </w:tcPr>
                <w:p w14:paraId="1A30FA8D">
                  <w:pPr>
                    <w:pStyle w:val="50"/>
                    <w:jc w:val="center"/>
                    <w:rPr>
                      <w:color w:val="auto"/>
                    </w:rPr>
                  </w:pPr>
                  <w:r>
                    <w:rPr>
                      <w:color w:val="auto"/>
                    </w:rPr>
                    <w:t>三</w:t>
                  </w:r>
                </w:p>
              </w:tc>
              <w:tc>
                <w:tcPr>
                  <w:tcW w:w="998" w:type="pct"/>
                  <w:vAlign w:val="center"/>
                </w:tcPr>
                <w:p w14:paraId="3BA96BF1">
                  <w:pPr>
                    <w:pStyle w:val="50"/>
                    <w:jc w:val="center"/>
                    <w:rPr>
                      <w:color w:val="auto"/>
                    </w:rPr>
                  </w:pPr>
                  <w:r>
                    <w:rPr>
                      <w:color w:val="auto"/>
                    </w:rPr>
                    <w:t>简单分析a</w:t>
                  </w:r>
                </w:p>
              </w:tc>
            </w:tr>
            <w:tr w14:paraId="162364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564D7B9E">
                  <w:pPr>
                    <w:pStyle w:val="50"/>
                    <w:jc w:val="center"/>
                    <w:rPr>
                      <w:color w:val="auto"/>
                    </w:rPr>
                  </w:pPr>
                  <w:r>
                    <w:rPr>
                      <w:color w:val="auto"/>
                    </w:rPr>
                    <w:t>a是相对于详细评价工作内容而言，在描述危险物质、环境影响途径、环境危害后果、环境风险防范措施等方面给出定性的说明。见附录A</w:t>
                  </w:r>
                </w:p>
              </w:tc>
            </w:tr>
          </w:tbl>
          <w:p w14:paraId="13F94EC9">
            <w:pPr>
              <w:ind w:firstLine="480"/>
              <w:rPr>
                <w:rFonts w:cs="Times New Roman"/>
                <w:color w:val="auto"/>
              </w:rPr>
            </w:pPr>
            <w:r>
              <w:rPr>
                <w:rFonts w:cs="Times New Roman"/>
                <w:color w:val="auto"/>
              </w:rPr>
              <w:t>本项目环境风险潜势为Ⅰ，根据上表划分环境风险评价工作等级为简单分析，不设评价范围，简单分析在描述危险物质、环境影响途径、环境危害后果、环境风险防范措施等方面给出定性的说明。</w:t>
            </w:r>
          </w:p>
          <w:p w14:paraId="1D77D4DE">
            <w:pPr>
              <w:ind w:firstLine="480"/>
              <w:rPr>
                <w:rFonts w:cs="Times New Roman"/>
                <w:color w:val="auto"/>
              </w:rPr>
            </w:pPr>
            <w:r>
              <w:rPr>
                <w:rFonts w:cs="Times New Roman"/>
                <w:color w:val="auto"/>
              </w:rPr>
              <w:t>（3）风险识别</w:t>
            </w:r>
          </w:p>
          <w:p w14:paraId="2FFFB2F0">
            <w:pPr>
              <w:ind w:firstLine="480"/>
              <w:rPr>
                <w:rFonts w:cs="Times New Roman"/>
                <w:color w:val="auto"/>
              </w:rPr>
            </w:pPr>
            <w:r>
              <w:rPr>
                <w:rFonts w:cs="Times New Roman"/>
                <w:color w:val="auto"/>
              </w:rPr>
              <w:t>1）风险物质识别</w:t>
            </w:r>
          </w:p>
          <w:p w14:paraId="5BBEE08D">
            <w:pPr>
              <w:ind w:firstLine="480"/>
              <w:rPr>
                <w:rFonts w:cs="Times New Roman"/>
                <w:color w:val="auto"/>
              </w:rPr>
            </w:pPr>
            <w:r>
              <w:rPr>
                <w:rFonts w:cs="Times New Roman"/>
                <w:color w:val="auto"/>
              </w:rPr>
              <w:t>根据《建设项目环境风险评价技术导则》（HJ169—2018）附录B，本项目涉及的危险物质有毒有害毒理特性见下表。</w:t>
            </w:r>
          </w:p>
          <w:p w14:paraId="1E7996FD">
            <w:pPr>
              <w:pStyle w:val="36"/>
              <w:rPr>
                <w:rFonts w:cs="Times New Roman"/>
                <w:color w:val="auto"/>
              </w:rPr>
            </w:pPr>
            <w:r>
              <w:rPr>
                <w:rFonts w:cs="Times New Roman"/>
                <w:color w:val="auto"/>
              </w:rPr>
              <w:t>表4-18  废机油的主要理化和危险特性</w:t>
            </w:r>
          </w:p>
          <w:tbl>
            <w:tblPr>
              <w:tblStyle w:val="2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1384"/>
              <w:gridCol w:w="499"/>
              <w:gridCol w:w="666"/>
              <w:gridCol w:w="1217"/>
              <w:gridCol w:w="1891"/>
            </w:tblGrid>
            <w:tr w14:paraId="7AD22A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7" w:type="pct"/>
                  <w:vAlign w:val="center"/>
                </w:tcPr>
                <w:p w14:paraId="6BEC0DE3">
                  <w:pPr>
                    <w:pStyle w:val="50"/>
                    <w:rPr>
                      <w:color w:val="auto"/>
                    </w:rPr>
                  </w:pPr>
                  <w:r>
                    <w:rPr>
                      <w:color w:val="auto"/>
                    </w:rPr>
                    <w:t>中文名称</w:t>
                  </w:r>
                </w:p>
              </w:tc>
              <w:tc>
                <w:tcPr>
                  <w:tcW w:w="1249" w:type="pct"/>
                  <w:gridSpan w:val="2"/>
                  <w:vAlign w:val="center"/>
                </w:tcPr>
                <w:p w14:paraId="49C029B6">
                  <w:pPr>
                    <w:pStyle w:val="50"/>
                    <w:rPr>
                      <w:color w:val="auto"/>
                    </w:rPr>
                  </w:pPr>
                  <w:r>
                    <w:rPr>
                      <w:color w:val="auto"/>
                    </w:rPr>
                    <w:t>机油；润滑油</w:t>
                  </w:r>
                </w:p>
              </w:tc>
              <w:tc>
                <w:tcPr>
                  <w:tcW w:w="1249" w:type="pct"/>
                  <w:gridSpan w:val="2"/>
                  <w:vAlign w:val="center"/>
                </w:tcPr>
                <w:p w14:paraId="4F7CE543">
                  <w:pPr>
                    <w:pStyle w:val="50"/>
                    <w:rPr>
                      <w:color w:val="auto"/>
                    </w:rPr>
                  </w:pPr>
                  <w:r>
                    <w:rPr>
                      <w:color w:val="auto"/>
                    </w:rPr>
                    <w:t>CAS号</w:t>
                  </w:r>
                </w:p>
              </w:tc>
              <w:tc>
                <w:tcPr>
                  <w:tcW w:w="1253" w:type="pct"/>
                  <w:vAlign w:val="center"/>
                </w:tcPr>
                <w:p w14:paraId="76A5A3BD">
                  <w:pPr>
                    <w:pStyle w:val="50"/>
                    <w:rPr>
                      <w:color w:val="auto"/>
                    </w:rPr>
                  </w:pPr>
                  <w:r>
                    <w:rPr>
                      <w:color w:val="auto"/>
                    </w:rPr>
                    <w:t>/</w:t>
                  </w:r>
                </w:p>
              </w:tc>
            </w:tr>
            <w:tr w14:paraId="45F776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7" w:type="pct"/>
                  <w:vAlign w:val="center"/>
                </w:tcPr>
                <w:p w14:paraId="06BC0740">
                  <w:pPr>
                    <w:pStyle w:val="50"/>
                    <w:rPr>
                      <w:color w:val="auto"/>
                    </w:rPr>
                  </w:pPr>
                  <w:r>
                    <w:rPr>
                      <w:color w:val="auto"/>
                    </w:rPr>
                    <w:t>英文名称</w:t>
                  </w:r>
                </w:p>
              </w:tc>
              <w:tc>
                <w:tcPr>
                  <w:tcW w:w="3752" w:type="pct"/>
                  <w:gridSpan w:val="5"/>
                  <w:vAlign w:val="center"/>
                </w:tcPr>
                <w:p w14:paraId="46462A1C">
                  <w:pPr>
                    <w:pStyle w:val="50"/>
                    <w:rPr>
                      <w:color w:val="auto"/>
                    </w:rPr>
                  </w:pPr>
                  <w:r>
                    <w:rPr>
                      <w:color w:val="auto"/>
                    </w:rPr>
                    <w:t>Lubricating oil；Lube oil</w:t>
                  </w:r>
                </w:p>
              </w:tc>
            </w:tr>
            <w:tr w14:paraId="1A1A1F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7" w:type="pct"/>
                  <w:vAlign w:val="center"/>
                </w:tcPr>
                <w:p w14:paraId="659CAFEF">
                  <w:pPr>
                    <w:pStyle w:val="50"/>
                    <w:rPr>
                      <w:color w:val="auto"/>
                    </w:rPr>
                  </w:pPr>
                  <w:r>
                    <w:rPr>
                      <w:color w:val="auto"/>
                    </w:rPr>
                    <w:t>分子式</w:t>
                  </w:r>
                </w:p>
              </w:tc>
              <w:tc>
                <w:tcPr>
                  <w:tcW w:w="1249" w:type="pct"/>
                  <w:gridSpan w:val="2"/>
                  <w:vAlign w:val="center"/>
                </w:tcPr>
                <w:p w14:paraId="53A80C03">
                  <w:pPr>
                    <w:pStyle w:val="50"/>
                    <w:rPr>
                      <w:color w:val="auto"/>
                    </w:rPr>
                  </w:pPr>
                  <w:r>
                    <w:rPr>
                      <w:color w:val="auto"/>
                    </w:rPr>
                    <w:t>/</w:t>
                  </w:r>
                </w:p>
              </w:tc>
              <w:tc>
                <w:tcPr>
                  <w:tcW w:w="1249" w:type="pct"/>
                  <w:gridSpan w:val="2"/>
                  <w:vAlign w:val="center"/>
                </w:tcPr>
                <w:p w14:paraId="53A60A4C">
                  <w:pPr>
                    <w:pStyle w:val="50"/>
                    <w:rPr>
                      <w:color w:val="auto"/>
                    </w:rPr>
                  </w:pPr>
                  <w:r>
                    <w:rPr>
                      <w:color w:val="auto"/>
                    </w:rPr>
                    <w:t>外观与性状</w:t>
                  </w:r>
                </w:p>
              </w:tc>
              <w:tc>
                <w:tcPr>
                  <w:tcW w:w="1253" w:type="pct"/>
                  <w:vAlign w:val="center"/>
                </w:tcPr>
                <w:p w14:paraId="0FBED3F7">
                  <w:pPr>
                    <w:pStyle w:val="50"/>
                    <w:rPr>
                      <w:color w:val="auto"/>
                    </w:rPr>
                  </w:pPr>
                  <w:r>
                    <w:rPr>
                      <w:color w:val="auto"/>
                    </w:rPr>
                    <w:t>油状液体，淡黄色至褐色，无气味或略带异味</w:t>
                  </w:r>
                </w:p>
              </w:tc>
            </w:tr>
            <w:tr w14:paraId="5D83D7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7" w:type="pct"/>
                  <w:vAlign w:val="center"/>
                </w:tcPr>
                <w:p w14:paraId="0C4E2B02">
                  <w:pPr>
                    <w:pStyle w:val="50"/>
                    <w:rPr>
                      <w:color w:val="auto"/>
                    </w:rPr>
                  </w:pPr>
                  <w:r>
                    <w:rPr>
                      <w:color w:val="auto"/>
                    </w:rPr>
                    <w:t>分子量</w:t>
                  </w:r>
                </w:p>
              </w:tc>
              <w:tc>
                <w:tcPr>
                  <w:tcW w:w="1249" w:type="pct"/>
                  <w:gridSpan w:val="2"/>
                  <w:vAlign w:val="center"/>
                </w:tcPr>
                <w:p w14:paraId="19E6EFE9">
                  <w:pPr>
                    <w:pStyle w:val="50"/>
                    <w:rPr>
                      <w:color w:val="auto"/>
                    </w:rPr>
                  </w:pPr>
                  <w:r>
                    <w:rPr>
                      <w:color w:val="auto"/>
                    </w:rPr>
                    <w:t>230~500</w:t>
                  </w:r>
                </w:p>
              </w:tc>
              <w:tc>
                <w:tcPr>
                  <w:tcW w:w="1249" w:type="pct"/>
                  <w:gridSpan w:val="2"/>
                  <w:vAlign w:val="center"/>
                </w:tcPr>
                <w:p w14:paraId="4BFA4805">
                  <w:pPr>
                    <w:pStyle w:val="50"/>
                    <w:rPr>
                      <w:color w:val="auto"/>
                    </w:rPr>
                  </w:pPr>
                  <w:r>
                    <w:rPr>
                      <w:color w:val="auto"/>
                    </w:rPr>
                    <w:t>蒸汽压</w:t>
                  </w:r>
                </w:p>
              </w:tc>
              <w:tc>
                <w:tcPr>
                  <w:tcW w:w="1253" w:type="pct"/>
                  <w:vAlign w:val="center"/>
                </w:tcPr>
                <w:p w14:paraId="4FBA9DFB">
                  <w:pPr>
                    <w:pStyle w:val="50"/>
                    <w:rPr>
                      <w:color w:val="auto"/>
                    </w:rPr>
                  </w:pPr>
                </w:p>
              </w:tc>
            </w:tr>
            <w:tr w14:paraId="1EADB4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7" w:type="pct"/>
                  <w:vAlign w:val="center"/>
                </w:tcPr>
                <w:p w14:paraId="0F1057E2">
                  <w:pPr>
                    <w:pStyle w:val="50"/>
                    <w:rPr>
                      <w:color w:val="auto"/>
                    </w:rPr>
                  </w:pPr>
                  <w:r>
                    <w:rPr>
                      <w:color w:val="auto"/>
                    </w:rPr>
                    <w:t>密度</w:t>
                  </w:r>
                </w:p>
              </w:tc>
              <w:tc>
                <w:tcPr>
                  <w:tcW w:w="1249" w:type="pct"/>
                  <w:gridSpan w:val="2"/>
                  <w:vAlign w:val="center"/>
                </w:tcPr>
                <w:p w14:paraId="67BA0475">
                  <w:pPr>
                    <w:pStyle w:val="50"/>
                    <w:rPr>
                      <w:color w:val="auto"/>
                    </w:rPr>
                  </w:pPr>
                  <w:r>
                    <w:rPr>
                      <w:color w:val="auto"/>
                    </w:rPr>
                    <w:t>相对密度＜1</w:t>
                  </w:r>
                </w:p>
              </w:tc>
              <w:tc>
                <w:tcPr>
                  <w:tcW w:w="1249" w:type="pct"/>
                  <w:gridSpan w:val="2"/>
                  <w:vAlign w:val="center"/>
                </w:tcPr>
                <w:p w14:paraId="435130E6">
                  <w:pPr>
                    <w:pStyle w:val="50"/>
                    <w:rPr>
                      <w:color w:val="auto"/>
                    </w:rPr>
                  </w:pPr>
                  <w:r>
                    <w:rPr>
                      <w:color w:val="auto"/>
                    </w:rPr>
                    <w:t>溶解性</w:t>
                  </w:r>
                </w:p>
              </w:tc>
              <w:tc>
                <w:tcPr>
                  <w:tcW w:w="1253" w:type="pct"/>
                  <w:vAlign w:val="center"/>
                </w:tcPr>
                <w:p w14:paraId="47F7ABD0">
                  <w:pPr>
                    <w:pStyle w:val="50"/>
                    <w:rPr>
                      <w:color w:val="auto"/>
                    </w:rPr>
                  </w:pPr>
                  <w:r>
                    <w:rPr>
                      <w:color w:val="auto"/>
                    </w:rPr>
                    <w:t>不溶于水</w:t>
                  </w:r>
                </w:p>
              </w:tc>
            </w:tr>
            <w:tr w14:paraId="771838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7" w:type="pct"/>
                  <w:vAlign w:val="center"/>
                </w:tcPr>
                <w:p w14:paraId="5883DC32">
                  <w:pPr>
                    <w:pStyle w:val="50"/>
                    <w:rPr>
                      <w:color w:val="auto"/>
                    </w:rPr>
                  </w:pPr>
                  <w:r>
                    <w:rPr>
                      <w:color w:val="auto"/>
                    </w:rPr>
                    <w:t>燃烧性</w:t>
                  </w:r>
                </w:p>
              </w:tc>
              <w:tc>
                <w:tcPr>
                  <w:tcW w:w="1249" w:type="pct"/>
                  <w:gridSpan w:val="2"/>
                  <w:vAlign w:val="center"/>
                </w:tcPr>
                <w:p w14:paraId="000BB46D">
                  <w:pPr>
                    <w:pStyle w:val="50"/>
                    <w:rPr>
                      <w:color w:val="auto"/>
                    </w:rPr>
                  </w:pPr>
                  <w:r>
                    <w:rPr>
                      <w:color w:val="auto"/>
                    </w:rPr>
                    <w:t>可燃</w:t>
                  </w:r>
                </w:p>
              </w:tc>
              <w:tc>
                <w:tcPr>
                  <w:tcW w:w="1249" w:type="pct"/>
                  <w:gridSpan w:val="2"/>
                  <w:vAlign w:val="center"/>
                </w:tcPr>
                <w:p w14:paraId="16DD104B">
                  <w:pPr>
                    <w:pStyle w:val="50"/>
                    <w:rPr>
                      <w:color w:val="auto"/>
                    </w:rPr>
                  </w:pPr>
                  <w:r>
                    <w:rPr>
                      <w:color w:val="auto"/>
                    </w:rPr>
                    <w:t>闪点（℃）</w:t>
                  </w:r>
                </w:p>
              </w:tc>
              <w:tc>
                <w:tcPr>
                  <w:tcW w:w="1253" w:type="pct"/>
                  <w:vAlign w:val="center"/>
                </w:tcPr>
                <w:p w14:paraId="5FDB57F4">
                  <w:pPr>
                    <w:pStyle w:val="50"/>
                    <w:rPr>
                      <w:color w:val="auto"/>
                    </w:rPr>
                  </w:pPr>
                  <w:r>
                    <w:rPr>
                      <w:color w:val="auto"/>
                    </w:rPr>
                    <w:t>76</w:t>
                  </w:r>
                </w:p>
              </w:tc>
            </w:tr>
            <w:tr w14:paraId="75BB80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7" w:type="pct"/>
                  <w:vAlign w:val="center"/>
                </w:tcPr>
                <w:p w14:paraId="57C2087B">
                  <w:pPr>
                    <w:pStyle w:val="50"/>
                    <w:rPr>
                      <w:color w:val="auto"/>
                    </w:rPr>
                  </w:pPr>
                  <w:r>
                    <w:rPr>
                      <w:color w:val="auto"/>
                    </w:rPr>
                    <w:t>爆炸极限（%）</w:t>
                  </w:r>
                </w:p>
              </w:tc>
              <w:tc>
                <w:tcPr>
                  <w:tcW w:w="1249" w:type="pct"/>
                  <w:gridSpan w:val="2"/>
                  <w:vAlign w:val="center"/>
                </w:tcPr>
                <w:p w14:paraId="75A7F603">
                  <w:pPr>
                    <w:pStyle w:val="50"/>
                    <w:rPr>
                      <w:color w:val="auto"/>
                    </w:rPr>
                  </w:pPr>
                  <w:r>
                    <w:rPr>
                      <w:color w:val="auto"/>
                    </w:rPr>
                    <w:t>无资料</w:t>
                  </w:r>
                </w:p>
              </w:tc>
              <w:tc>
                <w:tcPr>
                  <w:tcW w:w="1249" w:type="pct"/>
                  <w:gridSpan w:val="2"/>
                  <w:vAlign w:val="center"/>
                </w:tcPr>
                <w:p w14:paraId="2487BAD1">
                  <w:pPr>
                    <w:pStyle w:val="50"/>
                    <w:rPr>
                      <w:color w:val="auto"/>
                    </w:rPr>
                  </w:pPr>
                  <w:r>
                    <w:rPr>
                      <w:color w:val="auto"/>
                    </w:rPr>
                    <w:t>引燃温度（℃）</w:t>
                  </w:r>
                </w:p>
              </w:tc>
              <w:tc>
                <w:tcPr>
                  <w:tcW w:w="1253" w:type="pct"/>
                  <w:vAlign w:val="center"/>
                </w:tcPr>
                <w:p w14:paraId="1CC6D9CB">
                  <w:pPr>
                    <w:pStyle w:val="50"/>
                    <w:rPr>
                      <w:color w:val="auto"/>
                    </w:rPr>
                  </w:pPr>
                  <w:r>
                    <w:rPr>
                      <w:color w:val="auto"/>
                    </w:rPr>
                    <w:t>248</w:t>
                  </w:r>
                </w:p>
              </w:tc>
            </w:tr>
            <w:tr w14:paraId="21E4E0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7" w:type="pct"/>
                  <w:vMerge w:val="restart"/>
                  <w:vAlign w:val="center"/>
                </w:tcPr>
                <w:p w14:paraId="5A35ACF1">
                  <w:pPr>
                    <w:pStyle w:val="50"/>
                    <w:jc w:val="center"/>
                    <w:rPr>
                      <w:color w:val="auto"/>
                    </w:rPr>
                  </w:pPr>
                  <w:r>
                    <w:rPr>
                      <w:color w:val="auto"/>
                    </w:rPr>
                    <w:t>健康危害</w:t>
                  </w:r>
                </w:p>
              </w:tc>
              <w:tc>
                <w:tcPr>
                  <w:tcW w:w="918" w:type="pct"/>
                  <w:vAlign w:val="center"/>
                </w:tcPr>
                <w:p w14:paraId="2728A145">
                  <w:pPr>
                    <w:pStyle w:val="50"/>
                    <w:rPr>
                      <w:color w:val="auto"/>
                    </w:rPr>
                  </w:pPr>
                  <w:r>
                    <w:rPr>
                      <w:color w:val="auto"/>
                    </w:rPr>
                    <w:t>侵入途径</w:t>
                  </w:r>
                </w:p>
              </w:tc>
              <w:tc>
                <w:tcPr>
                  <w:tcW w:w="2833" w:type="pct"/>
                  <w:gridSpan w:val="4"/>
                  <w:vAlign w:val="center"/>
                </w:tcPr>
                <w:p w14:paraId="6958DFB0">
                  <w:pPr>
                    <w:pStyle w:val="50"/>
                    <w:rPr>
                      <w:color w:val="auto"/>
                    </w:rPr>
                  </w:pPr>
                  <w:r>
                    <w:rPr>
                      <w:color w:val="auto"/>
                    </w:rPr>
                    <w:t>吸入、食入。</w:t>
                  </w:r>
                </w:p>
              </w:tc>
            </w:tr>
            <w:tr w14:paraId="00BD5F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7" w:type="pct"/>
                  <w:vMerge w:val="continue"/>
                  <w:vAlign w:val="center"/>
                </w:tcPr>
                <w:p w14:paraId="1A3559FC">
                  <w:pPr>
                    <w:pStyle w:val="50"/>
                    <w:rPr>
                      <w:color w:val="auto"/>
                    </w:rPr>
                  </w:pPr>
                </w:p>
              </w:tc>
              <w:tc>
                <w:tcPr>
                  <w:tcW w:w="918" w:type="pct"/>
                  <w:vAlign w:val="center"/>
                </w:tcPr>
                <w:p w14:paraId="562EFDCB">
                  <w:pPr>
                    <w:pStyle w:val="50"/>
                    <w:rPr>
                      <w:color w:val="auto"/>
                    </w:rPr>
                  </w:pPr>
                  <w:r>
                    <w:rPr>
                      <w:color w:val="auto"/>
                    </w:rPr>
                    <w:t>毒性</w:t>
                  </w:r>
                </w:p>
              </w:tc>
              <w:tc>
                <w:tcPr>
                  <w:tcW w:w="2833" w:type="pct"/>
                  <w:gridSpan w:val="4"/>
                  <w:vAlign w:val="center"/>
                </w:tcPr>
                <w:p w14:paraId="7E425457">
                  <w:pPr>
                    <w:pStyle w:val="50"/>
                    <w:rPr>
                      <w:color w:val="auto"/>
                    </w:rPr>
                  </w:pPr>
                  <w:r>
                    <w:rPr>
                      <w:color w:val="auto"/>
                    </w:rPr>
                    <w:t>LC50无资料</w:t>
                  </w:r>
                </w:p>
              </w:tc>
            </w:tr>
            <w:tr w14:paraId="610195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7" w:type="pct"/>
                  <w:vMerge w:val="continue"/>
                  <w:vAlign w:val="center"/>
                </w:tcPr>
                <w:p w14:paraId="640128E5">
                  <w:pPr>
                    <w:pStyle w:val="50"/>
                    <w:rPr>
                      <w:color w:val="auto"/>
                    </w:rPr>
                  </w:pPr>
                </w:p>
              </w:tc>
              <w:tc>
                <w:tcPr>
                  <w:tcW w:w="918" w:type="pct"/>
                  <w:vAlign w:val="center"/>
                </w:tcPr>
                <w:p w14:paraId="0A0CE1CF">
                  <w:pPr>
                    <w:pStyle w:val="50"/>
                    <w:rPr>
                      <w:color w:val="auto"/>
                    </w:rPr>
                  </w:pPr>
                  <w:r>
                    <w:rPr>
                      <w:color w:val="auto"/>
                    </w:rPr>
                    <w:t>健康危害</w:t>
                  </w:r>
                </w:p>
              </w:tc>
              <w:tc>
                <w:tcPr>
                  <w:tcW w:w="2833" w:type="pct"/>
                  <w:gridSpan w:val="4"/>
                  <w:vAlign w:val="center"/>
                </w:tcPr>
                <w:p w14:paraId="0586D159">
                  <w:pPr>
                    <w:pStyle w:val="50"/>
                    <w:rPr>
                      <w:color w:val="auto"/>
                    </w:rPr>
                  </w:pPr>
                  <w:r>
                    <w:rPr>
                      <w:color w:val="auto"/>
                    </w:rPr>
                    <w:t>急性吸入，可出现乏力、头晕、头痛、恶心，严</w:t>
                  </w:r>
                </w:p>
                <w:p w14:paraId="35B65768">
                  <w:pPr>
                    <w:pStyle w:val="50"/>
                    <w:rPr>
                      <w:color w:val="auto"/>
                    </w:rPr>
                  </w:pPr>
                  <w:r>
                    <w:rPr>
                      <w:color w:val="auto"/>
                    </w:rPr>
                    <w:t>重者可引起油脂性肺炎。慢接触者，暴露部位可发生油性痤疮和接触性皮炎。可引起神经衰弱综合征，呼吸道和眼刺激症状及慢性油脂性肺炎。有资料报道，接触石油润滑油类的工人，有致癌的病例报告。</w:t>
                  </w:r>
                </w:p>
              </w:tc>
            </w:tr>
            <w:tr w14:paraId="580260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7" w:type="pct"/>
                  <w:vMerge w:val="continue"/>
                  <w:vAlign w:val="center"/>
                </w:tcPr>
                <w:p w14:paraId="31AFBD36">
                  <w:pPr>
                    <w:pStyle w:val="50"/>
                    <w:rPr>
                      <w:color w:val="auto"/>
                    </w:rPr>
                  </w:pPr>
                </w:p>
              </w:tc>
              <w:tc>
                <w:tcPr>
                  <w:tcW w:w="918" w:type="pct"/>
                  <w:vAlign w:val="center"/>
                </w:tcPr>
                <w:p w14:paraId="74472299">
                  <w:pPr>
                    <w:pStyle w:val="50"/>
                    <w:rPr>
                      <w:color w:val="auto"/>
                    </w:rPr>
                  </w:pPr>
                  <w:r>
                    <w:rPr>
                      <w:color w:val="auto"/>
                    </w:rPr>
                    <w:t>危险特性</w:t>
                  </w:r>
                </w:p>
              </w:tc>
              <w:tc>
                <w:tcPr>
                  <w:tcW w:w="2833" w:type="pct"/>
                  <w:gridSpan w:val="4"/>
                  <w:vAlign w:val="center"/>
                </w:tcPr>
                <w:p w14:paraId="33102074">
                  <w:pPr>
                    <w:pStyle w:val="50"/>
                    <w:rPr>
                      <w:color w:val="auto"/>
                    </w:rPr>
                  </w:pPr>
                  <w:r>
                    <w:rPr>
                      <w:color w:val="auto"/>
                    </w:rPr>
                    <w:t>其蒸气与空气可形成爆炸性混合物。遇明火、高热能引起燃烧爆炸。与氧化剂能发生强烈反应。其蒸气比空气重，能在较低处扩散到相当远的地方，遇明火会引着回燃</w:t>
                  </w:r>
                </w:p>
              </w:tc>
            </w:tr>
            <w:tr w14:paraId="1C9985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7" w:type="pct"/>
                  <w:vAlign w:val="center"/>
                </w:tcPr>
                <w:p w14:paraId="05C278EB">
                  <w:pPr>
                    <w:pStyle w:val="50"/>
                    <w:jc w:val="center"/>
                    <w:rPr>
                      <w:color w:val="auto"/>
                    </w:rPr>
                  </w:pPr>
                  <w:r>
                    <w:rPr>
                      <w:color w:val="auto"/>
                    </w:rPr>
                    <w:t>燃烧爆炸危险性</w:t>
                  </w:r>
                </w:p>
              </w:tc>
              <w:tc>
                <w:tcPr>
                  <w:tcW w:w="1249" w:type="pct"/>
                  <w:gridSpan w:val="2"/>
                  <w:vAlign w:val="center"/>
                </w:tcPr>
                <w:p w14:paraId="20BA0DB9">
                  <w:pPr>
                    <w:pStyle w:val="50"/>
                    <w:rPr>
                      <w:color w:val="auto"/>
                    </w:rPr>
                  </w:pPr>
                  <w:r>
                    <w:rPr>
                      <w:color w:val="auto"/>
                    </w:rPr>
                    <w:t>燃烧性</w:t>
                  </w:r>
                </w:p>
              </w:tc>
              <w:tc>
                <w:tcPr>
                  <w:tcW w:w="442" w:type="pct"/>
                  <w:vAlign w:val="center"/>
                </w:tcPr>
                <w:p w14:paraId="742A304A">
                  <w:pPr>
                    <w:pStyle w:val="50"/>
                    <w:rPr>
                      <w:color w:val="auto"/>
                    </w:rPr>
                  </w:pPr>
                  <w:r>
                    <w:rPr>
                      <w:color w:val="auto"/>
                    </w:rPr>
                    <w:t>可燃</w:t>
                  </w:r>
                </w:p>
              </w:tc>
              <w:tc>
                <w:tcPr>
                  <w:tcW w:w="807" w:type="pct"/>
                  <w:vAlign w:val="center"/>
                </w:tcPr>
                <w:p w14:paraId="12239A20">
                  <w:pPr>
                    <w:pStyle w:val="50"/>
                    <w:rPr>
                      <w:color w:val="auto"/>
                    </w:rPr>
                  </w:pPr>
                  <w:r>
                    <w:rPr>
                      <w:color w:val="auto"/>
                    </w:rPr>
                    <w:t>燃烧分解物</w:t>
                  </w:r>
                </w:p>
              </w:tc>
              <w:tc>
                <w:tcPr>
                  <w:tcW w:w="1253" w:type="pct"/>
                  <w:vAlign w:val="center"/>
                </w:tcPr>
                <w:p w14:paraId="65D65BE2">
                  <w:pPr>
                    <w:pStyle w:val="50"/>
                    <w:rPr>
                      <w:color w:val="auto"/>
                    </w:rPr>
                  </w:pPr>
                  <w:r>
                    <w:rPr>
                      <w:color w:val="auto"/>
                    </w:rPr>
                    <w:t>一氧化碳、二氧化碳</w:t>
                  </w:r>
                </w:p>
              </w:tc>
            </w:tr>
            <w:tr w14:paraId="53F798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7" w:type="pct"/>
                  <w:vAlign w:val="center"/>
                </w:tcPr>
                <w:p w14:paraId="514FAC4F">
                  <w:pPr>
                    <w:pStyle w:val="50"/>
                    <w:jc w:val="center"/>
                    <w:rPr>
                      <w:color w:val="auto"/>
                    </w:rPr>
                  </w:pPr>
                  <w:r>
                    <w:rPr>
                      <w:color w:val="auto"/>
                    </w:rPr>
                    <w:t>泄漏应急处置</w:t>
                  </w:r>
                </w:p>
              </w:tc>
              <w:tc>
                <w:tcPr>
                  <w:tcW w:w="3752" w:type="pct"/>
                  <w:gridSpan w:val="5"/>
                  <w:vAlign w:val="center"/>
                </w:tcPr>
                <w:p w14:paraId="67746F36">
                  <w:pPr>
                    <w:pStyle w:val="50"/>
                    <w:rPr>
                      <w:color w:val="auto"/>
                    </w:rPr>
                  </w:pPr>
                  <w:r>
                    <w:rPr>
                      <w:color w:val="auto"/>
                    </w:rPr>
                    <w:t>迅速撤离泄漏污染区人员至安全区，并进行隔离，严格限制出入。切断火源。建议应急处理人员戴自给正压式呼吸器，穿防毒服。尽可能切断泄漏源。防止流入下水道、排洪沟等限制性空间。</w:t>
                  </w:r>
                </w:p>
                <w:p w14:paraId="70F80CA5">
                  <w:pPr>
                    <w:pStyle w:val="50"/>
                    <w:rPr>
                      <w:color w:val="auto"/>
                    </w:rPr>
                  </w:pPr>
                  <w:r>
                    <w:rPr>
                      <w:color w:val="auto"/>
                    </w:rPr>
                    <w:t>小量泄漏：用砂土或其它不燃材料吸附或吸收。</w:t>
                  </w:r>
                </w:p>
                <w:p w14:paraId="2D475886">
                  <w:pPr>
                    <w:pStyle w:val="50"/>
                    <w:rPr>
                      <w:color w:val="auto"/>
                    </w:rPr>
                  </w:pPr>
                  <w:r>
                    <w:rPr>
                      <w:color w:val="auto"/>
                    </w:rPr>
                    <w:t>大量泄漏：构筑围堤或挖坑收容。用泵转移至槽车或专用收集器内，回收或运至废物处理场所处置。</w:t>
                  </w:r>
                </w:p>
              </w:tc>
            </w:tr>
            <w:tr w14:paraId="0B69DC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7" w:type="pct"/>
                  <w:vAlign w:val="center"/>
                </w:tcPr>
                <w:p w14:paraId="7B38B5D2">
                  <w:pPr>
                    <w:pStyle w:val="50"/>
                    <w:jc w:val="center"/>
                    <w:rPr>
                      <w:color w:val="auto"/>
                    </w:rPr>
                  </w:pPr>
                  <w:r>
                    <w:rPr>
                      <w:color w:val="auto"/>
                    </w:rPr>
                    <w:t>急救措施</w:t>
                  </w:r>
                </w:p>
              </w:tc>
              <w:tc>
                <w:tcPr>
                  <w:tcW w:w="3752" w:type="pct"/>
                  <w:gridSpan w:val="5"/>
                  <w:vAlign w:val="center"/>
                </w:tcPr>
                <w:p w14:paraId="618DE9F4">
                  <w:pPr>
                    <w:pStyle w:val="50"/>
                    <w:rPr>
                      <w:color w:val="auto"/>
                    </w:rPr>
                  </w:pPr>
                  <w:r>
                    <w:rPr>
                      <w:color w:val="auto"/>
                    </w:rPr>
                    <w:t>皮肤接触：立即脱去被污染的衣着，用大量清水冲洗；</w:t>
                  </w:r>
                </w:p>
                <w:p w14:paraId="0FC84860">
                  <w:pPr>
                    <w:pStyle w:val="50"/>
                    <w:rPr>
                      <w:color w:val="auto"/>
                    </w:rPr>
                  </w:pPr>
                  <w:r>
                    <w:rPr>
                      <w:color w:val="auto"/>
                    </w:rPr>
                    <w:t>眼睛接触：立即提起眼睑，用大量流动清水或生理盐水冲洗，就医；</w:t>
                  </w:r>
                </w:p>
                <w:p w14:paraId="52D54C3E">
                  <w:pPr>
                    <w:pStyle w:val="50"/>
                    <w:rPr>
                      <w:color w:val="auto"/>
                    </w:rPr>
                  </w:pPr>
                  <w:r>
                    <w:rPr>
                      <w:color w:val="auto"/>
                    </w:rPr>
                    <w:t>吸入：迅速脱离现场至空气新鲜处，保持呼吸道通畅，如呼吸困难，给输氧；如呼吸停止，立即进行人工呼吸，就医；</w:t>
                  </w:r>
                </w:p>
                <w:p w14:paraId="47CD30AC">
                  <w:pPr>
                    <w:pStyle w:val="50"/>
                    <w:rPr>
                      <w:color w:val="auto"/>
                    </w:rPr>
                  </w:pPr>
                  <w:r>
                    <w:rPr>
                      <w:color w:val="auto"/>
                    </w:rPr>
                    <w:t>食入：饮足量温水，催吐，就医。</w:t>
                  </w:r>
                </w:p>
                <w:p w14:paraId="5135EE6D">
                  <w:pPr>
                    <w:pStyle w:val="50"/>
                    <w:rPr>
                      <w:color w:val="auto"/>
                    </w:rPr>
                  </w:pPr>
                  <w:r>
                    <w:rPr>
                      <w:color w:val="auto"/>
                    </w:rPr>
                    <w:t>灭火方法：消防人员须佩戴防毒面具、穿全身消防服，在上风向灭火。尽可能将容器从火场移至空旷处。喷水保持火场容器冷却，直至灭火结束。处在火场中的容器若已变色或从安全泄压装置中产生声音，必须马上撤离。</w:t>
                  </w:r>
                </w:p>
                <w:p w14:paraId="6E02D2BD">
                  <w:pPr>
                    <w:pStyle w:val="50"/>
                    <w:rPr>
                      <w:color w:val="auto"/>
                    </w:rPr>
                  </w:pPr>
                  <w:r>
                    <w:rPr>
                      <w:color w:val="auto"/>
                    </w:rPr>
                    <w:t>灭火剂：雾状水、泡沫、干粉、二氧化碳、砂土。</w:t>
                  </w:r>
                </w:p>
              </w:tc>
            </w:tr>
            <w:tr w14:paraId="0F300F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7" w:type="pct"/>
                  <w:vAlign w:val="center"/>
                </w:tcPr>
                <w:p w14:paraId="699D8167">
                  <w:pPr>
                    <w:pStyle w:val="50"/>
                    <w:jc w:val="center"/>
                    <w:rPr>
                      <w:color w:val="auto"/>
                    </w:rPr>
                  </w:pPr>
                  <w:r>
                    <w:rPr>
                      <w:color w:val="auto"/>
                    </w:rPr>
                    <w:t>防护措施</w:t>
                  </w:r>
                </w:p>
              </w:tc>
              <w:tc>
                <w:tcPr>
                  <w:tcW w:w="3752" w:type="pct"/>
                  <w:gridSpan w:val="5"/>
                  <w:vAlign w:val="center"/>
                </w:tcPr>
                <w:p w14:paraId="11CA712E">
                  <w:pPr>
                    <w:pStyle w:val="50"/>
                    <w:rPr>
                      <w:color w:val="auto"/>
                    </w:rPr>
                  </w:pPr>
                  <w:r>
                    <w:rPr>
                      <w:color w:val="auto"/>
                    </w:rPr>
                    <w:t>工程控制：密闭操作，注意通风；</w:t>
                  </w:r>
                </w:p>
                <w:p w14:paraId="6093EEB2">
                  <w:pPr>
                    <w:pStyle w:val="50"/>
                    <w:rPr>
                      <w:color w:val="auto"/>
                    </w:rPr>
                  </w:pPr>
                  <w:r>
                    <w:rPr>
                      <w:color w:val="auto"/>
                    </w:rPr>
                    <w:t>呼吸系统防护：空气中浓度超标时，建议佩戴自吸过滤式防毒面具（半面罩）。紧急事态抢救或撤离时，应该佩戴空气呼吸器。</w:t>
                  </w:r>
                </w:p>
                <w:p w14:paraId="49BE38D4">
                  <w:pPr>
                    <w:pStyle w:val="50"/>
                    <w:rPr>
                      <w:color w:val="auto"/>
                    </w:rPr>
                  </w:pPr>
                  <w:r>
                    <w:rPr>
                      <w:color w:val="auto"/>
                    </w:rPr>
                    <w:t>眼睛防护：戴化学安全防护眼镜。</w:t>
                  </w:r>
                </w:p>
                <w:p w14:paraId="0AEC6266">
                  <w:pPr>
                    <w:pStyle w:val="50"/>
                    <w:rPr>
                      <w:color w:val="auto"/>
                    </w:rPr>
                  </w:pPr>
                  <w:r>
                    <w:rPr>
                      <w:color w:val="auto"/>
                    </w:rPr>
                    <w:t>身体防护：穿防毒物渗透工作服；</w:t>
                  </w:r>
                </w:p>
                <w:p w14:paraId="40024AFE">
                  <w:pPr>
                    <w:pStyle w:val="50"/>
                    <w:rPr>
                      <w:color w:val="auto"/>
                    </w:rPr>
                  </w:pPr>
                  <w:r>
                    <w:rPr>
                      <w:color w:val="auto"/>
                    </w:rPr>
                    <w:t>手防护：戴橡胶耐油手套；</w:t>
                  </w:r>
                </w:p>
                <w:p w14:paraId="756374A8">
                  <w:pPr>
                    <w:pStyle w:val="50"/>
                    <w:rPr>
                      <w:color w:val="auto"/>
                    </w:rPr>
                  </w:pPr>
                  <w:r>
                    <w:rPr>
                      <w:color w:val="auto"/>
                    </w:rPr>
                    <w:t>其他：工作现场严禁吸烟。避免长期反复接触。</w:t>
                  </w:r>
                </w:p>
              </w:tc>
            </w:tr>
            <w:tr w14:paraId="77823E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7" w:type="pct"/>
                  <w:vAlign w:val="center"/>
                </w:tcPr>
                <w:p w14:paraId="1D616DAE">
                  <w:pPr>
                    <w:pStyle w:val="50"/>
                    <w:jc w:val="center"/>
                    <w:rPr>
                      <w:color w:val="auto"/>
                    </w:rPr>
                  </w:pPr>
                  <w:r>
                    <w:rPr>
                      <w:color w:val="auto"/>
                    </w:rPr>
                    <w:t>储运</w:t>
                  </w:r>
                </w:p>
              </w:tc>
              <w:tc>
                <w:tcPr>
                  <w:tcW w:w="3752" w:type="pct"/>
                  <w:gridSpan w:val="5"/>
                  <w:vAlign w:val="center"/>
                </w:tcPr>
                <w:p w14:paraId="233FE899">
                  <w:pPr>
                    <w:pStyle w:val="50"/>
                    <w:rPr>
                      <w:color w:val="auto"/>
                    </w:rPr>
                  </w:pPr>
                  <w:r>
                    <w:rPr>
                      <w:color w:val="auto"/>
                    </w:rPr>
                    <w:t>储存于阴凉、通风的库房。远离火种、热源。应与氧化剂分开存放，切忌混储。配备相应品种和数量的消防器材。储区应备有泄漏应急处理设备和合适的收容材料。</w:t>
                  </w:r>
                </w:p>
                <w:p w14:paraId="46C0B6D5">
                  <w:pPr>
                    <w:pStyle w:val="50"/>
                    <w:rPr>
                      <w:color w:val="auto"/>
                    </w:rPr>
                  </w:pPr>
                  <w:r>
                    <w:rPr>
                      <w:color w:val="auto"/>
                    </w:rPr>
                    <w:t>运输前应先检查包装容器是否完整、密封，运输过程中要确保容器不泄漏、不倒塌、不坠落、不损坏。严禁与氧化剂、食用化学品等混装混运。运输车船必须彻底清洗、消毒，否则不得装运其它物品。船运时，配装位置应远离卧室、厨房，并与机舱、电源、火源等部位隔离。公路运输时要按规定路线行驶。</w:t>
                  </w:r>
                </w:p>
              </w:tc>
            </w:tr>
          </w:tbl>
          <w:p w14:paraId="35B2DF96">
            <w:pPr>
              <w:ind w:firstLine="480"/>
              <w:rPr>
                <w:rFonts w:cs="Times New Roman"/>
                <w:color w:val="auto"/>
              </w:rPr>
            </w:pPr>
            <w:r>
              <w:rPr>
                <w:rFonts w:cs="Times New Roman"/>
                <w:color w:val="auto"/>
              </w:rPr>
              <w:t>2）生产设施风险识别</w:t>
            </w:r>
          </w:p>
          <w:p w14:paraId="3A61BA1B">
            <w:pPr>
              <w:ind w:firstLine="480"/>
              <w:rPr>
                <w:rFonts w:cs="Times New Roman"/>
                <w:color w:val="auto"/>
              </w:rPr>
            </w:pPr>
            <w:r>
              <w:rPr>
                <w:rFonts w:cs="Times New Roman"/>
                <w:color w:val="auto"/>
              </w:rPr>
              <w:t>生产设施风险识别范围包括：主要生产装置、贮运系统、公用工程系统、工程环保设施及辅助生产设施等。主要生产设施的风险分析见下表。</w:t>
            </w:r>
          </w:p>
          <w:p w14:paraId="41506C6E">
            <w:pPr>
              <w:pStyle w:val="36"/>
              <w:rPr>
                <w:rFonts w:cs="Times New Roman"/>
                <w:color w:val="auto"/>
              </w:rPr>
            </w:pPr>
            <w:r>
              <w:rPr>
                <w:rFonts w:cs="Times New Roman"/>
                <w:color w:val="auto"/>
              </w:rPr>
              <w:t>表4-</w:t>
            </w:r>
            <w:r>
              <w:rPr>
                <w:rFonts w:hint="eastAsia" w:cs="Times New Roman"/>
                <w:color w:val="auto"/>
              </w:rPr>
              <w:t>19</w:t>
            </w:r>
            <w:r>
              <w:rPr>
                <w:rFonts w:cs="Times New Roman"/>
                <w:color w:val="auto"/>
              </w:rPr>
              <w:t xml:space="preserve"> 生产设施风险识别</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417"/>
              <w:gridCol w:w="1417"/>
              <w:gridCol w:w="3888"/>
            </w:tblGrid>
            <w:tr w14:paraId="21874B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05" w:hRule="atLeast"/>
                <w:jc w:val="center"/>
              </w:trPr>
              <w:tc>
                <w:tcPr>
                  <w:tcW w:w="540" w:type="pct"/>
                  <w:vAlign w:val="center"/>
                </w:tcPr>
                <w:p w14:paraId="2288C07D">
                  <w:pPr>
                    <w:pStyle w:val="50"/>
                    <w:jc w:val="center"/>
                    <w:rPr>
                      <w:b/>
                      <w:bCs/>
                      <w:color w:val="auto"/>
                    </w:rPr>
                  </w:pPr>
                  <w:r>
                    <w:rPr>
                      <w:b/>
                      <w:bCs/>
                      <w:color w:val="auto"/>
                    </w:rPr>
                    <w:t>序号</w:t>
                  </w:r>
                </w:p>
              </w:tc>
              <w:tc>
                <w:tcPr>
                  <w:tcW w:w="940" w:type="pct"/>
                  <w:vAlign w:val="center"/>
                </w:tcPr>
                <w:p w14:paraId="47F7BC28">
                  <w:pPr>
                    <w:pStyle w:val="50"/>
                    <w:jc w:val="center"/>
                    <w:rPr>
                      <w:b/>
                      <w:bCs/>
                      <w:color w:val="auto"/>
                    </w:rPr>
                  </w:pPr>
                  <w:r>
                    <w:rPr>
                      <w:b/>
                      <w:bCs/>
                      <w:color w:val="auto"/>
                    </w:rPr>
                    <w:t>风险单元</w:t>
                  </w:r>
                </w:p>
              </w:tc>
              <w:tc>
                <w:tcPr>
                  <w:tcW w:w="940" w:type="pct"/>
                  <w:vAlign w:val="center"/>
                </w:tcPr>
                <w:p w14:paraId="5E99EBFD">
                  <w:pPr>
                    <w:pStyle w:val="50"/>
                    <w:jc w:val="center"/>
                    <w:rPr>
                      <w:b/>
                      <w:bCs/>
                      <w:color w:val="auto"/>
                    </w:rPr>
                  </w:pPr>
                  <w:r>
                    <w:rPr>
                      <w:b/>
                      <w:bCs/>
                      <w:color w:val="auto"/>
                    </w:rPr>
                    <w:t>危害物质</w:t>
                  </w:r>
                </w:p>
              </w:tc>
              <w:tc>
                <w:tcPr>
                  <w:tcW w:w="2579" w:type="pct"/>
                  <w:vAlign w:val="center"/>
                </w:tcPr>
                <w:p w14:paraId="68270855">
                  <w:pPr>
                    <w:pStyle w:val="50"/>
                    <w:jc w:val="center"/>
                    <w:rPr>
                      <w:b/>
                      <w:bCs/>
                      <w:color w:val="auto"/>
                    </w:rPr>
                  </w:pPr>
                  <w:r>
                    <w:rPr>
                      <w:b/>
                      <w:bCs/>
                      <w:color w:val="auto"/>
                    </w:rPr>
                    <w:t>主要危险、有害性</w:t>
                  </w:r>
                </w:p>
              </w:tc>
            </w:tr>
            <w:tr w14:paraId="6D3BCF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pct"/>
                  <w:vAlign w:val="center"/>
                </w:tcPr>
                <w:p w14:paraId="3C94BC98">
                  <w:pPr>
                    <w:pStyle w:val="50"/>
                    <w:jc w:val="center"/>
                    <w:rPr>
                      <w:color w:val="auto"/>
                    </w:rPr>
                  </w:pPr>
                  <w:r>
                    <w:rPr>
                      <w:color w:val="auto"/>
                    </w:rPr>
                    <w:t>1</w:t>
                  </w:r>
                </w:p>
              </w:tc>
              <w:tc>
                <w:tcPr>
                  <w:tcW w:w="940" w:type="pct"/>
                  <w:vAlign w:val="center"/>
                </w:tcPr>
                <w:p w14:paraId="442A3A0E">
                  <w:pPr>
                    <w:pStyle w:val="50"/>
                    <w:jc w:val="center"/>
                    <w:rPr>
                      <w:color w:val="auto"/>
                    </w:rPr>
                  </w:pPr>
                  <w:r>
                    <w:rPr>
                      <w:color w:val="auto"/>
                    </w:rPr>
                    <w:t>危废暂存间</w:t>
                  </w:r>
                </w:p>
              </w:tc>
              <w:tc>
                <w:tcPr>
                  <w:tcW w:w="940" w:type="pct"/>
                  <w:vAlign w:val="center"/>
                </w:tcPr>
                <w:p w14:paraId="220FA058">
                  <w:pPr>
                    <w:pStyle w:val="50"/>
                    <w:jc w:val="center"/>
                    <w:rPr>
                      <w:rFonts w:hint="default" w:eastAsia="宋体"/>
                      <w:color w:val="auto"/>
                      <w:lang w:val="en-US" w:eastAsia="zh-CN"/>
                    </w:rPr>
                  </w:pPr>
                  <w:r>
                    <w:rPr>
                      <w:color w:val="auto"/>
                    </w:rPr>
                    <w:t>废机油</w:t>
                  </w:r>
                  <w:r>
                    <w:rPr>
                      <w:rFonts w:hint="eastAsia"/>
                      <w:color w:val="auto"/>
                      <w:lang w:eastAsia="zh-CN"/>
                    </w:rPr>
                    <w:t>、</w:t>
                  </w:r>
                  <w:r>
                    <w:rPr>
                      <w:rFonts w:hint="eastAsia"/>
                      <w:color w:val="auto"/>
                      <w:lang w:val="en-US" w:eastAsia="zh-CN"/>
                    </w:rPr>
                    <w:t>废含油抹布</w:t>
                  </w:r>
                </w:p>
              </w:tc>
              <w:tc>
                <w:tcPr>
                  <w:tcW w:w="2579" w:type="pct"/>
                  <w:vAlign w:val="center"/>
                </w:tcPr>
                <w:p w14:paraId="569B8905">
                  <w:pPr>
                    <w:pStyle w:val="50"/>
                    <w:jc w:val="center"/>
                    <w:rPr>
                      <w:color w:val="auto"/>
                    </w:rPr>
                  </w:pPr>
                  <w:r>
                    <w:rPr>
                      <w:color w:val="auto"/>
                    </w:rPr>
                    <w:t>泄露后导致污染地下水及土壤环境；泄漏遇明火引发火灾、爆炸事故。</w:t>
                  </w:r>
                </w:p>
              </w:tc>
            </w:tr>
          </w:tbl>
          <w:p w14:paraId="2F9E00C3">
            <w:pPr>
              <w:ind w:firstLine="480"/>
              <w:rPr>
                <w:rFonts w:cs="Times New Roman"/>
                <w:color w:val="auto"/>
              </w:rPr>
            </w:pPr>
            <w:r>
              <w:rPr>
                <w:rFonts w:cs="Times New Roman"/>
                <w:color w:val="auto"/>
              </w:rPr>
              <w:t>根据上表，确定危废暂存间为危险单元。</w:t>
            </w:r>
          </w:p>
          <w:p w14:paraId="425B3779">
            <w:pPr>
              <w:ind w:firstLine="480"/>
              <w:rPr>
                <w:rFonts w:cs="Times New Roman"/>
                <w:color w:val="auto"/>
              </w:rPr>
            </w:pPr>
            <w:r>
              <w:rPr>
                <w:rFonts w:cs="Times New Roman"/>
                <w:color w:val="auto"/>
              </w:rPr>
              <w:t>3）环境风险类型及危害分析</w:t>
            </w:r>
          </w:p>
          <w:p w14:paraId="6482BE63">
            <w:pPr>
              <w:ind w:firstLine="480"/>
              <w:rPr>
                <w:rFonts w:cs="Times New Roman"/>
                <w:color w:val="auto"/>
              </w:rPr>
            </w:pPr>
            <w:r>
              <w:rPr>
                <w:rFonts w:cs="Times New Roman"/>
                <w:color w:val="auto"/>
              </w:rPr>
              <w:t>①废机油</w:t>
            </w:r>
          </w:p>
          <w:p w14:paraId="2BCAA5D8">
            <w:pPr>
              <w:ind w:firstLine="480"/>
              <w:rPr>
                <w:rFonts w:cs="Times New Roman"/>
                <w:color w:val="auto"/>
              </w:rPr>
            </w:pPr>
            <w:r>
              <w:rPr>
                <w:rFonts w:cs="Times New Roman"/>
                <w:color w:val="auto"/>
              </w:rPr>
              <w:t>a.火灾</w:t>
            </w:r>
          </w:p>
          <w:p w14:paraId="5D9A9FC6">
            <w:pPr>
              <w:ind w:firstLine="480"/>
              <w:rPr>
                <w:rFonts w:cs="Times New Roman"/>
                <w:color w:val="auto"/>
              </w:rPr>
            </w:pPr>
            <w:r>
              <w:rPr>
                <w:rFonts w:cs="Times New Roman"/>
                <w:color w:val="auto"/>
              </w:rPr>
              <w:t>废机油遇明火可发生火灾，燃烧可能形成在空气中的固体和液体微粒及气体的复杂的混合物，包括一氧化碳，氧化硫及未能识别的有机及无机化合物；遇明火。高热能引起爆炸人为吸入有害健康。次生的大气污染物可能对下风向产生污染性影响。</w:t>
            </w:r>
          </w:p>
          <w:p w14:paraId="3418B29C">
            <w:pPr>
              <w:ind w:firstLine="480"/>
              <w:rPr>
                <w:rFonts w:cs="Times New Roman"/>
                <w:color w:val="auto"/>
              </w:rPr>
            </w:pPr>
            <w:r>
              <w:rPr>
                <w:rFonts w:cs="Times New Roman"/>
                <w:color w:val="auto"/>
              </w:rPr>
              <w:t>b.泄漏</w:t>
            </w:r>
          </w:p>
          <w:p w14:paraId="4B87B9A4">
            <w:pPr>
              <w:ind w:firstLine="480"/>
              <w:rPr>
                <w:rFonts w:cs="Times New Roman"/>
                <w:color w:val="auto"/>
              </w:rPr>
            </w:pPr>
            <w:r>
              <w:rPr>
                <w:rFonts w:cs="Times New Roman"/>
                <w:color w:val="auto"/>
              </w:rPr>
              <w:t>废油泄漏可通过垂直入渗等途径影响危废暂存间地下水及土壤；油品泄漏产生的有机废气影响危废暂存间及危废暂存间周边的环境空气。</w:t>
            </w:r>
          </w:p>
          <w:p w14:paraId="5CAAF611">
            <w:pPr>
              <w:ind w:firstLine="480"/>
              <w:rPr>
                <w:rFonts w:cs="Times New Roman"/>
                <w:color w:val="auto"/>
              </w:rPr>
            </w:pPr>
            <w:r>
              <w:rPr>
                <w:rFonts w:cs="Times New Roman"/>
                <w:color w:val="auto"/>
              </w:rPr>
              <w:t>4）风险防范措施要求</w:t>
            </w:r>
          </w:p>
          <w:p w14:paraId="542D989B">
            <w:pPr>
              <w:ind w:firstLine="480"/>
              <w:rPr>
                <w:rFonts w:cs="Times New Roman"/>
                <w:color w:val="auto"/>
              </w:rPr>
            </w:pPr>
            <w:r>
              <w:rPr>
                <w:rFonts w:cs="Times New Roman"/>
                <w:color w:val="auto"/>
              </w:rPr>
              <w:t>①废机油</w:t>
            </w:r>
          </w:p>
          <w:p w14:paraId="7E0BEA6F">
            <w:pPr>
              <w:ind w:firstLine="480"/>
              <w:rPr>
                <w:rFonts w:cs="Times New Roman"/>
                <w:color w:val="auto"/>
              </w:rPr>
            </w:pPr>
            <w:r>
              <w:rPr>
                <w:rFonts w:cs="Times New Roman"/>
                <w:color w:val="auto"/>
              </w:rPr>
              <w:t>a.火灾</w:t>
            </w:r>
          </w:p>
          <w:p w14:paraId="3AAD27C3">
            <w:pPr>
              <w:ind w:firstLine="480"/>
              <w:rPr>
                <w:rFonts w:cs="Times New Roman"/>
                <w:color w:val="auto"/>
              </w:rPr>
            </w:pPr>
            <w:r>
              <w:rPr>
                <w:rFonts w:cs="Times New Roman"/>
                <w:color w:val="auto"/>
              </w:rPr>
              <w:t>危废暂存间均配备灭火器等消防器材，并设置专门主管人员；危废暂存间周边禁止有明火；油品要放在阴凉、通风较好的库内储存，容器密闭。</w:t>
            </w:r>
          </w:p>
          <w:p w14:paraId="2BA7C2D0">
            <w:pPr>
              <w:ind w:firstLine="480"/>
              <w:rPr>
                <w:rFonts w:cs="Times New Roman"/>
                <w:color w:val="auto"/>
              </w:rPr>
            </w:pPr>
            <w:r>
              <w:rPr>
                <w:rFonts w:cs="Times New Roman"/>
                <w:color w:val="auto"/>
              </w:rPr>
              <w:t>b.泄漏</w:t>
            </w:r>
          </w:p>
          <w:p w14:paraId="067A5ECE">
            <w:pPr>
              <w:ind w:firstLine="480"/>
              <w:rPr>
                <w:rFonts w:cs="Times New Roman"/>
                <w:color w:val="auto"/>
              </w:rPr>
            </w:pPr>
            <w:r>
              <w:rPr>
                <w:rFonts w:cs="Times New Roman"/>
                <w:color w:val="auto"/>
              </w:rPr>
              <w:t>危废暂存间设置监控器，若专职人员通过监控器或日常巡检过程中发现危废暂存间中的容器发生泄漏，应立即组织人员进行应急处置：危废暂存间中泄漏的液体可通过库内的导流槽将泄漏的液体危废引流至集液池内，应急人员应将导流槽及集液池中的液体危废收集至未破损的容器中，并将导流槽及集液池中无法收集的少量液体危废通过木屑等材料吸附干净。</w:t>
            </w:r>
          </w:p>
          <w:p w14:paraId="28491675">
            <w:pPr>
              <w:ind w:firstLine="480"/>
              <w:rPr>
                <w:rFonts w:cs="Times New Roman"/>
                <w:color w:val="auto"/>
              </w:rPr>
            </w:pPr>
            <w:r>
              <w:rPr>
                <w:rFonts w:cs="Times New Roman"/>
                <w:color w:val="auto"/>
              </w:rPr>
              <w:t>危废暂存间、导流槽、集液池均进行了防渗处理，避免油品泄漏，污染地下水和土壤。具体防范措施如下：危废暂存间、导流沟、集液池底部基础夯实后，铺设2mm厚高密度HDPE防渗膜+25cm厚C35防渗混凝土防渗，渗透系数K≤10</w:t>
            </w:r>
            <w:r>
              <w:rPr>
                <w:rFonts w:cs="Times New Roman"/>
                <w:color w:val="auto"/>
                <w:vertAlign w:val="superscript"/>
              </w:rPr>
              <w:t>-10</w:t>
            </w:r>
            <w:r>
              <w:rPr>
                <w:rFonts w:cs="Times New Roman"/>
                <w:color w:val="auto"/>
              </w:rPr>
              <w:t>cm/s，同时设置防雨、防渗漏、防流失等措施。</w:t>
            </w:r>
          </w:p>
          <w:p w14:paraId="3DBBCF66">
            <w:pPr>
              <w:ind w:firstLine="480"/>
              <w:rPr>
                <w:rFonts w:cs="Times New Roman"/>
                <w:color w:val="auto"/>
              </w:rPr>
            </w:pPr>
            <w:r>
              <w:rPr>
                <w:rFonts w:cs="Times New Roman"/>
                <w:color w:val="auto"/>
              </w:rPr>
              <w:t>③制定环境风险应急预案</w:t>
            </w:r>
          </w:p>
          <w:p w14:paraId="48F57B0A">
            <w:pPr>
              <w:ind w:firstLine="480"/>
              <w:rPr>
                <w:rFonts w:cs="Times New Roman"/>
                <w:color w:val="auto"/>
              </w:rPr>
            </w:pPr>
            <w:r>
              <w:rPr>
                <w:rFonts w:cs="Times New Roman"/>
                <w:color w:val="auto"/>
              </w:rPr>
              <w:t>本项目需要制定可操作性环境风险应急预案，并到当地环保部门备案。</w:t>
            </w:r>
          </w:p>
          <w:p w14:paraId="1EE5FEB3">
            <w:pPr>
              <w:ind w:firstLine="480"/>
              <w:rPr>
                <w:rFonts w:cs="Times New Roman"/>
                <w:color w:val="auto"/>
              </w:rPr>
            </w:pPr>
            <w:r>
              <w:rPr>
                <w:rFonts w:cs="Times New Roman"/>
                <w:color w:val="auto"/>
              </w:rPr>
              <w:t>企业突发环境事件应急预案内容主要包括：形成组织指挥体系，成立应急组织，确定应急成员，明确职责划分；建立预警和预防体系；规范应急救援程序，制定各种环境风险事故应急救援方案；设置固定的污染事故报警、通讯联络方式等。具体预案主要内容见下表。</w:t>
            </w:r>
          </w:p>
          <w:p w14:paraId="4FF8376D">
            <w:pPr>
              <w:pStyle w:val="36"/>
              <w:rPr>
                <w:rFonts w:cs="Times New Roman"/>
                <w:color w:val="auto"/>
              </w:rPr>
            </w:pPr>
            <w:r>
              <w:rPr>
                <w:rFonts w:cs="Times New Roman"/>
                <w:color w:val="auto"/>
              </w:rPr>
              <w:t>表4-21  突发环境风险事故应急预案</w:t>
            </w:r>
          </w:p>
          <w:tbl>
            <w:tblPr>
              <w:tblStyle w:val="27"/>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418"/>
              <w:gridCol w:w="4285"/>
            </w:tblGrid>
            <w:tr w14:paraId="0FD13B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553" w:type="pct"/>
                  <w:vAlign w:val="center"/>
                </w:tcPr>
                <w:p w14:paraId="0153FC02">
                  <w:pPr>
                    <w:pStyle w:val="50"/>
                    <w:jc w:val="center"/>
                    <w:rPr>
                      <w:b/>
                      <w:bCs/>
                      <w:color w:val="auto"/>
                    </w:rPr>
                  </w:pPr>
                  <w:r>
                    <w:rPr>
                      <w:b/>
                      <w:bCs/>
                      <w:color w:val="auto"/>
                    </w:rPr>
                    <w:t>序号</w:t>
                  </w:r>
                </w:p>
              </w:tc>
              <w:tc>
                <w:tcPr>
                  <w:tcW w:w="1604" w:type="pct"/>
                  <w:vAlign w:val="center"/>
                </w:tcPr>
                <w:p w14:paraId="5447741D">
                  <w:pPr>
                    <w:pStyle w:val="50"/>
                    <w:jc w:val="center"/>
                    <w:rPr>
                      <w:b/>
                      <w:bCs/>
                      <w:color w:val="auto"/>
                    </w:rPr>
                  </w:pPr>
                  <w:r>
                    <w:rPr>
                      <w:b/>
                      <w:bCs/>
                      <w:color w:val="auto"/>
                    </w:rPr>
                    <w:t>项目</w:t>
                  </w:r>
                </w:p>
              </w:tc>
              <w:tc>
                <w:tcPr>
                  <w:tcW w:w="2842" w:type="pct"/>
                  <w:vAlign w:val="center"/>
                </w:tcPr>
                <w:p w14:paraId="4B11CC0E">
                  <w:pPr>
                    <w:pStyle w:val="50"/>
                    <w:jc w:val="center"/>
                    <w:rPr>
                      <w:b/>
                      <w:bCs/>
                      <w:color w:val="auto"/>
                    </w:rPr>
                  </w:pPr>
                  <w:r>
                    <w:rPr>
                      <w:b/>
                      <w:bCs/>
                      <w:color w:val="auto"/>
                    </w:rPr>
                    <w:t>内容及要求</w:t>
                  </w:r>
                </w:p>
              </w:tc>
            </w:tr>
            <w:tr w14:paraId="754392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53" w:type="pct"/>
                  <w:vAlign w:val="center"/>
                </w:tcPr>
                <w:p w14:paraId="2A24795F">
                  <w:pPr>
                    <w:pStyle w:val="50"/>
                    <w:jc w:val="center"/>
                    <w:rPr>
                      <w:color w:val="auto"/>
                    </w:rPr>
                  </w:pPr>
                  <w:r>
                    <w:rPr>
                      <w:color w:val="auto"/>
                    </w:rPr>
                    <w:t>1</w:t>
                  </w:r>
                </w:p>
              </w:tc>
              <w:tc>
                <w:tcPr>
                  <w:tcW w:w="1604" w:type="pct"/>
                  <w:vAlign w:val="center"/>
                </w:tcPr>
                <w:p w14:paraId="1948A5C4">
                  <w:pPr>
                    <w:pStyle w:val="50"/>
                    <w:jc w:val="center"/>
                    <w:rPr>
                      <w:color w:val="auto"/>
                    </w:rPr>
                  </w:pPr>
                  <w:r>
                    <w:rPr>
                      <w:color w:val="auto"/>
                    </w:rPr>
                    <w:t>危险源概况</w:t>
                  </w:r>
                </w:p>
              </w:tc>
              <w:tc>
                <w:tcPr>
                  <w:tcW w:w="2842" w:type="pct"/>
                  <w:vAlign w:val="center"/>
                </w:tcPr>
                <w:p w14:paraId="59EFED1D">
                  <w:pPr>
                    <w:pStyle w:val="50"/>
                    <w:jc w:val="center"/>
                    <w:rPr>
                      <w:color w:val="auto"/>
                    </w:rPr>
                  </w:pPr>
                  <w:r>
                    <w:rPr>
                      <w:color w:val="auto"/>
                    </w:rPr>
                    <w:t>详述危险源类型、数量及其分布</w:t>
                  </w:r>
                </w:p>
              </w:tc>
            </w:tr>
            <w:tr w14:paraId="41C8B2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53" w:type="pct"/>
                  <w:vAlign w:val="center"/>
                </w:tcPr>
                <w:p w14:paraId="19B193DB">
                  <w:pPr>
                    <w:pStyle w:val="50"/>
                    <w:jc w:val="center"/>
                    <w:rPr>
                      <w:color w:val="auto"/>
                    </w:rPr>
                  </w:pPr>
                  <w:r>
                    <w:rPr>
                      <w:color w:val="auto"/>
                    </w:rPr>
                    <w:t>2</w:t>
                  </w:r>
                </w:p>
              </w:tc>
              <w:tc>
                <w:tcPr>
                  <w:tcW w:w="1604" w:type="pct"/>
                  <w:vAlign w:val="center"/>
                </w:tcPr>
                <w:p w14:paraId="37CCB523">
                  <w:pPr>
                    <w:pStyle w:val="50"/>
                    <w:jc w:val="center"/>
                    <w:rPr>
                      <w:color w:val="auto"/>
                    </w:rPr>
                  </w:pPr>
                  <w:r>
                    <w:rPr>
                      <w:color w:val="auto"/>
                    </w:rPr>
                    <w:t>应急计划区</w:t>
                  </w:r>
                </w:p>
              </w:tc>
              <w:tc>
                <w:tcPr>
                  <w:tcW w:w="2842" w:type="pct"/>
                  <w:vAlign w:val="center"/>
                </w:tcPr>
                <w:p w14:paraId="0F3247C7">
                  <w:pPr>
                    <w:pStyle w:val="50"/>
                    <w:jc w:val="center"/>
                    <w:rPr>
                      <w:color w:val="auto"/>
                    </w:rPr>
                  </w:pPr>
                  <w:r>
                    <w:rPr>
                      <w:color w:val="auto"/>
                    </w:rPr>
                    <w:t>危险目标：危废暂存间、邻区</w:t>
                  </w:r>
                </w:p>
              </w:tc>
            </w:tr>
            <w:tr w14:paraId="68E2E8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53" w:type="pct"/>
                  <w:vAlign w:val="center"/>
                </w:tcPr>
                <w:p w14:paraId="4379266D">
                  <w:pPr>
                    <w:pStyle w:val="50"/>
                    <w:jc w:val="center"/>
                    <w:rPr>
                      <w:color w:val="auto"/>
                    </w:rPr>
                  </w:pPr>
                  <w:r>
                    <w:rPr>
                      <w:color w:val="auto"/>
                    </w:rPr>
                    <w:t>3</w:t>
                  </w:r>
                </w:p>
              </w:tc>
              <w:tc>
                <w:tcPr>
                  <w:tcW w:w="1604" w:type="pct"/>
                  <w:vAlign w:val="center"/>
                </w:tcPr>
                <w:p w14:paraId="0E317F2F">
                  <w:pPr>
                    <w:pStyle w:val="50"/>
                    <w:jc w:val="center"/>
                    <w:rPr>
                      <w:color w:val="auto"/>
                    </w:rPr>
                  </w:pPr>
                  <w:r>
                    <w:rPr>
                      <w:color w:val="auto"/>
                    </w:rPr>
                    <w:t>应急组织机构、人员</w:t>
                  </w:r>
                </w:p>
              </w:tc>
              <w:tc>
                <w:tcPr>
                  <w:tcW w:w="2842" w:type="pct"/>
                  <w:vAlign w:val="center"/>
                </w:tcPr>
                <w:p w14:paraId="5484D4D5">
                  <w:pPr>
                    <w:pStyle w:val="50"/>
                    <w:jc w:val="center"/>
                    <w:rPr>
                      <w:color w:val="auto"/>
                    </w:rPr>
                  </w:pPr>
                  <w:r>
                    <w:rPr>
                      <w:color w:val="auto"/>
                    </w:rPr>
                    <w:t>厂区、地区应急组织机构、人员</w:t>
                  </w:r>
                </w:p>
              </w:tc>
            </w:tr>
            <w:tr w14:paraId="26C33E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53" w:type="pct"/>
                  <w:vAlign w:val="center"/>
                </w:tcPr>
                <w:p w14:paraId="3CF895AE">
                  <w:pPr>
                    <w:pStyle w:val="50"/>
                    <w:jc w:val="center"/>
                    <w:rPr>
                      <w:color w:val="auto"/>
                    </w:rPr>
                  </w:pPr>
                  <w:r>
                    <w:rPr>
                      <w:color w:val="auto"/>
                    </w:rPr>
                    <w:t>4</w:t>
                  </w:r>
                </w:p>
              </w:tc>
              <w:tc>
                <w:tcPr>
                  <w:tcW w:w="1604" w:type="pct"/>
                  <w:vAlign w:val="center"/>
                </w:tcPr>
                <w:p w14:paraId="48DF9223">
                  <w:pPr>
                    <w:pStyle w:val="50"/>
                    <w:jc w:val="center"/>
                    <w:rPr>
                      <w:color w:val="auto"/>
                    </w:rPr>
                  </w:pPr>
                  <w:r>
                    <w:rPr>
                      <w:color w:val="auto"/>
                    </w:rPr>
                    <w:t>预案分级响应条件</w:t>
                  </w:r>
                </w:p>
              </w:tc>
              <w:tc>
                <w:tcPr>
                  <w:tcW w:w="2842" w:type="pct"/>
                  <w:vAlign w:val="center"/>
                </w:tcPr>
                <w:p w14:paraId="42F0429F">
                  <w:pPr>
                    <w:pStyle w:val="50"/>
                    <w:jc w:val="center"/>
                    <w:rPr>
                      <w:color w:val="auto"/>
                    </w:rPr>
                  </w:pPr>
                  <w:r>
                    <w:rPr>
                      <w:color w:val="auto"/>
                    </w:rPr>
                    <w:t>规定预案的级别及分级响应程序</w:t>
                  </w:r>
                </w:p>
              </w:tc>
            </w:tr>
            <w:tr w14:paraId="0D8A02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53" w:type="pct"/>
                  <w:vAlign w:val="center"/>
                </w:tcPr>
                <w:p w14:paraId="29F9FE96">
                  <w:pPr>
                    <w:pStyle w:val="50"/>
                    <w:jc w:val="center"/>
                    <w:rPr>
                      <w:color w:val="auto"/>
                    </w:rPr>
                  </w:pPr>
                  <w:r>
                    <w:rPr>
                      <w:color w:val="auto"/>
                    </w:rPr>
                    <w:t>5</w:t>
                  </w:r>
                </w:p>
              </w:tc>
              <w:tc>
                <w:tcPr>
                  <w:tcW w:w="1604" w:type="pct"/>
                  <w:vAlign w:val="center"/>
                </w:tcPr>
                <w:p w14:paraId="69C9A0C0">
                  <w:pPr>
                    <w:pStyle w:val="50"/>
                    <w:jc w:val="center"/>
                    <w:rPr>
                      <w:color w:val="auto"/>
                    </w:rPr>
                  </w:pPr>
                  <w:r>
                    <w:rPr>
                      <w:color w:val="auto"/>
                    </w:rPr>
                    <w:t>应急救援保障</w:t>
                  </w:r>
                </w:p>
              </w:tc>
              <w:tc>
                <w:tcPr>
                  <w:tcW w:w="2842" w:type="pct"/>
                  <w:vAlign w:val="center"/>
                </w:tcPr>
                <w:p w14:paraId="2CB25FFD">
                  <w:pPr>
                    <w:pStyle w:val="50"/>
                    <w:jc w:val="center"/>
                    <w:rPr>
                      <w:color w:val="auto"/>
                    </w:rPr>
                  </w:pPr>
                  <w:r>
                    <w:rPr>
                      <w:color w:val="auto"/>
                    </w:rPr>
                    <w:t>应急设施，设备与器材等</w:t>
                  </w:r>
                </w:p>
              </w:tc>
            </w:tr>
            <w:tr w14:paraId="70794A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53" w:type="pct"/>
                  <w:vAlign w:val="center"/>
                </w:tcPr>
                <w:p w14:paraId="16A9FD73">
                  <w:pPr>
                    <w:pStyle w:val="50"/>
                    <w:jc w:val="center"/>
                    <w:rPr>
                      <w:color w:val="auto"/>
                    </w:rPr>
                  </w:pPr>
                  <w:r>
                    <w:rPr>
                      <w:color w:val="auto"/>
                    </w:rPr>
                    <w:t>6</w:t>
                  </w:r>
                </w:p>
              </w:tc>
              <w:tc>
                <w:tcPr>
                  <w:tcW w:w="1604" w:type="pct"/>
                  <w:vAlign w:val="center"/>
                </w:tcPr>
                <w:p w14:paraId="42B3A79D">
                  <w:pPr>
                    <w:pStyle w:val="50"/>
                    <w:jc w:val="center"/>
                    <w:rPr>
                      <w:color w:val="auto"/>
                    </w:rPr>
                  </w:pPr>
                  <w:r>
                    <w:rPr>
                      <w:color w:val="auto"/>
                    </w:rPr>
                    <w:t>报警、通讯联络方式</w:t>
                  </w:r>
                </w:p>
              </w:tc>
              <w:tc>
                <w:tcPr>
                  <w:tcW w:w="2842" w:type="pct"/>
                  <w:vAlign w:val="center"/>
                </w:tcPr>
                <w:p w14:paraId="6086CE09">
                  <w:pPr>
                    <w:pStyle w:val="50"/>
                    <w:jc w:val="center"/>
                    <w:rPr>
                      <w:color w:val="auto"/>
                    </w:rPr>
                  </w:pPr>
                  <w:r>
                    <w:rPr>
                      <w:color w:val="auto"/>
                    </w:rPr>
                    <w:t>规定应急状态下的报警通讯方式、通知方式和交通保障、管制</w:t>
                  </w:r>
                </w:p>
              </w:tc>
            </w:tr>
            <w:tr w14:paraId="5BB077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553" w:type="pct"/>
                  <w:vAlign w:val="center"/>
                </w:tcPr>
                <w:p w14:paraId="5C428FA8">
                  <w:pPr>
                    <w:pStyle w:val="50"/>
                    <w:jc w:val="center"/>
                    <w:rPr>
                      <w:color w:val="auto"/>
                    </w:rPr>
                  </w:pPr>
                  <w:r>
                    <w:rPr>
                      <w:color w:val="auto"/>
                    </w:rPr>
                    <w:t>7</w:t>
                  </w:r>
                </w:p>
              </w:tc>
              <w:tc>
                <w:tcPr>
                  <w:tcW w:w="1604" w:type="pct"/>
                  <w:vAlign w:val="center"/>
                </w:tcPr>
                <w:p w14:paraId="51A2699C">
                  <w:pPr>
                    <w:pStyle w:val="50"/>
                    <w:jc w:val="center"/>
                    <w:rPr>
                      <w:color w:val="auto"/>
                    </w:rPr>
                  </w:pPr>
                  <w:r>
                    <w:rPr>
                      <w:color w:val="auto"/>
                    </w:rPr>
                    <w:t>应急环境监测、抢险、救援及控制措施</w:t>
                  </w:r>
                </w:p>
              </w:tc>
              <w:tc>
                <w:tcPr>
                  <w:tcW w:w="2842" w:type="pct"/>
                  <w:vAlign w:val="center"/>
                </w:tcPr>
                <w:p w14:paraId="40E0D841">
                  <w:pPr>
                    <w:pStyle w:val="50"/>
                    <w:jc w:val="center"/>
                    <w:rPr>
                      <w:color w:val="auto"/>
                    </w:rPr>
                  </w:pPr>
                  <w:r>
                    <w:rPr>
                      <w:color w:val="auto"/>
                    </w:rPr>
                    <w:t>由专业队伍负责对事故现场进行侦察监测，对事故性质、参数与后果进行评估，为指挥部门提供决策依据</w:t>
                  </w:r>
                </w:p>
              </w:tc>
            </w:tr>
            <w:tr w14:paraId="6304C4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53" w:type="pct"/>
                  <w:vAlign w:val="center"/>
                </w:tcPr>
                <w:p w14:paraId="2D5CF325">
                  <w:pPr>
                    <w:pStyle w:val="50"/>
                    <w:jc w:val="center"/>
                    <w:rPr>
                      <w:color w:val="auto"/>
                    </w:rPr>
                  </w:pPr>
                  <w:r>
                    <w:rPr>
                      <w:color w:val="auto"/>
                    </w:rPr>
                    <w:t>8</w:t>
                  </w:r>
                </w:p>
              </w:tc>
              <w:tc>
                <w:tcPr>
                  <w:tcW w:w="1604" w:type="pct"/>
                  <w:vAlign w:val="center"/>
                </w:tcPr>
                <w:p w14:paraId="7728970D">
                  <w:pPr>
                    <w:pStyle w:val="50"/>
                    <w:jc w:val="center"/>
                    <w:rPr>
                      <w:color w:val="auto"/>
                    </w:rPr>
                  </w:pPr>
                  <w:r>
                    <w:rPr>
                      <w:color w:val="auto"/>
                    </w:rPr>
                    <w:t>应急检测、防护措施、清除泄漏措施和器材</w:t>
                  </w:r>
                </w:p>
              </w:tc>
              <w:tc>
                <w:tcPr>
                  <w:tcW w:w="2842" w:type="pct"/>
                  <w:vAlign w:val="center"/>
                </w:tcPr>
                <w:p w14:paraId="06E02716">
                  <w:pPr>
                    <w:pStyle w:val="50"/>
                    <w:jc w:val="center"/>
                    <w:rPr>
                      <w:color w:val="auto"/>
                    </w:rPr>
                  </w:pPr>
                  <w:r>
                    <w:rPr>
                      <w:color w:val="auto"/>
                    </w:rPr>
                    <w:t>事故现场、邻近区域、控制防火区域，控制和清除污染措施及相应设备</w:t>
                  </w:r>
                </w:p>
              </w:tc>
            </w:tr>
            <w:tr w14:paraId="6141C4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553" w:type="pct"/>
                  <w:vAlign w:val="center"/>
                </w:tcPr>
                <w:p w14:paraId="6C957F97">
                  <w:pPr>
                    <w:pStyle w:val="50"/>
                    <w:jc w:val="center"/>
                    <w:rPr>
                      <w:color w:val="auto"/>
                    </w:rPr>
                  </w:pPr>
                  <w:r>
                    <w:rPr>
                      <w:color w:val="auto"/>
                    </w:rPr>
                    <w:t>9</w:t>
                  </w:r>
                </w:p>
              </w:tc>
              <w:tc>
                <w:tcPr>
                  <w:tcW w:w="1604" w:type="pct"/>
                  <w:vAlign w:val="center"/>
                </w:tcPr>
                <w:p w14:paraId="6AAC2EFD">
                  <w:pPr>
                    <w:pStyle w:val="50"/>
                    <w:jc w:val="center"/>
                    <w:rPr>
                      <w:color w:val="auto"/>
                    </w:rPr>
                  </w:pPr>
                  <w:r>
                    <w:rPr>
                      <w:color w:val="auto"/>
                    </w:rPr>
                    <w:t>人员紧急撤离、疏散，应急剂量控制、撤离组织计划</w:t>
                  </w:r>
                </w:p>
              </w:tc>
              <w:tc>
                <w:tcPr>
                  <w:tcW w:w="2842" w:type="pct"/>
                  <w:vAlign w:val="center"/>
                </w:tcPr>
                <w:p w14:paraId="3E567B6D">
                  <w:pPr>
                    <w:pStyle w:val="50"/>
                    <w:jc w:val="center"/>
                    <w:rPr>
                      <w:color w:val="auto"/>
                    </w:rPr>
                  </w:pPr>
                  <w:r>
                    <w:rPr>
                      <w:color w:val="auto"/>
                    </w:rPr>
                    <w:t>事故现场、项目区邻近区、受事故影响的区域人员及公众对毒物应急剂量控制规定，撤离组织计划及救护，医疗救护与公众健康</w:t>
                  </w:r>
                </w:p>
              </w:tc>
            </w:tr>
            <w:tr w14:paraId="389360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53" w:type="pct"/>
                  <w:vAlign w:val="center"/>
                </w:tcPr>
                <w:p w14:paraId="5E63BB64">
                  <w:pPr>
                    <w:pStyle w:val="50"/>
                    <w:jc w:val="center"/>
                    <w:rPr>
                      <w:color w:val="auto"/>
                    </w:rPr>
                  </w:pPr>
                  <w:r>
                    <w:rPr>
                      <w:color w:val="auto"/>
                    </w:rPr>
                    <w:t>10</w:t>
                  </w:r>
                </w:p>
              </w:tc>
              <w:tc>
                <w:tcPr>
                  <w:tcW w:w="1604" w:type="pct"/>
                  <w:vAlign w:val="center"/>
                </w:tcPr>
                <w:p w14:paraId="42755184">
                  <w:pPr>
                    <w:pStyle w:val="50"/>
                    <w:jc w:val="center"/>
                    <w:rPr>
                      <w:color w:val="auto"/>
                    </w:rPr>
                  </w:pPr>
                  <w:r>
                    <w:rPr>
                      <w:color w:val="auto"/>
                    </w:rPr>
                    <w:t>事故应急救援关闭程序与恢复措施</w:t>
                  </w:r>
                </w:p>
              </w:tc>
              <w:tc>
                <w:tcPr>
                  <w:tcW w:w="2842" w:type="pct"/>
                  <w:vAlign w:val="center"/>
                </w:tcPr>
                <w:p w14:paraId="6C4A47FA">
                  <w:pPr>
                    <w:pStyle w:val="50"/>
                    <w:jc w:val="center"/>
                    <w:rPr>
                      <w:color w:val="auto"/>
                    </w:rPr>
                  </w:pPr>
                  <w:r>
                    <w:rPr>
                      <w:color w:val="auto"/>
                    </w:rPr>
                    <w:t>规定应急状态终止程序，事故现场善后处理，恢复措施，邻近区域解除事故警戒及善后恢复措施</w:t>
                  </w:r>
                </w:p>
              </w:tc>
            </w:tr>
            <w:tr w14:paraId="1B747E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53" w:type="pct"/>
                  <w:vAlign w:val="center"/>
                </w:tcPr>
                <w:p w14:paraId="3E352CCF">
                  <w:pPr>
                    <w:pStyle w:val="50"/>
                    <w:jc w:val="center"/>
                    <w:rPr>
                      <w:color w:val="auto"/>
                    </w:rPr>
                  </w:pPr>
                  <w:r>
                    <w:rPr>
                      <w:color w:val="auto"/>
                    </w:rPr>
                    <w:t>11</w:t>
                  </w:r>
                </w:p>
              </w:tc>
              <w:tc>
                <w:tcPr>
                  <w:tcW w:w="1604" w:type="pct"/>
                  <w:vAlign w:val="center"/>
                </w:tcPr>
                <w:p w14:paraId="301FFE65">
                  <w:pPr>
                    <w:pStyle w:val="50"/>
                    <w:jc w:val="center"/>
                    <w:rPr>
                      <w:color w:val="auto"/>
                    </w:rPr>
                  </w:pPr>
                  <w:r>
                    <w:rPr>
                      <w:color w:val="auto"/>
                    </w:rPr>
                    <w:t>应急培训计划</w:t>
                  </w:r>
                </w:p>
              </w:tc>
              <w:tc>
                <w:tcPr>
                  <w:tcW w:w="2842" w:type="pct"/>
                  <w:vAlign w:val="center"/>
                </w:tcPr>
                <w:p w14:paraId="7F0F5FAF">
                  <w:pPr>
                    <w:pStyle w:val="50"/>
                    <w:jc w:val="center"/>
                    <w:rPr>
                      <w:color w:val="auto"/>
                    </w:rPr>
                  </w:pPr>
                  <w:r>
                    <w:rPr>
                      <w:color w:val="auto"/>
                    </w:rPr>
                    <w:t>应急计划制定后，平时安排人员培训与演练</w:t>
                  </w:r>
                </w:p>
              </w:tc>
            </w:tr>
            <w:tr w14:paraId="7EA133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53" w:type="pct"/>
                  <w:vAlign w:val="center"/>
                </w:tcPr>
                <w:p w14:paraId="15F57608">
                  <w:pPr>
                    <w:pStyle w:val="50"/>
                    <w:jc w:val="center"/>
                    <w:rPr>
                      <w:color w:val="auto"/>
                    </w:rPr>
                  </w:pPr>
                  <w:r>
                    <w:rPr>
                      <w:color w:val="auto"/>
                    </w:rPr>
                    <w:t>12</w:t>
                  </w:r>
                </w:p>
              </w:tc>
              <w:tc>
                <w:tcPr>
                  <w:tcW w:w="1604" w:type="pct"/>
                  <w:vAlign w:val="center"/>
                </w:tcPr>
                <w:p w14:paraId="07853B45">
                  <w:pPr>
                    <w:pStyle w:val="50"/>
                    <w:jc w:val="center"/>
                    <w:rPr>
                      <w:color w:val="auto"/>
                    </w:rPr>
                  </w:pPr>
                  <w:r>
                    <w:rPr>
                      <w:color w:val="auto"/>
                    </w:rPr>
                    <w:t>公众教育和信息</w:t>
                  </w:r>
                </w:p>
              </w:tc>
              <w:tc>
                <w:tcPr>
                  <w:tcW w:w="2842" w:type="pct"/>
                  <w:vAlign w:val="center"/>
                </w:tcPr>
                <w:p w14:paraId="71DED815">
                  <w:pPr>
                    <w:pStyle w:val="50"/>
                    <w:jc w:val="center"/>
                    <w:rPr>
                      <w:color w:val="auto"/>
                    </w:rPr>
                  </w:pPr>
                  <w:r>
                    <w:rPr>
                      <w:color w:val="auto"/>
                    </w:rPr>
                    <w:t>对项目区邻近地区开展公众教育、培训和发布有关信息</w:t>
                  </w:r>
                </w:p>
              </w:tc>
            </w:tr>
          </w:tbl>
          <w:p w14:paraId="753CC689">
            <w:pPr>
              <w:ind w:firstLine="480"/>
              <w:rPr>
                <w:rFonts w:cs="Times New Roman"/>
                <w:color w:val="auto"/>
              </w:rPr>
            </w:pPr>
            <w:r>
              <w:rPr>
                <w:rFonts w:cs="Times New Roman"/>
                <w:color w:val="auto"/>
              </w:rPr>
              <w:t>（3）风险评价结论</w:t>
            </w:r>
          </w:p>
          <w:p w14:paraId="3A6AD394">
            <w:pPr>
              <w:ind w:firstLine="480"/>
              <w:rPr>
                <w:rFonts w:cs="Times New Roman"/>
                <w:color w:val="auto"/>
              </w:rPr>
            </w:pPr>
            <w:r>
              <w:rPr>
                <w:rFonts w:cs="Times New Roman"/>
                <w:color w:val="auto"/>
              </w:rPr>
              <w:t>本项目主要风险源为废机油储罐泄漏及泄漏引起火灾、爆炸事故。建设单位在认真落实环评提出的各项防范措施前提下，项目的风险水平是可以接受的。</w:t>
            </w:r>
          </w:p>
          <w:p w14:paraId="02CA184B">
            <w:pPr>
              <w:ind w:firstLine="482"/>
              <w:rPr>
                <w:rFonts w:cs="Times New Roman"/>
                <w:b/>
                <w:bCs/>
                <w:color w:val="auto"/>
              </w:rPr>
            </w:pPr>
            <w:r>
              <w:rPr>
                <w:rFonts w:cs="Times New Roman"/>
                <w:b/>
                <w:bCs/>
                <w:color w:val="auto"/>
              </w:rPr>
              <w:t>六、环境监测计划</w:t>
            </w:r>
          </w:p>
          <w:p w14:paraId="1CD1A0F4">
            <w:pPr>
              <w:ind w:firstLine="480"/>
              <w:rPr>
                <w:rFonts w:cs="Times New Roman"/>
                <w:color w:val="auto"/>
              </w:rPr>
            </w:pPr>
            <w:r>
              <w:rPr>
                <w:rFonts w:cs="Times New Roman"/>
                <w:color w:val="auto"/>
              </w:rPr>
              <w:t>根据《排污单位自行监测技术指南 水泥工业》（HJ 848-2017）以及拟建项目废气和噪声等污染源的产、排情况，评价建议本项目环境监测的具体内容如下表所示：</w:t>
            </w:r>
          </w:p>
          <w:p w14:paraId="12002029">
            <w:pPr>
              <w:ind w:firstLine="480"/>
              <w:rPr>
                <w:rFonts w:cs="Times New Roman"/>
                <w:color w:val="auto"/>
              </w:rPr>
            </w:pPr>
            <w:r>
              <w:rPr>
                <w:rFonts w:cs="Times New Roman"/>
                <w:color w:val="auto"/>
              </w:rPr>
              <w:t>环境监测计划见下表。</w:t>
            </w:r>
          </w:p>
          <w:p w14:paraId="1E797BCA">
            <w:pPr>
              <w:pStyle w:val="36"/>
              <w:rPr>
                <w:rFonts w:cs="Times New Roman"/>
                <w:color w:val="auto"/>
              </w:rPr>
            </w:pPr>
            <w:r>
              <w:rPr>
                <w:rFonts w:cs="Times New Roman"/>
                <w:color w:val="auto"/>
              </w:rPr>
              <w:t>表4-22  环境监测计划</w:t>
            </w:r>
          </w:p>
          <w:tbl>
            <w:tblPr>
              <w:tblStyle w:val="2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297"/>
              <w:gridCol w:w="1507"/>
              <w:gridCol w:w="1285"/>
              <w:gridCol w:w="2758"/>
            </w:tblGrid>
            <w:tr w14:paraId="67F250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25B769BF">
                  <w:pPr>
                    <w:pStyle w:val="50"/>
                    <w:jc w:val="center"/>
                    <w:rPr>
                      <w:b/>
                      <w:bCs/>
                      <w:color w:val="auto"/>
                    </w:rPr>
                  </w:pPr>
                  <w:r>
                    <w:rPr>
                      <w:b/>
                      <w:bCs/>
                      <w:color w:val="auto"/>
                    </w:rPr>
                    <w:t>类别</w:t>
                  </w:r>
                </w:p>
              </w:tc>
              <w:tc>
                <w:tcPr>
                  <w:tcW w:w="860" w:type="pct"/>
                  <w:vAlign w:val="center"/>
                </w:tcPr>
                <w:p w14:paraId="6D4F1C33">
                  <w:pPr>
                    <w:pStyle w:val="50"/>
                    <w:jc w:val="center"/>
                    <w:rPr>
                      <w:b/>
                      <w:bCs/>
                      <w:color w:val="auto"/>
                    </w:rPr>
                  </w:pPr>
                  <w:r>
                    <w:rPr>
                      <w:b/>
                      <w:bCs/>
                      <w:color w:val="auto"/>
                    </w:rPr>
                    <w:t>监测位置</w:t>
                  </w:r>
                </w:p>
              </w:tc>
              <w:tc>
                <w:tcPr>
                  <w:tcW w:w="1000" w:type="pct"/>
                  <w:vAlign w:val="center"/>
                </w:tcPr>
                <w:p w14:paraId="21783D09">
                  <w:pPr>
                    <w:pStyle w:val="50"/>
                    <w:jc w:val="center"/>
                    <w:rPr>
                      <w:b/>
                      <w:bCs/>
                      <w:color w:val="auto"/>
                    </w:rPr>
                  </w:pPr>
                  <w:r>
                    <w:rPr>
                      <w:b/>
                      <w:bCs/>
                      <w:color w:val="auto"/>
                    </w:rPr>
                    <w:t>监测因子</w:t>
                  </w:r>
                </w:p>
              </w:tc>
              <w:tc>
                <w:tcPr>
                  <w:tcW w:w="852" w:type="pct"/>
                  <w:vAlign w:val="center"/>
                </w:tcPr>
                <w:p w14:paraId="0DDEE163">
                  <w:pPr>
                    <w:pStyle w:val="50"/>
                    <w:jc w:val="center"/>
                    <w:rPr>
                      <w:b/>
                      <w:bCs/>
                      <w:color w:val="auto"/>
                    </w:rPr>
                  </w:pPr>
                  <w:r>
                    <w:rPr>
                      <w:b/>
                      <w:bCs/>
                      <w:color w:val="auto"/>
                    </w:rPr>
                    <w:t>监测频次</w:t>
                  </w:r>
                </w:p>
              </w:tc>
              <w:tc>
                <w:tcPr>
                  <w:tcW w:w="1830" w:type="pct"/>
                  <w:vAlign w:val="center"/>
                </w:tcPr>
                <w:p w14:paraId="41E9DC6C">
                  <w:pPr>
                    <w:pStyle w:val="50"/>
                    <w:jc w:val="center"/>
                    <w:rPr>
                      <w:b/>
                      <w:bCs/>
                      <w:color w:val="auto"/>
                    </w:rPr>
                  </w:pPr>
                  <w:r>
                    <w:rPr>
                      <w:b/>
                      <w:bCs/>
                      <w:color w:val="auto"/>
                    </w:rPr>
                    <w:t>执行标准</w:t>
                  </w:r>
                </w:p>
              </w:tc>
            </w:tr>
            <w:tr w14:paraId="5A1042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26E14134">
                  <w:pPr>
                    <w:pStyle w:val="50"/>
                    <w:jc w:val="center"/>
                    <w:rPr>
                      <w:color w:val="auto"/>
                    </w:rPr>
                  </w:pPr>
                  <w:r>
                    <w:rPr>
                      <w:color w:val="auto"/>
                    </w:rPr>
                    <w:t>废气</w:t>
                  </w:r>
                </w:p>
              </w:tc>
              <w:tc>
                <w:tcPr>
                  <w:tcW w:w="860" w:type="pct"/>
                  <w:vAlign w:val="center"/>
                </w:tcPr>
                <w:p w14:paraId="16485EA3">
                  <w:pPr>
                    <w:pStyle w:val="50"/>
                    <w:jc w:val="center"/>
                    <w:rPr>
                      <w:color w:val="auto"/>
                    </w:rPr>
                  </w:pPr>
                  <w:r>
                    <w:rPr>
                      <w:color w:val="auto"/>
                    </w:rPr>
                    <w:t>厂界无组织</w:t>
                  </w:r>
                </w:p>
              </w:tc>
              <w:tc>
                <w:tcPr>
                  <w:tcW w:w="1000" w:type="pct"/>
                  <w:vAlign w:val="center"/>
                </w:tcPr>
                <w:p w14:paraId="68499A41">
                  <w:pPr>
                    <w:pStyle w:val="50"/>
                    <w:jc w:val="center"/>
                    <w:rPr>
                      <w:color w:val="auto"/>
                    </w:rPr>
                  </w:pPr>
                  <w:r>
                    <w:rPr>
                      <w:color w:val="auto"/>
                    </w:rPr>
                    <w:t>颗粒物</w:t>
                  </w:r>
                </w:p>
              </w:tc>
              <w:tc>
                <w:tcPr>
                  <w:tcW w:w="852" w:type="pct"/>
                  <w:vAlign w:val="center"/>
                </w:tcPr>
                <w:p w14:paraId="4E073346">
                  <w:pPr>
                    <w:pStyle w:val="50"/>
                    <w:jc w:val="center"/>
                    <w:rPr>
                      <w:color w:val="auto"/>
                    </w:rPr>
                  </w:pPr>
                  <w:r>
                    <w:rPr>
                      <w:color w:val="auto"/>
                    </w:rPr>
                    <w:t>每季度1次</w:t>
                  </w:r>
                </w:p>
              </w:tc>
              <w:tc>
                <w:tcPr>
                  <w:tcW w:w="1830" w:type="pct"/>
                  <w:vAlign w:val="center"/>
                </w:tcPr>
                <w:p w14:paraId="570DC744">
                  <w:pPr>
                    <w:pStyle w:val="50"/>
                    <w:jc w:val="center"/>
                    <w:rPr>
                      <w:color w:val="auto"/>
                    </w:rPr>
                  </w:pPr>
                  <w:r>
                    <w:rPr>
                      <w:color w:val="auto"/>
                    </w:rPr>
                    <w:t>《水泥工业大气污染物排放标准》（GB4915-2013）中表3大气污染物无组织排放限值</w:t>
                  </w:r>
                </w:p>
              </w:tc>
            </w:tr>
            <w:tr w14:paraId="459500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19518F21">
                  <w:pPr>
                    <w:pStyle w:val="50"/>
                    <w:jc w:val="center"/>
                    <w:rPr>
                      <w:color w:val="auto"/>
                    </w:rPr>
                  </w:pPr>
                  <w:r>
                    <w:rPr>
                      <w:color w:val="auto"/>
                    </w:rPr>
                    <w:t>噪声</w:t>
                  </w:r>
                </w:p>
              </w:tc>
              <w:tc>
                <w:tcPr>
                  <w:tcW w:w="860" w:type="pct"/>
                  <w:vAlign w:val="center"/>
                </w:tcPr>
                <w:p w14:paraId="7117CA11">
                  <w:pPr>
                    <w:pStyle w:val="50"/>
                    <w:jc w:val="center"/>
                    <w:rPr>
                      <w:color w:val="auto"/>
                    </w:rPr>
                  </w:pPr>
                  <w:r>
                    <w:rPr>
                      <w:color w:val="auto"/>
                    </w:rPr>
                    <w:t>厂界</w:t>
                  </w:r>
                </w:p>
              </w:tc>
              <w:tc>
                <w:tcPr>
                  <w:tcW w:w="1000" w:type="pct"/>
                  <w:vAlign w:val="center"/>
                </w:tcPr>
                <w:p w14:paraId="6D3EAAA0">
                  <w:pPr>
                    <w:pStyle w:val="50"/>
                    <w:jc w:val="center"/>
                    <w:rPr>
                      <w:color w:val="auto"/>
                    </w:rPr>
                  </w:pPr>
                  <w:r>
                    <w:rPr>
                      <w:color w:val="auto"/>
                    </w:rPr>
                    <w:t>等效连续A声级</w:t>
                  </w:r>
                </w:p>
              </w:tc>
              <w:tc>
                <w:tcPr>
                  <w:tcW w:w="852" w:type="pct"/>
                  <w:vAlign w:val="center"/>
                </w:tcPr>
                <w:p w14:paraId="30E14FC2">
                  <w:pPr>
                    <w:pStyle w:val="50"/>
                    <w:jc w:val="center"/>
                    <w:rPr>
                      <w:color w:val="auto"/>
                    </w:rPr>
                  </w:pPr>
                  <w:r>
                    <w:rPr>
                      <w:color w:val="auto"/>
                    </w:rPr>
                    <w:t>每季度1次</w:t>
                  </w:r>
                </w:p>
              </w:tc>
              <w:tc>
                <w:tcPr>
                  <w:tcW w:w="1830" w:type="pct"/>
                  <w:vAlign w:val="center"/>
                </w:tcPr>
                <w:p w14:paraId="728D646D">
                  <w:pPr>
                    <w:pStyle w:val="50"/>
                    <w:jc w:val="center"/>
                    <w:rPr>
                      <w:color w:val="auto"/>
                    </w:rPr>
                  </w:pPr>
                  <w:r>
                    <w:rPr>
                      <w:color w:val="auto"/>
                    </w:rPr>
                    <w:t>《工业企业厂界环境噪声排放标准》（GB12348-2008）表1工业企业厂界环境噪声排放限值</w:t>
                  </w:r>
                </w:p>
              </w:tc>
            </w:tr>
          </w:tbl>
          <w:p w14:paraId="1B208320">
            <w:pPr>
              <w:ind w:firstLine="482"/>
              <w:rPr>
                <w:rFonts w:cs="Times New Roman"/>
                <w:b/>
                <w:bCs/>
                <w:color w:val="auto"/>
              </w:rPr>
            </w:pPr>
            <w:r>
              <w:rPr>
                <w:rFonts w:cs="Times New Roman"/>
                <w:b/>
                <w:bCs/>
                <w:color w:val="auto"/>
              </w:rPr>
              <w:t>七、建设项目环境保护“三同时”验收内容</w:t>
            </w:r>
          </w:p>
          <w:p w14:paraId="6CD3B9E9">
            <w:pPr>
              <w:ind w:firstLine="480"/>
              <w:rPr>
                <w:rFonts w:cs="Times New Roman"/>
                <w:color w:val="auto"/>
              </w:rPr>
            </w:pPr>
            <w:r>
              <w:rPr>
                <w:rFonts w:cs="Times New Roman"/>
                <w:color w:val="auto"/>
              </w:rPr>
              <w:t>建设项目环境保护“三同时”验收内容见下表。</w:t>
            </w:r>
          </w:p>
          <w:p w14:paraId="703AE7CC">
            <w:pPr>
              <w:pStyle w:val="36"/>
              <w:rPr>
                <w:rFonts w:cs="Times New Roman"/>
                <w:color w:val="auto"/>
              </w:rPr>
            </w:pPr>
            <w:r>
              <w:rPr>
                <w:rFonts w:cs="Times New Roman"/>
                <w:color w:val="auto"/>
              </w:rPr>
              <w:t>表4-23  建设项目环境保护“三同时”验收一览表</w:t>
            </w:r>
          </w:p>
          <w:tbl>
            <w:tblPr>
              <w:tblStyle w:val="27"/>
              <w:tblW w:w="474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3"/>
              <w:gridCol w:w="611"/>
              <w:gridCol w:w="788"/>
              <w:gridCol w:w="1630"/>
              <w:gridCol w:w="765"/>
              <w:gridCol w:w="1246"/>
              <w:gridCol w:w="1717"/>
            </w:tblGrid>
            <w:tr w14:paraId="36B0B6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81" w:type="pct"/>
                  <w:vAlign w:val="center"/>
                </w:tcPr>
                <w:p w14:paraId="7A7B0CFE">
                  <w:pPr>
                    <w:pStyle w:val="50"/>
                    <w:jc w:val="center"/>
                    <w:rPr>
                      <w:b/>
                      <w:bCs/>
                      <w:color w:val="auto"/>
                    </w:rPr>
                  </w:pPr>
                  <w:r>
                    <w:rPr>
                      <w:b/>
                      <w:bCs/>
                      <w:color w:val="auto"/>
                    </w:rPr>
                    <w:t>类别</w:t>
                  </w:r>
                </w:p>
              </w:tc>
              <w:tc>
                <w:tcPr>
                  <w:tcW w:w="426" w:type="pct"/>
                  <w:vAlign w:val="center"/>
                </w:tcPr>
                <w:p w14:paraId="79281FA9">
                  <w:pPr>
                    <w:pStyle w:val="50"/>
                    <w:jc w:val="center"/>
                    <w:rPr>
                      <w:b/>
                      <w:bCs/>
                      <w:color w:val="auto"/>
                    </w:rPr>
                  </w:pPr>
                  <w:r>
                    <w:rPr>
                      <w:b/>
                      <w:bCs/>
                      <w:color w:val="auto"/>
                    </w:rPr>
                    <w:t>污染源</w:t>
                  </w:r>
                </w:p>
              </w:tc>
              <w:tc>
                <w:tcPr>
                  <w:tcW w:w="550" w:type="pct"/>
                  <w:vAlign w:val="center"/>
                </w:tcPr>
                <w:p w14:paraId="308836A5">
                  <w:pPr>
                    <w:pStyle w:val="50"/>
                    <w:jc w:val="center"/>
                    <w:rPr>
                      <w:b/>
                      <w:bCs/>
                      <w:color w:val="auto"/>
                    </w:rPr>
                  </w:pPr>
                  <w:r>
                    <w:rPr>
                      <w:b/>
                      <w:bCs/>
                      <w:color w:val="auto"/>
                    </w:rPr>
                    <w:t>污染物</w:t>
                  </w:r>
                </w:p>
              </w:tc>
              <w:tc>
                <w:tcPr>
                  <w:tcW w:w="1138" w:type="pct"/>
                  <w:vAlign w:val="center"/>
                </w:tcPr>
                <w:p w14:paraId="01B29D4D">
                  <w:pPr>
                    <w:pStyle w:val="50"/>
                    <w:jc w:val="center"/>
                    <w:rPr>
                      <w:b/>
                      <w:bCs/>
                      <w:color w:val="auto"/>
                    </w:rPr>
                  </w:pPr>
                  <w:r>
                    <w:rPr>
                      <w:b/>
                      <w:bCs/>
                      <w:color w:val="auto"/>
                    </w:rPr>
                    <w:t>环保措施</w:t>
                  </w:r>
                </w:p>
              </w:tc>
              <w:tc>
                <w:tcPr>
                  <w:tcW w:w="534" w:type="pct"/>
                  <w:vAlign w:val="center"/>
                </w:tcPr>
                <w:p w14:paraId="24683E85">
                  <w:pPr>
                    <w:pStyle w:val="50"/>
                    <w:jc w:val="center"/>
                    <w:rPr>
                      <w:b/>
                      <w:bCs/>
                      <w:color w:val="auto"/>
                    </w:rPr>
                  </w:pPr>
                  <w:r>
                    <w:rPr>
                      <w:b/>
                      <w:bCs/>
                      <w:color w:val="auto"/>
                    </w:rPr>
                    <w:t>验收因子</w:t>
                  </w:r>
                </w:p>
              </w:tc>
              <w:tc>
                <w:tcPr>
                  <w:tcW w:w="870" w:type="pct"/>
                  <w:vAlign w:val="center"/>
                </w:tcPr>
                <w:p w14:paraId="31B4C8B6">
                  <w:pPr>
                    <w:pStyle w:val="50"/>
                    <w:jc w:val="center"/>
                    <w:rPr>
                      <w:b/>
                      <w:bCs/>
                      <w:color w:val="auto"/>
                    </w:rPr>
                  </w:pPr>
                  <w:r>
                    <w:rPr>
                      <w:b/>
                      <w:bCs/>
                      <w:color w:val="auto"/>
                    </w:rPr>
                    <w:t>监测点位及频次</w:t>
                  </w:r>
                </w:p>
              </w:tc>
              <w:tc>
                <w:tcPr>
                  <w:tcW w:w="1199" w:type="pct"/>
                  <w:vAlign w:val="center"/>
                </w:tcPr>
                <w:p w14:paraId="466DA8C0">
                  <w:pPr>
                    <w:pStyle w:val="50"/>
                    <w:jc w:val="center"/>
                    <w:rPr>
                      <w:b/>
                      <w:bCs/>
                      <w:color w:val="auto"/>
                    </w:rPr>
                  </w:pPr>
                  <w:r>
                    <w:rPr>
                      <w:b/>
                      <w:bCs/>
                      <w:color w:val="auto"/>
                    </w:rPr>
                    <w:t>验收标准</w:t>
                  </w:r>
                </w:p>
              </w:tc>
            </w:tr>
            <w:tr w14:paraId="7AEF2C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81" w:type="pct"/>
                  <w:vMerge w:val="restart"/>
                  <w:vAlign w:val="center"/>
                </w:tcPr>
                <w:p w14:paraId="6ECC48FB">
                  <w:pPr>
                    <w:pStyle w:val="50"/>
                    <w:jc w:val="center"/>
                    <w:rPr>
                      <w:color w:val="auto"/>
                    </w:rPr>
                  </w:pPr>
                  <w:r>
                    <w:rPr>
                      <w:color w:val="auto"/>
                    </w:rPr>
                    <w:t>废气</w:t>
                  </w:r>
                </w:p>
              </w:tc>
              <w:tc>
                <w:tcPr>
                  <w:tcW w:w="426" w:type="pct"/>
                  <w:vAlign w:val="center"/>
                </w:tcPr>
                <w:p w14:paraId="1F28FDCA">
                  <w:pPr>
                    <w:pStyle w:val="50"/>
                    <w:jc w:val="center"/>
                    <w:rPr>
                      <w:color w:val="auto"/>
                    </w:rPr>
                  </w:pPr>
                  <w:r>
                    <w:rPr>
                      <w:color w:val="auto"/>
                    </w:rPr>
                    <w:t>砂石料进料粉尘</w:t>
                  </w:r>
                </w:p>
              </w:tc>
              <w:tc>
                <w:tcPr>
                  <w:tcW w:w="550" w:type="pct"/>
                  <w:vAlign w:val="center"/>
                </w:tcPr>
                <w:p w14:paraId="2EBE840D">
                  <w:pPr>
                    <w:pStyle w:val="50"/>
                    <w:jc w:val="center"/>
                    <w:rPr>
                      <w:color w:val="auto"/>
                    </w:rPr>
                  </w:pPr>
                  <w:r>
                    <w:rPr>
                      <w:color w:val="auto"/>
                    </w:rPr>
                    <w:t>颗粒物</w:t>
                  </w:r>
                </w:p>
              </w:tc>
              <w:tc>
                <w:tcPr>
                  <w:tcW w:w="1138" w:type="pct"/>
                  <w:vAlign w:val="center"/>
                </w:tcPr>
                <w:p w14:paraId="5D26F6E4">
                  <w:pPr>
                    <w:pStyle w:val="50"/>
                    <w:jc w:val="center"/>
                    <w:rPr>
                      <w:color w:val="auto"/>
                    </w:rPr>
                  </w:pPr>
                  <w:r>
                    <w:rPr>
                      <w:color w:val="auto"/>
                    </w:rPr>
                    <w:t>雾炮洒水抑尘</w:t>
                  </w:r>
                </w:p>
              </w:tc>
              <w:tc>
                <w:tcPr>
                  <w:tcW w:w="534" w:type="pct"/>
                  <w:vMerge w:val="restart"/>
                  <w:vAlign w:val="center"/>
                </w:tcPr>
                <w:p w14:paraId="08D8ADE0">
                  <w:pPr>
                    <w:pStyle w:val="50"/>
                    <w:jc w:val="center"/>
                    <w:rPr>
                      <w:color w:val="auto"/>
                    </w:rPr>
                  </w:pPr>
                  <w:r>
                    <w:rPr>
                      <w:color w:val="auto"/>
                    </w:rPr>
                    <w:t>颗粒物</w:t>
                  </w:r>
                </w:p>
              </w:tc>
              <w:tc>
                <w:tcPr>
                  <w:tcW w:w="870" w:type="pct"/>
                  <w:vMerge w:val="restart"/>
                  <w:vAlign w:val="center"/>
                </w:tcPr>
                <w:p w14:paraId="69BBCF5F">
                  <w:pPr>
                    <w:pStyle w:val="50"/>
                    <w:jc w:val="center"/>
                    <w:rPr>
                      <w:color w:val="auto"/>
                    </w:rPr>
                  </w:pPr>
                  <w:r>
                    <w:rPr>
                      <w:color w:val="auto"/>
                    </w:rPr>
                    <w:t>厂界；3次/d，共监测2天</w:t>
                  </w:r>
                </w:p>
              </w:tc>
              <w:tc>
                <w:tcPr>
                  <w:tcW w:w="1199" w:type="pct"/>
                  <w:vMerge w:val="restart"/>
                  <w:vAlign w:val="center"/>
                </w:tcPr>
                <w:p w14:paraId="0812B4E0">
                  <w:pPr>
                    <w:pStyle w:val="50"/>
                    <w:jc w:val="center"/>
                    <w:rPr>
                      <w:color w:val="auto"/>
                    </w:rPr>
                  </w:pPr>
                  <w:r>
                    <w:rPr>
                      <w:color w:val="auto"/>
                    </w:rPr>
                    <w:t>《水泥工业大气污染物排放标准》（GB4915-2013）中表3大气污染物无组织排放限值</w:t>
                  </w:r>
                </w:p>
              </w:tc>
            </w:tr>
            <w:tr w14:paraId="44AABC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1" w:type="pct"/>
                  <w:vMerge w:val="continue"/>
                  <w:vAlign w:val="center"/>
                </w:tcPr>
                <w:p w14:paraId="0A181FFA">
                  <w:pPr>
                    <w:pStyle w:val="50"/>
                    <w:jc w:val="center"/>
                    <w:rPr>
                      <w:color w:val="auto"/>
                    </w:rPr>
                  </w:pPr>
                </w:p>
              </w:tc>
              <w:tc>
                <w:tcPr>
                  <w:tcW w:w="426" w:type="pct"/>
                  <w:vAlign w:val="center"/>
                </w:tcPr>
                <w:p w14:paraId="30A9CAD1">
                  <w:pPr>
                    <w:pStyle w:val="50"/>
                    <w:jc w:val="center"/>
                    <w:rPr>
                      <w:color w:val="auto"/>
                    </w:rPr>
                  </w:pPr>
                  <w:r>
                    <w:rPr>
                      <w:color w:val="auto"/>
                    </w:rPr>
                    <w:t>砂石料装卸粉尘</w:t>
                  </w:r>
                </w:p>
              </w:tc>
              <w:tc>
                <w:tcPr>
                  <w:tcW w:w="550" w:type="pct"/>
                  <w:vAlign w:val="center"/>
                </w:tcPr>
                <w:p w14:paraId="34E928DB">
                  <w:pPr>
                    <w:pStyle w:val="50"/>
                    <w:jc w:val="center"/>
                    <w:rPr>
                      <w:color w:val="auto"/>
                    </w:rPr>
                  </w:pPr>
                  <w:r>
                    <w:rPr>
                      <w:color w:val="auto"/>
                    </w:rPr>
                    <w:t>颗粒物</w:t>
                  </w:r>
                </w:p>
              </w:tc>
              <w:tc>
                <w:tcPr>
                  <w:tcW w:w="1138" w:type="pct"/>
                  <w:vAlign w:val="center"/>
                </w:tcPr>
                <w:p w14:paraId="73E2794E">
                  <w:pPr>
                    <w:pStyle w:val="50"/>
                    <w:jc w:val="center"/>
                    <w:rPr>
                      <w:rFonts w:hint="eastAsia" w:eastAsia="宋体"/>
                      <w:color w:val="auto"/>
                      <w:lang w:eastAsia="zh-CN"/>
                    </w:rPr>
                  </w:pPr>
                  <w:r>
                    <w:rPr>
                      <w:color w:val="auto"/>
                    </w:rPr>
                    <w:t>全封闭</w:t>
                  </w:r>
                  <w:r>
                    <w:rPr>
                      <w:rFonts w:hint="eastAsia"/>
                      <w:color w:val="auto"/>
                      <w:highlight w:val="yellow"/>
                      <w:lang w:val="en-US" w:eastAsia="zh-CN"/>
                    </w:rPr>
                    <w:t>厂房</w:t>
                  </w:r>
                </w:p>
              </w:tc>
              <w:tc>
                <w:tcPr>
                  <w:tcW w:w="534" w:type="pct"/>
                  <w:vMerge w:val="continue"/>
                  <w:vAlign w:val="center"/>
                </w:tcPr>
                <w:p w14:paraId="6B97E4FC">
                  <w:pPr>
                    <w:pStyle w:val="50"/>
                    <w:jc w:val="center"/>
                    <w:rPr>
                      <w:color w:val="auto"/>
                    </w:rPr>
                  </w:pPr>
                </w:p>
              </w:tc>
              <w:tc>
                <w:tcPr>
                  <w:tcW w:w="870" w:type="pct"/>
                  <w:vMerge w:val="continue"/>
                  <w:vAlign w:val="center"/>
                </w:tcPr>
                <w:p w14:paraId="1FE87644">
                  <w:pPr>
                    <w:pStyle w:val="50"/>
                    <w:jc w:val="center"/>
                    <w:rPr>
                      <w:color w:val="auto"/>
                    </w:rPr>
                  </w:pPr>
                </w:p>
              </w:tc>
              <w:tc>
                <w:tcPr>
                  <w:tcW w:w="1199" w:type="pct"/>
                  <w:vMerge w:val="continue"/>
                  <w:vAlign w:val="center"/>
                </w:tcPr>
                <w:p w14:paraId="6B26A8AC">
                  <w:pPr>
                    <w:pStyle w:val="50"/>
                    <w:jc w:val="center"/>
                    <w:rPr>
                      <w:color w:val="auto"/>
                    </w:rPr>
                  </w:pPr>
                </w:p>
              </w:tc>
            </w:tr>
            <w:tr w14:paraId="54E291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1" w:type="pct"/>
                  <w:vMerge w:val="continue"/>
                  <w:vAlign w:val="center"/>
                </w:tcPr>
                <w:p w14:paraId="28FBA8DF">
                  <w:pPr>
                    <w:pStyle w:val="50"/>
                    <w:jc w:val="center"/>
                    <w:rPr>
                      <w:color w:val="auto"/>
                    </w:rPr>
                  </w:pPr>
                </w:p>
              </w:tc>
              <w:tc>
                <w:tcPr>
                  <w:tcW w:w="426" w:type="pct"/>
                  <w:vAlign w:val="center"/>
                </w:tcPr>
                <w:p w14:paraId="5E58ADB7">
                  <w:pPr>
                    <w:pStyle w:val="50"/>
                    <w:jc w:val="center"/>
                    <w:rPr>
                      <w:color w:val="auto"/>
                    </w:rPr>
                  </w:pPr>
                  <w:r>
                    <w:rPr>
                      <w:color w:val="auto"/>
                    </w:rPr>
                    <w:t>水泥粉料仓粉尘</w:t>
                  </w:r>
                </w:p>
              </w:tc>
              <w:tc>
                <w:tcPr>
                  <w:tcW w:w="550" w:type="pct"/>
                  <w:vAlign w:val="center"/>
                </w:tcPr>
                <w:p w14:paraId="3E9E995E">
                  <w:pPr>
                    <w:pStyle w:val="50"/>
                    <w:jc w:val="center"/>
                    <w:rPr>
                      <w:color w:val="auto"/>
                    </w:rPr>
                  </w:pPr>
                  <w:r>
                    <w:rPr>
                      <w:color w:val="auto"/>
                    </w:rPr>
                    <w:t>颗粒物</w:t>
                  </w:r>
                </w:p>
              </w:tc>
              <w:tc>
                <w:tcPr>
                  <w:tcW w:w="1138" w:type="pct"/>
                  <w:vAlign w:val="center"/>
                </w:tcPr>
                <w:p w14:paraId="4641AD11">
                  <w:pPr>
                    <w:pStyle w:val="50"/>
                    <w:jc w:val="center"/>
                    <w:rPr>
                      <w:color w:val="auto"/>
                    </w:rPr>
                  </w:pPr>
                  <w:r>
                    <w:rPr>
                      <w:color w:val="auto"/>
                    </w:rPr>
                    <w:t>脉冲袋式除尘器</w:t>
                  </w:r>
                </w:p>
              </w:tc>
              <w:tc>
                <w:tcPr>
                  <w:tcW w:w="534" w:type="pct"/>
                  <w:vMerge w:val="continue"/>
                  <w:vAlign w:val="center"/>
                </w:tcPr>
                <w:p w14:paraId="04BFBEFB">
                  <w:pPr>
                    <w:pStyle w:val="50"/>
                    <w:jc w:val="center"/>
                    <w:rPr>
                      <w:color w:val="auto"/>
                    </w:rPr>
                  </w:pPr>
                </w:p>
              </w:tc>
              <w:tc>
                <w:tcPr>
                  <w:tcW w:w="870" w:type="pct"/>
                  <w:vMerge w:val="continue"/>
                  <w:vAlign w:val="center"/>
                </w:tcPr>
                <w:p w14:paraId="71BFC326">
                  <w:pPr>
                    <w:pStyle w:val="50"/>
                    <w:jc w:val="center"/>
                    <w:rPr>
                      <w:color w:val="auto"/>
                    </w:rPr>
                  </w:pPr>
                </w:p>
              </w:tc>
              <w:tc>
                <w:tcPr>
                  <w:tcW w:w="1199" w:type="pct"/>
                  <w:vMerge w:val="continue"/>
                  <w:vAlign w:val="center"/>
                </w:tcPr>
                <w:p w14:paraId="18512C38">
                  <w:pPr>
                    <w:pStyle w:val="50"/>
                    <w:jc w:val="center"/>
                    <w:rPr>
                      <w:color w:val="auto"/>
                    </w:rPr>
                  </w:pPr>
                </w:p>
              </w:tc>
            </w:tr>
            <w:tr w14:paraId="0E294C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1" w:type="pct"/>
                  <w:vMerge w:val="continue"/>
                  <w:vAlign w:val="center"/>
                </w:tcPr>
                <w:p w14:paraId="496356F2">
                  <w:pPr>
                    <w:pStyle w:val="50"/>
                    <w:jc w:val="center"/>
                    <w:rPr>
                      <w:color w:val="auto"/>
                    </w:rPr>
                  </w:pPr>
                </w:p>
              </w:tc>
              <w:tc>
                <w:tcPr>
                  <w:tcW w:w="426" w:type="pct"/>
                  <w:vAlign w:val="center"/>
                </w:tcPr>
                <w:p w14:paraId="3C828CEC">
                  <w:pPr>
                    <w:pStyle w:val="50"/>
                    <w:jc w:val="center"/>
                    <w:rPr>
                      <w:color w:val="auto"/>
                    </w:rPr>
                  </w:pPr>
                  <w:r>
                    <w:rPr>
                      <w:rFonts w:hint="eastAsia"/>
                      <w:color w:val="auto"/>
                      <w:lang w:val="en-US" w:eastAsia="zh-CN"/>
                    </w:rPr>
                    <w:t>粉煤灰</w:t>
                  </w:r>
                  <w:r>
                    <w:rPr>
                      <w:color w:val="auto"/>
                    </w:rPr>
                    <w:t>粉料仓粉尘</w:t>
                  </w:r>
                </w:p>
              </w:tc>
              <w:tc>
                <w:tcPr>
                  <w:tcW w:w="550" w:type="pct"/>
                  <w:vAlign w:val="center"/>
                </w:tcPr>
                <w:p w14:paraId="54CFAC2C">
                  <w:pPr>
                    <w:pStyle w:val="50"/>
                    <w:jc w:val="center"/>
                    <w:rPr>
                      <w:color w:val="auto"/>
                    </w:rPr>
                  </w:pPr>
                  <w:r>
                    <w:rPr>
                      <w:color w:val="auto"/>
                    </w:rPr>
                    <w:t>颗粒物</w:t>
                  </w:r>
                </w:p>
              </w:tc>
              <w:tc>
                <w:tcPr>
                  <w:tcW w:w="1138" w:type="pct"/>
                  <w:vAlign w:val="center"/>
                </w:tcPr>
                <w:p w14:paraId="5CCEE280">
                  <w:pPr>
                    <w:pStyle w:val="50"/>
                    <w:jc w:val="center"/>
                    <w:rPr>
                      <w:color w:val="auto"/>
                    </w:rPr>
                  </w:pPr>
                  <w:r>
                    <w:rPr>
                      <w:color w:val="auto"/>
                    </w:rPr>
                    <w:t>脉冲袋式除尘器</w:t>
                  </w:r>
                </w:p>
              </w:tc>
              <w:tc>
                <w:tcPr>
                  <w:tcW w:w="534" w:type="pct"/>
                  <w:vMerge w:val="continue"/>
                  <w:vAlign w:val="center"/>
                </w:tcPr>
                <w:p w14:paraId="7E3C0298">
                  <w:pPr>
                    <w:pStyle w:val="50"/>
                    <w:jc w:val="center"/>
                    <w:rPr>
                      <w:color w:val="auto"/>
                    </w:rPr>
                  </w:pPr>
                </w:p>
              </w:tc>
              <w:tc>
                <w:tcPr>
                  <w:tcW w:w="870" w:type="pct"/>
                  <w:vMerge w:val="continue"/>
                  <w:vAlign w:val="center"/>
                </w:tcPr>
                <w:p w14:paraId="1F2879B5">
                  <w:pPr>
                    <w:pStyle w:val="50"/>
                    <w:jc w:val="center"/>
                    <w:rPr>
                      <w:color w:val="auto"/>
                    </w:rPr>
                  </w:pPr>
                </w:p>
              </w:tc>
              <w:tc>
                <w:tcPr>
                  <w:tcW w:w="1199" w:type="pct"/>
                  <w:vMerge w:val="continue"/>
                  <w:vAlign w:val="center"/>
                </w:tcPr>
                <w:p w14:paraId="4E05C3D5">
                  <w:pPr>
                    <w:pStyle w:val="50"/>
                    <w:jc w:val="center"/>
                    <w:rPr>
                      <w:color w:val="auto"/>
                    </w:rPr>
                  </w:pPr>
                </w:p>
              </w:tc>
            </w:tr>
            <w:tr w14:paraId="105755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1" w:type="pct"/>
                  <w:vMerge w:val="continue"/>
                  <w:vAlign w:val="center"/>
                </w:tcPr>
                <w:p w14:paraId="60057071">
                  <w:pPr>
                    <w:pStyle w:val="50"/>
                    <w:jc w:val="center"/>
                    <w:rPr>
                      <w:color w:val="auto"/>
                    </w:rPr>
                  </w:pPr>
                </w:p>
              </w:tc>
              <w:tc>
                <w:tcPr>
                  <w:tcW w:w="426" w:type="pct"/>
                  <w:vAlign w:val="center"/>
                </w:tcPr>
                <w:p w14:paraId="35846C6D">
                  <w:pPr>
                    <w:pStyle w:val="50"/>
                    <w:jc w:val="center"/>
                    <w:rPr>
                      <w:color w:val="auto"/>
                    </w:rPr>
                  </w:pPr>
                  <w:r>
                    <w:rPr>
                      <w:color w:val="auto"/>
                    </w:rPr>
                    <w:t>搅拌仓粉尘</w:t>
                  </w:r>
                </w:p>
              </w:tc>
              <w:tc>
                <w:tcPr>
                  <w:tcW w:w="550" w:type="pct"/>
                  <w:vAlign w:val="center"/>
                </w:tcPr>
                <w:p w14:paraId="0E3A6347">
                  <w:pPr>
                    <w:pStyle w:val="50"/>
                    <w:jc w:val="center"/>
                    <w:rPr>
                      <w:color w:val="auto"/>
                    </w:rPr>
                  </w:pPr>
                  <w:r>
                    <w:rPr>
                      <w:color w:val="auto"/>
                    </w:rPr>
                    <w:t>颗粒物</w:t>
                  </w:r>
                </w:p>
              </w:tc>
              <w:tc>
                <w:tcPr>
                  <w:tcW w:w="1138" w:type="pct"/>
                  <w:vAlign w:val="center"/>
                </w:tcPr>
                <w:p w14:paraId="711315A7">
                  <w:pPr>
                    <w:pStyle w:val="50"/>
                    <w:jc w:val="center"/>
                    <w:rPr>
                      <w:color w:val="auto"/>
                    </w:rPr>
                  </w:pPr>
                  <w:r>
                    <w:rPr>
                      <w:color w:val="auto"/>
                    </w:rPr>
                    <w:t>脉冲袋式除尘器</w:t>
                  </w:r>
                  <w:r>
                    <w:rPr>
                      <w:rFonts w:hint="eastAsia"/>
                      <w:color w:val="auto"/>
                      <w:lang w:val="en-US" w:eastAsia="zh-CN"/>
                    </w:rPr>
                    <w:t>处理后无组织</w:t>
                  </w:r>
                  <w:r>
                    <w:rPr>
                      <w:color w:val="auto"/>
                    </w:rPr>
                    <w:t>排放</w:t>
                  </w:r>
                </w:p>
              </w:tc>
              <w:tc>
                <w:tcPr>
                  <w:tcW w:w="534" w:type="pct"/>
                  <w:vMerge w:val="continue"/>
                  <w:vAlign w:val="center"/>
                </w:tcPr>
                <w:p w14:paraId="1F7E2FDC">
                  <w:pPr>
                    <w:pStyle w:val="50"/>
                    <w:jc w:val="center"/>
                    <w:rPr>
                      <w:color w:val="auto"/>
                    </w:rPr>
                  </w:pPr>
                </w:p>
              </w:tc>
              <w:tc>
                <w:tcPr>
                  <w:tcW w:w="870" w:type="pct"/>
                  <w:vMerge w:val="continue"/>
                  <w:vAlign w:val="center"/>
                </w:tcPr>
                <w:p w14:paraId="3827A1DD">
                  <w:pPr>
                    <w:pStyle w:val="50"/>
                    <w:jc w:val="center"/>
                    <w:rPr>
                      <w:color w:val="auto"/>
                    </w:rPr>
                  </w:pPr>
                </w:p>
              </w:tc>
              <w:tc>
                <w:tcPr>
                  <w:tcW w:w="1199" w:type="pct"/>
                  <w:vMerge w:val="continue"/>
                  <w:vAlign w:val="center"/>
                </w:tcPr>
                <w:p w14:paraId="71F20496">
                  <w:pPr>
                    <w:pStyle w:val="50"/>
                    <w:jc w:val="center"/>
                    <w:rPr>
                      <w:color w:val="auto"/>
                    </w:rPr>
                  </w:pPr>
                </w:p>
              </w:tc>
            </w:tr>
            <w:tr w14:paraId="1906B5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81" w:type="pct"/>
                  <w:vAlign w:val="center"/>
                </w:tcPr>
                <w:p w14:paraId="60ED2A5D">
                  <w:pPr>
                    <w:pStyle w:val="50"/>
                    <w:jc w:val="center"/>
                    <w:rPr>
                      <w:color w:val="auto"/>
                    </w:rPr>
                  </w:pPr>
                  <w:r>
                    <w:rPr>
                      <w:color w:val="auto"/>
                    </w:rPr>
                    <w:t>废水</w:t>
                  </w:r>
                </w:p>
              </w:tc>
              <w:tc>
                <w:tcPr>
                  <w:tcW w:w="426" w:type="pct"/>
                  <w:shd w:val="clear" w:color="auto" w:fill="auto"/>
                  <w:vAlign w:val="center"/>
                </w:tcPr>
                <w:p w14:paraId="22C8CA6F">
                  <w:pPr>
                    <w:pStyle w:val="50"/>
                    <w:ind w:firstLine="0" w:firstLineChars="0"/>
                    <w:jc w:val="center"/>
                    <w:rPr>
                      <w:rFonts w:ascii="Times New Roman" w:hAnsi="Times New Roman" w:eastAsia="宋体" w:cs="Times New Roman"/>
                      <w:color w:val="auto"/>
                      <w:kern w:val="2"/>
                      <w:sz w:val="21"/>
                      <w:szCs w:val="24"/>
                      <w:lang w:val="en-US" w:eastAsia="zh-CN" w:bidi="ar-SA"/>
                    </w:rPr>
                  </w:pPr>
                  <w:r>
                    <w:rPr>
                      <w:color w:val="auto"/>
                    </w:rPr>
                    <w:t>生活污水</w:t>
                  </w:r>
                </w:p>
              </w:tc>
              <w:tc>
                <w:tcPr>
                  <w:tcW w:w="550" w:type="pct"/>
                  <w:shd w:val="clear" w:color="auto" w:fill="auto"/>
                  <w:vAlign w:val="center"/>
                </w:tcPr>
                <w:p w14:paraId="23ED9F09">
                  <w:pPr>
                    <w:pStyle w:val="50"/>
                    <w:ind w:firstLine="0" w:firstLineChars="0"/>
                    <w:jc w:val="center"/>
                    <w:rPr>
                      <w:rFonts w:ascii="Times New Roman" w:hAnsi="Times New Roman" w:eastAsia="宋体" w:cs="Times New Roman"/>
                      <w:color w:val="auto"/>
                      <w:kern w:val="2"/>
                      <w:sz w:val="21"/>
                      <w:szCs w:val="24"/>
                      <w:lang w:val="en-US" w:eastAsia="zh-CN" w:bidi="ar-SA"/>
                    </w:rPr>
                  </w:pPr>
                  <w:r>
                    <w:rPr>
                      <w:color w:val="auto"/>
                    </w:rPr>
                    <w:t>pH、COD</w:t>
                  </w:r>
                  <w:r>
                    <w:rPr>
                      <w:color w:val="auto"/>
                      <w:vertAlign w:val="subscript"/>
                    </w:rPr>
                    <w:t>cr</w:t>
                  </w:r>
                  <w:r>
                    <w:rPr>
                      <w:color w:val="auto"/>
                    </w:rPr>
                    <w:t>、BOD</w:t>
                  </w:r>
                  <w:r>
                    <w:rPr>
                      <w:color w:val="auto"/>
                      <w:vertAlign w:val="subscript"/>
                    </w:rPr>
                    <w:t>5</w:t>
                  </w:r>
                  <w:r>
                    <w:rPr>
                      <w:color w:val="auto"/>
                    </w:rPr>
                    <w:t>、氨氮及SS等</w:t>
                  </w:r>
                </w:p>
              </w:tc>
              <w:tc>
                <w:tcPr>
                  <w:tcW w:w="1138" w:type="pct"/>
                  <w:shd w:val="clear" w:color="auto" w:fill="auto"/>
                  <w:vAlign w:val="center"/>
                </w:tcPr>
                <w:p w14:paraId="178884C4">
                  <w:pPr>
                    <w:pStyle w:val="50"/>
                    <w:ind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color w:val="auto"/>
                      <w:lang w:eastAsia="zh-CN"/>
                    </w:rPr>
                    <w:t>厂区化粪池</w:t>
                  </w:r>
                </w:p>
              </w:tc>
              <w:tc>
                <w:tcPr>
                  <w:tcW w:w="534" w:type="pct"/>
                  <w:shd w:val="clear" w:color="auto" w:fill="auto"/>
                  <w:vAlign w:val="center"/>
                </w:tcPr>
                <w:p w14:paraId="55A275EA">
                  <w:pPr>
                    <w:pStyle w:val="50"/>
                    <w:ind w:firstLine="0" w:firstLineChars="0"/>
                    <w:jc w:val="center"/>
                    <w:rPr>
                      <w:rFonts w:ascii="Times New Roman" w:hAnsi="Times New Roman" w:eastAsia="宋体" w:cs="Times New Roman"/>
                      <w:color w:val="auto"/>
                      <w:kern w:val="2"/>
                      <w:sz w:val="21"/>
                      <w:szCs w:val="24"/>
                      <w:lang w:val="en-US" w:eastAsia="zh-CN" w:bidi="ar-SA"/>
                    </w:rPr>
                  </w:pPr>
                  <w:r>
                    <w:rPr>
                      <w:color w:val="auto"/>
                    </w:rPr>
                    <w:t>—</w:t>
                  </w:r>
                </w:p>
              </w:tc>
              <w:tc>
                <w:tcPr>
                  <w:tcW w:w="870" w:type="pct"/>
                  <w:shd w:val="clear" w:color="auto" w:fill="auto"/>
                  <w:vAlign w:val="center"/>
                </w:tcPr>
                <w:p w14:paraId="5F1B7F69">
                  <w:pPr>
                    <w:pStyle w:val="50"/>
                    <w:ind w:firstLine="0" w:firstLineChars="0"/>
                    <w:jc w:val="center"/>
                    <w:rPr>
                      <w:rFonts w:ascii="Times New Roman" w:hAnsi="Times New Roman" w:eastAsia="宋体" w:cs="Times New Roman"/>
                      <w:color w:val="auto"/>
                      <w:kern w:val="2"/>
                      <w:sz w:val="21"/>
                      <w:szCs w:val="24"/>
                      <w:lang w:val="en-US" w:eastAsia="zh-CN" w:bidi="ar-SA"/>
                    </w:rPr>
                  </w:pPr>
                  <w:r>
                    <w:rPr>
                      <w:color w:val="auto"/>
                    </w:rPr>
                    <w:t>—</w:t>
                  </w:r>
                </w:p>
              </w:tc>
              <w:tc>
                <w:tcPr>
                  <w:tcW w:w="1199" w:type="pct"/>
                  <w:shd w:val="clear" w:color="auto" w:fill="auto"/>
                  <w:vAlign w:val="center"/>
                </w:tcPr>
                <w:p w14:paraId="578E6B4C">
                  <w:pPr>
                    <w:pStyle w:val="50"/>
                    <w:ind w:firstLine="0" w:firstLineChars="0"/>
                    <w:jc w:val="center"/>
                    <w:rPr>
                      <w:rFonts w:ascii="Times New Roman" w:hAnsi="Times New Roman" w:eastAsia="宋体" w:cs="Times New Roman"/>
                      <w:color w:val="auto"/>
                      <w:kern w:val="2"/>
                      <w:sz w:val="21"/>
                      <w:szCs w:val="24"/>
                      <w:lang w:val="en-US" w:eastAsia="zh-CN" w:bidi="ar-SA"/>
                    </w:rPr>
                  </w:pPr>
                  <w:r>
                    <w:rPr>
                      <w:color w:val="auto"/>
                    </w:rPr>
                    <w:t>不外排</w:t>
                  </w:r>
                </w:p>
              </w:tc>
            </w:tr>
            <w:tr w14:paraId="0A6358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81" w:type="pct"/>
                  <w:vMerge w:val="restart"/>
                  <w:vAlign w:val="center"/>
                </w:tcPr>
                <w:p w14:paraId="64A2D8C5">
                  <w:pPr>
                    <w:pStyle w:val="50"/>
                    <w:jc w:val="center"/>
                    <w:rPr>
                      <w:color w:val="auto"/>
                    </w:rPr>
                  </w:pPr>
                  <w:r>
                    <w:rPr>
                      <w:color w:val="auto"/>
                    </w:rPr>
                    <w:t>固废</w:t>
                  </w:r>
                </w:p>
              </w:tc>
              <w:tc>
                <w:tcPr>
                  <w:tcW w:w="426" w:type="pct"/>
                  <w:vAlign w:val="center"/>
                </w:tcPr>
                <w:p w14:paraId="59156F8C">
                  <w:pPr>
                    <w:pStyle w:val="50"/>
                    <w:jc w:val="center"/>
                    <w:rPr>
                      <w:color w:val="auto"/>
                    </w:rPr>
                  </w:pPr>
                  <w:r>
                    <w:rPr>
                      <w:color w:val="auto"/>
                    </w:rPr>
                    <w:t>出厂检验</w:t>
                  </w:r>
                </w:p>
              </w:tc>
              <w:tc>
                <w:tcPr>
                  <w:tcW w:w="550" w:type="pct"/>
                  <w:vAlign w:val="center"/>
                </w:tcPr>
                <w:p w14:paraId="11B6E5A5">
                  <w:pPr>
                    <w:pStyle w:val="50"/>
                    <w:jc w:val="center"/>
                    <w:rPr>
                      <w:color w:val="auto"/>
                    </w:rPr>
                  </w:pPr>
                  <w:r>
                    <w:rPr>
                      <w:color w:val="auto"/>
                    </w:rPr>
                    <w:t>成品残次品</w:t>
                  </w:r>
                </w:p>
              </w:tc>
              <w:tc>
                <w:tcPr>
                  <w:tcW w:w="1138" w:type="pct"/>
                  <w:vAlign w:val="center"/>
                </w:tcPr>
                <w:p w14:paraId="52BF2DA6">
                  <w:pPr>
                    <w:pStyle w:val="50"/>
                    <w:jc w:val="center"/>
                    <w:rPr>
                      <w:color w:val="auto"/>
                    </w:rPr>
                  </w:pPr>
                  <w:r>
                    <w:rPr>
                      <w:color w:val="auto"/>
                    </w:rPr>
                    <w:t>收集后暂存于成品堆场一侧，外售砖厂</w:t>
                  </w:r>
                </w:p>
              </w:tc>
              <w:tc>
                <w:tcPr>
                  <w:tcW w:w="534" w:type="pct"/>
                  <w:vMerge w:val="restart"/>
                  <w:vAlign w:val="center"/>
                </w:tcPr>
                <w:p w14:paraId="2BFE9BB2">
                  <w:pPr>
                    <w:pStyle w:val="50"/>
                    <w:jc w:val="center"/>
                    <w:rPr>
                      <w:color w:val="auto"/>
                    </w:rPr>
                  </w:pPr>
                  <w:r>
                    <w:rPr>
                      <w:color w:val="auto"/>
                    </w:rPr>
                    <w:t>—</w:t>
                  </w:r>
                </w:p>
              </w:tc>
              <w:tc>
                <w:tcPr>
                  <w:tcW w:w="870" w:type="pct"/>
                  <w:vMerge w:val="restart"/>
                  <w:vAlign w:val="center"/>
                </w:tcPr>
                <w:p w14:paraId="420A8FE1">
                  <w:pPr>
                    <w:pStyle w:val="50"/>
                    <w:jc w:val="center"/>
                    <w:rPr>
                      <w:color w:val="auto"/>
                    </w:rPr>
                  </w:pPr>
                  <w:r>
                    <w:rPr>
                      <w:color w:val="auto"/>
                    </w:rPr>
                    <w:t>—</w:t>
                  </w:r>
                </w:p>
              </w:tc>
              <w:tc>
                <w:tcPr>
                  <w:tcW w:w="1199" w:type="pct"/>
                  <w:vMerge w:val="restart"/>
                  <w:vAlign w:val="center"/>
                </w:tcPr>
                <w:p w14:paraId="7DB46CAD">
                  <w:pPr>
                    <w:pStyle w:val="50"/>
                    <w:jc w:val="center"/>
                    <w:rPr>
                      <w:color w:val="auto"/>
                    </w:rPr>
                  </w:pPr>
                  <w:r>
                    <w:rPr>
                      <w:color w:val="auto"/>
                    </w:rPr>
                    <w:t>《一般工业固体废物贮存和填埋污染控制标准》（GB18599-2020）标准要求</w:t>
                  </w:r>
                </w:p>
              </w:tc>
            </w:tr>
            <w:tr w14:paraId="484679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281" w:type="pct"/>
                  <w:vMerge w:val="continue"/>
                  <w:vAlign w:val="center"/>
                </w:tcPr>
                <w:p w14:paraId="7268A5C6">
                  <w:pPr>
                    <w:pStyle w:val="50"/>
                    <w:jc w:val="center"/>
                    <w:rPr>
                      <w:color w:val="auto"/>
                    </w:rPr>
                  </w:pPr>
                </w:p>
              </w:tc>
              <w:tc>
                <w:tcPr>
                  <w:tcW w:w="426" w:type="pct"/>
                  <w:vAlign w:val="center"/>
                </w:tcPr>
                <w:p w14:paraId="7E4F79ED">
                  <w:pPr>
                    <w:pStyle w:val="50"/>
                    <w:jc w:val="center"/>
                    <w:rPr>
                      <w:rFonts w:hint="eastAsia" w:eastAsia="宋体"/>
                      <w:color w:val="auto"/>
                      <w:lang w:eastAsia="zh-CN"/>
                    </w:rPr>
                  </w:pPr>
                  <w:r>
                    <w:rPr>
                      <w:rFonts w:hint="eastAsia"/>
                      <w:color w:val="auto"/>
                      <w:lang w:eastAsia="zh-CN"/>
                    </w:rPr>
                    <w:t>钢筋笼制作</w:t>
                  </w:r>
                </w:p>
              </w:tc>
              <w:tc>
                <w:tcPr>
                  <w:tcW w:w="550" w:type="pct"/>
                  <w:vAlign w:val="center"/>
                </w:tcPr>
                <w:p w14:paraId="757465E5">
                  <w:pPr>
                    <w:pStyle w:val="50"/>
                    <w:jc w:val="center"/>
                    <w:rPr>
                      <w:color w:val="auto"/>
                    </w:rPr>
                  </w:pPr>
                  <w:r>
                    <w:rPr>
                      <w:color w:val="auto"/>
                    </w:rPr>
                    <w:t>金属边角料</w:t>
                  </w:r>
                </w:p>
              </w:tc>
              <w:tc>
                <w:tcPr>
                  <w:tcW w:w="1138" w:type="pct"/>
                  <w:vAlign w:val="center"/>
                </w:tcPr>
                <w:p w14:paraId="5B03878E">
                  <w:pPr>
                    <w:pStyle w:val="50"/>
                    <w:jc w:val="center"/>
                    <w:rPr>
                      <w:color w:val="auto"/>
                    </w:rPr>
                  </w:pPr>
                  <w:r>
                    <w:rPr>
                      <w:color w:val="auto"/>
                    </w:rPr>
                    <w:t>收集后暂存于一般固废暂存间，外售废品回收站。</w:t>
                  </w:r>
                </w:p>
              </w:tc>
              <w:tc>
                <w:tcPr>
                  <w:tcW w:w="534" w:type="pct"/>
                  <w:vMerge w:val="continue"/>
                  <w:vAlign w:val="center"/>
                </w:tcPr>
                <w:p w14:paraId="56BDB0B0">
                  <w:pPr>
                    <w:pStyle w:val="50"/>
                    <w:jc w:val="center"/>
                    <w:rPr>
                      <w:color w:val="auto"/>
                    </w:rPr>
                  </w:pPr>
                </w:p>
              </w:tc>
              <w:tc>
                <w:tcPr>
                  <w:tcW w:w="870" w:type="pct"/>
                  <w:vMerge w:val="continue"/>
                  <w:vAlign w:val="center"/>
                </w:tcPr>
                <w:p w14:paraId="02B7A4F9">
                  <w:pPr>
                    <w:pStyle w:val="50"/>
                    <w:jc w:val="center"/>
                    <w:rPr>
                      <w:color w:val="auto"/>
                    </w:rPr>
                  </w:pPr>
                </w:p>
              </w:tc>
              <w:tc>
                <w:tcPr>
                  <w:tcW w:w="1199" w:type="pct"/>
                  <w:vMerge w:val="continue"/>
                  <w:vAlign w:val="center"/>
                </w:tcPr>
                <w:p w14:paraId="1291354E">
                  <w:pPr>
                    <w:pStyle w:val="50"/>
                    <w:jc w:val="center"/>
                    <w:rPr>
                      <w:color w:val="auto"/>
                    </w:rPr>
                  </w:pPr>
                </w:p>
              </w:tc>
            </w:tr>
            <w:tr w14:paraId="20A920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81" w:type="pct"/>
                  <w:vMerge w:val="continue"/>
                  <w:vAlign w:val="center"/>
                </w:tcPr>
                <w:p w14:paraId="67B83447">
                  <w:pPr>
                    <w:pStyle w:val="50"/>
                    <w:jc w:val="center"/>
                    <w:rPr>
                      <w:color w:val="auto"/>
                    </w:rPr>
                  </w:pPr>
                </w:p>
              </w:tc>
              <w:tc>
                <w:tcPr>
                  <w:tcW w:w="426" w:type="pct"/>
                  <w:vMerge w:val="restart"/>
                  <w:vAlign w:val="center"/>
                </w:tcPr>
                <w:p w14:paraId="787C84F3">
                  <w:pPr>
                    <w:pStyle w:val="50"/>
                    <w:jc w:val="center"/>
                    <w:rPr>
                      <w:color w:val="auto"/>
                    </w:rPr>
                  </w:pPr>
                  <w:r>
                    <w:rPr>
                      <w:color w:val="auto"/>
                    </w:rPr>
                    <w:t>混凝土制备</w:t>
                  </w:r>
                </w:p>
              </w:tc>
              <w:tc>
                <w:tcPr>
                  <w:tcW w:w="550" w:type="pct"/>
                  <w:vAlign w:val="center"/>
                </w:tcPr>
                <w:p w14:paraId="3310B527">
                  <w:pPr>
                    <w:pStyle w:val="50"/>
                    <w:jc w:val="center"/>
                    <w:rPr>
                      <w:color w:val="auto"/>
                    </w:rPr>
                  </w:pPr>
                  <w:r>
                    <w:rPr>
                      <w:color w:val="auto"/>
                    </w:rPr>
                    <w:t>除尘灰</w:t>
                  </w:r>
                </w:p>
              </w:tc>
              <w:tc>
                <w:tcPr>
                  <w:tcW w:w="1138" w:type="pct"/>
                  <w:vAlign w:val="center"/>
                </w:tcPr>
                <w:p w14:paraId="27DBD3F1">
                  <w:pPr>
                    <w:pStyle w:val="50"/>
                    <w:jc w:val="center"/>
                    <w:rPr>
                      <w:color w:val="auto"/>
                    </w:rPr>
                  </w:pPr>
                  <w:r>
                    <w:rPr>
                      <w:color w:val="auto"/>
                    </w:rPr>
                    <w:t>收集后回用于本项目搅拌站</w:t>
                  </w:r>
                </w:p>
              </w:tc>
              <w:tc>
                <w:tcPr>
                  <w:tcW w:w="534" w:type="pct"/>
                  <w:vMerge w:val="continue"/>
                  <w:vAlign w:val="center"/>
                </w:tcPr>
                <w:p w14:paraId="0787DF68">
                  <w:pPr>
                    <w:pStyle w:val="50"/>
                    <w:jc w:val="center"/>
                    <w:rPr>
                      <w:color w:val="auto"/>
                    </w:rPr>
                  </w:pPr>
                </w:p>
              </w:tc>
              <w:tc>
                <w:tcPr>
                  <w:tcW w:w="870" w:type="pct"/>
                  <w:vMerge w:val="continue"/>
                  <w:vAlign w:val="center"/>
                </w:tcPr>
                <w:p w14:paraId="04B95CF6">
                  <w:pPr>
                    <w:pStyle w:val="50"/>
                    <w:jc w:val="center"/>
                    <w:rPr>
                      <w:color w:val="auto"/>
                    </w:rPr>
                  </w:pPr>
                </w:p>
              </w:tc>
              <w:tc>
                <w:tcPr>
                  <w:tcW w:w="1199" w:type="pct"/>
                  <w:vMerge w:val="continue"/>
                  <w:vAlign w:val="center"/>
                </w:tcPr>
                <w:p w14:paraId="5E8C9C40">
                  <w:pPr>
                    <w:pStyle w:val="50"/>
                    <w:jc w:val="center"/>
                    <w:rPr>
                      <w:color w:val="auto"/>
                    </w:rPr>
                  </w:pPr>
                </w:p>
              </w:tc>
            </w:tr>
            <w:tr w14:paraId="71D3CA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81" w:type="pct"/>
                  <w:vMerge w:val="continue"/>
                  <w:vAlign w:val="center"/>
                </w:tcPr>
                <w:p w14:paraId="34FEA114">
                  <w:pPr>
                    <w:pStyle w:val="50"/>
                    <w:jc w:val="center"/>
                    <w:rPr>
                      <w:color w:val="auto"/>
                    </w:rPr>
                  </w:pPr>
                </w:p>
              </w:tc>
              <w:tc>
                <w:tcPr>
                  <w:tcW w:w="426" w:type="pct"/>
                  <w:vMerge w:val="continue"/>
                  <w:vAlign w:val="center"/>
                </w:tcPr>
                <w:p w14:paraId="51827175">
                  <w:pPr>
                    <w:pStyle w:val="50"/>
                    <w:jc w:val="center"/>
                    <w:rPr>
                      <w:color w:val="auto"/>
                    </w:rPr>
                  </w:pPr>
                </w:p>
              </w:tc>
              <w:tc>
                <w:tcPr>
                  <w:tcW w:w="550" w:type="pct"/>
                  <w:vAlign w:val="center"/>
                </w:tcPr>
                <w:p w14:paraId="56DC3CE8">
                  <w:pPr>
                    <w:pStyle w:val="50"/>
                    <w:jc w:val="center"/>
                    <w:rPr>
                      <w:color w:val="auto"/>
                    </w:rPr>
                  </w:pPr>
                  <w:r>
                    <w:rPr>
                      <w:color w:val="auto"/>
                    </w:rPr>
                    <w:t>粉料仓废气沉淀水箱沉渣</w:t>
                  </w:r>
                </w:p>
              </w:tc>
              <w:tc>
                <w:tcPr>
                  <w:tcW w:w="1138" w:type="pct"/>
                  <w:vAlign w:val="center"/>
                </w:tcPr>
                <w:p w14:paraId="7060009B">
                  <w:pPr>
                    <w:pStyle w:val="50"/>
                    <w:jc w:val="center"/>
                    <w:rPr>
                      <w:color w:val="auto"/>
                    </w:rPr>
                  </w:pPr>
                  <w:r>
                    <w:rPr>
                      <w:color w:val="auto"/>
                    </w:rPr>
                    <w:t>定期清掏，外售砖厂</w:t>
                  </w:r>
                </w:p>
              </w:tc>
              <w:tc>
                <w:tcPr>
                  <w:tcW w:w="534" w:type="pct"/>
                  <w:vMerge w:val="continue"/>
                  <w:vAlign w:val="center"/>
                </w:tcPr>
                <w:p w14:paraId="79BF0E8C">
                  <w:pPr>
                    <w:pStyle w:val="50"/>
                    <w:jc w:val="center"/>
                    <w:rPr>
                      <w:color w:val="auto"/>
                    </w:rPr>
                  </w:pPr>
                </w:p>
              </w:tc>
              <w:tc>
                <w:tcPr>
                  <w:tcW w:w="870" w:type="pct"/>
                  <w:vMerge w:val="continue"/>
                  <w:vAlign w:val="center"/>
                </w:tcPr>
                <w:p w14:paraId="62DEBAFB">
                  <w:pPr>
                    <w:pStyle w:val="50"/>
                    <w:jc w:val="center"/>
                    <w:rPr>
                      <w:color w:val="auto"/>
                    </w:rPr>
                  </w:pPr>
                </w:p>
              </w:tc>
              <w:tc>
                <w:tcPr>
                  <w:tcW w:w="1199" w:type="pct"/>
                  <w:vMerge w:val="continue"/>
                  <w:vAlign w:val="center"/>
                </w:tcPr>
                <w:p w14:paraId="415D5966">
                  <w:pPr>
                    <w:pStyle w:val="50"/>
                    <w:jc w:val="center"/>
                    <w:rPr>
                      <w:color w:val="auto"/>
                    </w:rPr>
                  </w:pPr>
                </w:p>
              </w:tc>
            </w:tr>
            <w:tr w14:paraId="393052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281" w:type="pct"/>
                  <w:vMerge w:val="continue"/>
                  <w:vAlign w:val="center"/>
                </w:tcPr>
                <w:p w14:paraId="16ADCA95">
                  <w:pPr>
                    <w:pStyle w:val="50"/>
                    <w:jc w:val="center"/>
                    <w:rPr>
                      <w:color w:val="auto"/>
                    </w:rPr>
                  </w:pPr>
                </w:p>
              </w:tc>
              <w:tc>
                <w:tcPr>
                  <w:tcW w:w="426" w:type="pct"/>
                  <w:vMerge w:val="restart"/>
                  <w:vAlign w:val="center"/>
                </w:tcPr>
                <w:p w14:paraId="58FCDF87">
                  <w:pPr>
                    <w:pStyle w:val="50"/>
                    <w:jc w:val="center"/>
                    <w:rPr>
                      <w:color w:val="auto"/>
                    </w:rPr>
                  </w:pPr>
                  <w:r>
                    <w:rPr>
                      <w:color w:val="auto"/>
                    </w:rPr>
                    <w:t>张拉</w:t>
                  </w:r>
                </w:p>
              </w:tc>
              <w:tc>
                <w:tcPr>
                  <w:tcW w:w="550" w:type="pct"/>
                  <w:vAlign w:val="center"/>
                </w:tcPr>
                <w:p w14:paraId="21FE0133">
                  <w:pPr>
                    <w:pStyle w:val="50"/>
                    <w:jc w:val="center"/>
                    <w:rPr>
                      <w:color w:val="auto"/>
                    </w:rPr>
                  </w:pPr>
                  <w:r>
                    <w:rPr>
                      <w:color w:val="auto"/>
                    </w:rPr>
                    <w:t>废机油</w:t>
                  </w:r>
                </w:p>
              </w:tc>
              <w:tc>
                <w:tcPr>
                  <w:tcW w:w="1138" w:type="pct"/>
                  <w:vAlign w:val="center"/>
                </w:tcPr>
                <w:p w14:paraId="27C0DDD8">
                  <w:pPr>
                    <w:pStyle w:val="50"/>
                    <w:jc w:val="center"/>
                    <w:rPr>
                      <w:color w:val="auto"/>
                    </w:rPr>
                  </w:pPr>
                  <w:r>
                    <w:rPr>
                      <w:color w:val="auto"/>
                    </w:rPr>
                    <w:t>密闭油桶收集后，暂存于危废暂存间，委托有资质单位拉运处置。设置1座危废暂存间，占地面积为10m</w:t>
                  </w:r>
                  <w:r>
                    <w:rPr>
                      <w:color w:val="auto"/>
                      <w:vertAlign w:val="superscript"/>
                    </w:rPr>
                    <w:t>2</w:t>
                  </w:r>
                  <w:r>
                    <w:rPr>
                      <w:color w:val="auto"/>
                    </w:rPr>
                    <w:t>，全封闭设置，用于存放废机油，危废间裙脚高度为150mm，内设置导流槽、集液池，导流槽与集液池相连，废机油泄漏后通过导流槽流入集液池，导流槽、集液池均按《危险废物贮存污染控制标准》（GB18597-2023）要求进行防渗和防腐，渗透系数K≤10</w:t>
                  </w:r>
                  <w:r>
                    <w:rPr>
                      <w:color w:val="auto"/>
                      <w:vertAlign w:val="superscript"/>
                    </w:rPr>
                    <w:t>-10</w:t>
                  </w:r>
                  <w:r>
                    <w:rPr>
                      <w:color w:val="auto"/>
                    </w:rPr>
                    <w:t>cm/s</w:t>
                  </w:r>
                </w:p>
              </w:tc>
              <w:tc>
                <w:tcPr>
                  <w:tcW w:w="534" w:type="pct"/>
                  <w:vAlign w:val="center"/>
                </w:tcPr>
                <w:p w14:paraId="67333E22">
                  <w:pPr>
                    <w:pStyle w:val="50"/>
                    <w:jc w:val="center"/>
                    <w:rPr>
                      <w:color w:val="auto"/>
                    </w:rPr>
                  </w:pPr>
                  <w:r>
                    <w:rPr>
                      <w:color w:val="auto"/>
                    </w:rPr>
                    <w:t>—</w:t>
                  </w:r>
                </w:p>
              </w:tc>
              <w:tc>
                <w:tcPr>
                  <w:tcW w:w="870" w:type="pct"/>
                  <w:vAlign w:val="center"/>
                </w:tcPr>
                <w:p w14:paraId="5FE420B0">
                  <w:pPr>
                    <w:pStyle w:val="50"/>
                    <w:jc w:val="center"/>
                    <w:rPr>
                      <w:color w:val="auto"/>
                    </w:rPr>
                  </w:pPr>
                  <w:r>
                    <w:rPr>
                      <w:color w:val="auto"/>
                    </w:rPr>
                    <w:t>—</w:t>
                  </w:r>
                </w:p>
              </w:tc>
              <w:tc>
                <w:tcPr>
                  <w:tcW w:w="1199" w:type="pct"/>
                  <w:vAlign w:val="center"/>
                </w:tcPr>
                <w:p w14:paraId="61E4BAAB">
                  <w:pPr>
                    <w:pStyle w:val="50"/>
                    <w:jc w:val="center"/>
                    <w:rPr>
                      <w:color w:val="auto"/>
                    </w:rPr>
                  </w:pPr>
                  <w:r>
                    <w:rPr>
                      <w:color w:val="auto"/>
                    </w:rPr>
                    <w:t>《危险废物贮存污染控制标准》（GB18597-2023）要求</w:t>
                  </w:r>
                </w:p>
              </w:tc>
            </w:tr>
            <w:tr w14:paraId="36D7FF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Merge w:val="continue"/>
                  <w:vAlign w:val="center"/>
                </w:tcPr>
                <w:p w14:paraId="686D9502">
                  <w:pPr>
                    <w:pStyle w:val="50"/>
                    <w:jc w:val="center"/>
                    <w:rPr>
                      <w:color w:val="auto"/>
                    </w:rPr>
                  </w:pPr>
                </w:p>
              </w:tc>
              <w:tc>
                <w:tcPr>
                  <w:tcW w:w="426" w:type="pct"/>
                  <w:vMerge w:val="continue"/>
                  <w:vAlign w:val="center"/>
                </w:tcPr>
                <w:p w14:paraId="5F6F26BF">
                  <w:pPr>
                    <w:pStyle w:val="50"/>
                    <w:jc w:val="center"/>
                    <w:rPr>
                      <w:color w:val="auto"/>
                    </w:rPr>
                  </w:pPr>
                </w:p>
              </w:tc>
              <w:tc>
                <w:tcPr>
                  <w:tcW w:w="550" w:type="pct"/>
                  <w:vAlign w:val="center"/>
                </w:tcPr>
                <w:p w14:paraId="066F4893">
                  <w:pPr>
                    <w:pStyle w:val="50"/>
                    <w:jc w:val="center"/>
                    <w:rPr>
                      <w:color w:val="auto"/>
                    </w:rPr>
                  </w:pPr>
                  <w:r>
                    <w:rPr>
                      <w:color w:val="auto"/>
                    </w:rPr>
                    <w:t>含油抹布</w:t>
                  </w:r>
                </w:p>
              </w:tc>
              <w:tc>
                <w:tcPr>
                  <w:tcW w:w="1138" w:type="pct"/>
                  <w:vAlign w:val="center"/>
                </w:tcPr>
                <w:p w14:paraId="28903B07">
                  <w:pPr>
                    <w:pStyle w:val="50"/>
                    <w:jc w:val="center"/>
                    <w:rPr>
                      <w:rFonts w:hint="default" w:eastAsia="宋体"/>
                      <w:color w:val="auto"/>
                      <w:lang w:val="en-US" w:eastAsia="zh-CN"/>
                    </w:rPr>
                  </w:pPr>
                  <w:r>
                    <w:rPr>
                      <w:rFonts w:hint="eastAsia"/>
                      <w:color w:val="auto"/>
                      <w:lang w:val="en-US" w:eastAsia="zh-CN"/>
                    </w:rPr>
                    <w:t>与废机油共同暂存于危废间，一同处置</w:t>
                  </w:r>
                </w:p>
              </w:tc>
              <w:tc>
                <w:tcPr>
                  <w:tcW w:w="534" w:type="pct"/>
                  <w:vAlign w:val="center"/>
                </w:tcPr>
                <w:p w14:paraId="5424BBDF">
                  <w:pPr>
                    <w:pStyle w:val="50"/>
                    <w:jc w:val="center"/>
                    <w:rPr>
                      <w:color w:val="auto"/>
                    </w:rPr>
                  </w:pPr>
                  <w:r>
                    <w:rPr>
                      <w:color w:val="auto"/>
                    </w:rPr>
                    <w:t>—</w:t>
                  </w:r>
                </w:p>
              </w:tc>
              <w:tc>
                <w:tcPr>
                  <w:tcW w:w="870" w:type="pct"/>
                  <w:vAlign w:val="center"/>
                </w:tcPr>
                <w:p w14:paraId="4CF502D0">
                  <w:pPr>
                    <w:pStyle w:val="50"/>
                    <w:jc w:val="center"/>
                    <w:rPr>
                      <w:color w:val="auto"/>
                    </w:rPr>
                  </w:pPr>
                  <w:r>
                    <w:rPr>
                      <w:color w:val="auto"/>
                    </w:rPr>
                    <w:t>—</w:t>
                  </w:r>
                </w:p>
              </w:tc>
              <w:tc>
                <w:tcPr>
                  <w:tcW w:w="1199" w:type="pct"/>
                  <w:vAlign w:val="center"/>
                </w:tcPr>
                <w:p w14:paraId="465D3203">
                  <w:pPr>
                    <w:pStyle w:val="50"/>
                    <w:jc w:val="center"/>
                    <w:rPr>
                      <w:color w:val="auto"/>
                    </w:rPr>
                  </w:pPr>
                  <w:r>
                    <w:rPr>
                      <w:color w:val="auto"/>
                    </w:rPr>
                    <w:t>妥善处理</w:t>
                  </w:r>
                </w:p>
              </w:tc>
            </w:tr>
            <w:tr w14:paraId="0EDACB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281" w:type="pct"/>
                  <w:vMerge w:val="continue"/>
                  <w:vAlign w:val="center"/>
                </w:tcPr>
                <w:p w14:paraId="5D009F1E">
                  <w:pPr>
                    <w:pStyle w:val="50"/>
                    <w:jc w:val="center"/>
                    <w:rPr>
                      <w:color w:val="auto"/>
                    </w:rPr>
                  </w:pPr>
                </w:p>
              </w:tc>
              <w:tc>
                <w:tcPr>
                  <w:tcW w:w="426" w:type="pct"/>
                  <w:vAlign w:val="center"/>
                </w:tcPr>
                <w:p w14:paraId="77A03DD2">
                  <w:pPr>
                    <w:pStyle w:val="50"/>
                    <w:jc w:val="center"/>
                    <w:rPr>
                      <w:color w:val="auto"/>
                    </w:rPr>
                  </w:pPr>
                  <w:r>
                    <w:rPr>
                      <w:color w:val="auto"/>
                    </w:rPr>
                    <w:t>员工</w:t>
                  </w:r>
                </w:p>
              </w:tc>
              <w:tc>
                <w:tcPr>
                  <w:tcW w:w="550" w:type="pct"/>
                  <w:vAlign w:val="center"/>
                </w:tcPr>
                <w:p w14:paraId="354CCA6F">
                  <w:pPr>
                    <w:pStyle w:val="50"/>
                    <w:jc w:val="center"/>
                    <w:rPr>
                      <w:color w:val="auto"/>
                    </w:rPr>
                  </w:pPr>
                  <w:r>
                    <w:rPr>
                      <w:color w:val="auto"/>
                    </w:rPr>
                    <w:t>生活垃圾</w:t>
                  </w:r>
                </w:p>
              </w:tc>
              <w:tc>
                <w:tcPr>
                  <w:tcW w:w="1138" w:type="pct"/>
                  <w:vAlign w:val="center"/>
                </w:tcPr>
                <w:p w14:paraId="3362AF1F">
                  <w:pPr>
                    <w:pStyle w:val="50"/>
                    <w:jc w:val="center"/>
                    <w:rPr>
                      <w:color w:val="auto"/>
                    </w:rPr>
                  </w:pPr>
                  <w:r>
                    <w:rPr>
                      <w:color w:val="auto"/>
                    </w:rPr>
                    <w:t>设垃圾桶集中收集后，委托当地环卫部门清运处理</w:t>
                  </w:r>
                </w:p>
              </w:tc>
              <w:tc>
                <w:tcPr>
                  <w:tcW w:w="534" w:type="pct"/>
                  <w:vAlign w:val="center"/>
                </w:tcPr>
                <w:p w14:paraId="30492E7E">
                  <w:pPr>
                    <w:pStyle w:val="50"/>
                    <w:jc w:val="center"/>
                    <w:rPr>
                      <w:color w:val="auto"/>
                    </w:rPr>
                  </w:pPr>
                  <w:r>
                    <w:rPr>
                      <w:color w:val="auto"/>
                    </w:rPr>
                    <w:t>—</w:t>
                  </w:r>
                </w:p>
              </w:tc>
              <w:tc>
                <w:tcPr>
                  <w:tcW w:w="870" w:type="pct"/>
                  <w:vAlign w:val="center"/>
                </w:tcPr>
                <w:p w14:paraId="25EB3413">
                  <w:pPr>
                    <w:pStyle w:val="50"/>
                    <w:jc w:val="center"/>
                    <w:rPr>
                      <w:color w:val="auto"/>
                    </w:rPr>
                  </w:pPr>
                  <w:r>
                    <w:rPr>
                      <w:color w:val="auto"/>
                    </w:rPr>
                    <w:t>—</w:t>
                  </w:r>
                </w:p>
              </w:tc>
              <w:tc>
                <w:tcPr>
                  <w:tcW w:w="1199" w:type="pct"/>
                  <w:vAlign w:val="center"/>
                </w:tcPr>
                <w:p w14:paraId="213B8751">
                  <w:pPr>
                    <w:pStyle w:val="50"/>
                    <w:jc w:val="center"/>
                    <w:rPr>
                      <w:color w:val="auto"/>
                    </w:rPr>
                  </w:pPr>
                  <w:r>
                    <w:rPr>
                      <w:color w:val="auto"/>
                    </w:rPr>
                    <w:t>妥善处理</w:t>
                  </w:r>
                </w:p>
              </w:tc>
            </w:tr>
            <w:tr w14:paraId="07E0FA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281" w:type="pct"/>
                  <w:vAlign w:val="center"/>
                </w:tcPr>
                <w:p w14:paraId="0A2BC8BC">
                  <w:pPr>
                    <w:pStyle w:val="50"/>
                    <w:jc w:val="center"/>
                    <w:rPr>
                      <w:color w:val="auto"/>
                    </w:rPr>
                  </w:pPr>
                  <w:r>
                    <w:rPr>
                      <w:color w:val="auto"/>
                    </w:rPr>
                    <w:t>噪声</w:t>
                  </w:r>
                </w:p>
              </w:tc>
              <w:tc>
                <w:tcPr>
                  <w:tcW w:w="426" w:type="pct"/>
                  <w:vAlign w:val="center"/>
                </w:tcPr>
                <w:p w14:paraId="177F6CF6">
                  <w:pPr>
                    <w:pStyle w:val="50"/>
                    <w:jc w:val="center"/>
                    <w:rPr>
                      <w:color w:val="auto"/>
                    </w:rPr>
                  </w:pPr>
                  <w:r>
                    <w:rPr>
                      <w:color w:val="auto"/>
                    </w:rPr>
                    <w:t>设备噪声</w:t>
                  </w:r>
                </w:p>
              </w:tc>
              <w:tc>
                <w:tcPr>
                  <w:tcW w:w="550" w:type="pct"/>
                  <w:vAlign w:val="center"/>
                </w:tcPr>
                <w:p w14:paraId="5771C1C8">
                  <w:pPr>
                    <w:pStyle w:val="50"/>
                    <w:jc w:val="center"/>
                    <w:rPr>
                      <w:color w:val="auto"/>
                    </w:rPr>
                  </w:pPr>
                  <w:r>
                    <w:rPr>
                      <w:color w:val="auto"/>
                    </w:rPr>
                    <w:t>噪声</w:t>
                  </w:r>
                </w:p>
              </w:tc>
              <w:tc>
                <w:tcPr>
                  <w:tcW w:w="1138" w:type="pct"/>
                  <w:vAlign w:val="center"/>
                </w:tcPr>
                <w:p w14:paraId="3286E943">
                  <w:pPr>
                    <w:pStyle w:val="50"/>
                    <w:jc w:val="center"/>
                    <w:rPr>
                      <w:color w:val="auto"/>
                    </w:rPr>
                  </w:pPr>
                  <w:r>
                    <w:rPr>
                      <w:color w:val="auto"/>
                    </w:rPr>
                    <w:t>设备设置减振降噪设施，定期维修养护</w:t>
                  </w:r>
                </w:p>
              </w:tc>
              <w:tc>
                <w:tcPr>
                  <w:tcW w:w="534" w:type="pct"/>
                  <w:vAlign w:val="center"/>
                </w:tcPr>
                <w:p w14:paraId="617805F9">
                  <w:pPr>
                    <w:pStyle w:val="50"/>
                    <w:jc w:val="center"/>
                    <w:rPr>
                      <w:color w:val="auto"/>
                    </w:rPr>
                  </w:pPr>
                  <w:r>
                    <w:rPr>
                      <w:color w:val="auto"/>
                    </w:rPr>
                    <w:t>厂界排放至：</w:t>
                  </w:r>
                </w:p>
                <w:p w14:paraId="5883A83C">
                  <w:pPr>
                    <w:pStyle w:val="50"/>
                    <w:jc w:val="center"/>
                    <w:rPr>
                      <w:color w:val="auto"/>
                    </w:rPr>
                  </w:pPr>
                  <w:r>
                    <w:rPr>
                      <w:color w:val="auto"/>
                    </w:rPr>
                    <w:t>昼间≤6</w:t>
                  </w:r>
                  <w:r>
                    <w:rPr>
                      <w:rFonts w:hint="eastAsia"/>
                      <w:color w:val="auto"/>
                      <w:lang w:val="en-US" w:eastAsia="zh-CN"/>
                    </w:rPr>
                    <w:t>0</w:t>
                  </w:r>
                  <w:r>
                    <w:rPr>
                      <w:color w:val="auto"/>
                    </w:rPr>
                    <w:t>dB(A)</w:t>
                  </w:r>
                </w:p>
                <w:p w14:paraId="557404CE">
                  <w:pPr>
                    <w:pStyle w:val="50"/>
                    <w:jc w:val="center"/>
                    <w:rPr>
                      <w:color w:val="auto"/>
                    </w:rPr>
                  </w:pPr>
                  <w:r>
                    <w:rPr>
                      <w:color w:val="auto"/>
                    </w:rPr>
                    <w:t>夜间≤5</w:t>
                  </w:r>
                  <w:r>
                    <w:rPr>
                      <w:rFonts w:hint="eastAsia"/>
                      <w:color w:val="auto"/>
                      <w:lang w:val="en-US" w:eastAsia="zh-CN"/>
                    </w:rPr>
                    <w:t>0</w:t>
                  </w:r>
                  <w:r>
                    <w:rPr>
                      <w:color w:val="auto"/>
                    </w:rPr>
                    <w:t>dB(A)</w:t>
                  </w:r>
                </w:p>
              </w:tc>
              <w:tc>
                <w:tcPr>
                  <w:tcW w:w="870" w:type="pct"/>
                  <w:vAlign w:val="center"/>
                </w:tcPr>
                <w:p w14:paraId="0FAFBDCB">
                  <w:pPr>
                    <w:pStyle w:val="50"/>
                    <w:jc w:val="center"/>
                    <w:rPr>
                      <w:color w:val="auto"/>
                    </w:rPr>
                  </w:pPr>
                  <w:r>
                    <w:rPr>
                      <w:color w:val="auto"/>
                    </w:rPr>
                    <w:t>厂界：</w:t>
                  </w:r>
                </w:p>
                <w:p w14:paraId="6BA04E64">
                  <w:pPr>
                    <w:pStyle w:val="50"/>
                    <w:jc w:val="center"/>
                    <w:rPr>
                      <w:color w:val="auto"/>
                    </w:rPr>
                  </w:pPr>
                  <w:r>
                    <w:rPr>
                      <w:color w:val="auto"/>
                    </w:rPr>
                    <w:t>连续监测2天，昼夜各1次</w:t>
                  </w:r>
                </w:p>
              </w:tc>
              <w:tc>
                <w:tcPr>
                  <w:tcW w:w="1199" w:type="pct"/>
                  <w:vAlign w:val="center"/>
                </w:tcPr>
                <w:p w14:paraId="3389191E">
                  <w:pPr>
                    <w:pStyle w:val="50"/>
                    <w:jc w:val="center"/>
                    <w:rPr>
                      <w:color w:val="auto"/>
                    </w:rPr>
                  </w:pPr>
                  <w:r>
                    <w:rPr>
                      <w:color w:val="auto"/>
                    </w:rPr>
                    <w:t>《工业企业厂界环境噪声排放标准》（GB12348-2008）中2类标准要求</w:t>
                  </w:r>
                </w:p>
              </w:tc>
            </w:tr>
          </w:tbl>
          <w:p w14:paraId="64349329">
            <w:pPr>
              <w:ind w:firstLine="482"/>
              <w:rPr>
                <w:rFonts w:cs="Times New Roman"/>
                <w:color w:val="auto"/>
              </w:rPr>
            </w:pPr>
            <w:r>
              <w:rPr>
                <w:rFonts w:cs="Times New Roman"/>
                <w:b/>
                <w:bCs/>
                <w:color w:val="auto"/>
              </w:rPr>
              <w:t>八、环保投资估算</w:t>
            </w:r>
          </w:p>
          <w:p w14:paraId="4BC3E5E0">
            <w:pPr>
              <w:ind w:firstLine="480"/>
              <w:rPr>
                <w:rFonts w:cs="Times New Roman"/>
                <w:color w:val="auto"/>
              </w:rPr>
            </w:pPr>
            <w:r>
              <w:rPr>
                <w:rFonts w:cs="Times New Roman"/>
                <w:color w:val="auto"/>
              </w:rPr>
              <w:t>本项目总投资为</w:t>
            </w:r>
            <w:r>
              <w:rPr>
                <w:rFonts w:hint="eastAsia" w:cs="Times New Roman"/>
                <w:color w:val="auto"/>
                <w:lang w:val="en-US" w:eastAsia="zh-CN"/>
              </w:rPr>
              <w:t>600</w:t>
            </w:r>
            <w:r>
              <w:rPr>
                <w:rFonts w:cs="Times New Roman"/>
                <w:color w:val="auto"/>
              </w:rPr>
              <w:t>万元，其中环保投资</w:t>
            </w:r>
            <w:r>
              <w:rPr>
                <w:rFonts w:hint="eastAsia" w:cs="Times New Roman"/>
                <w:color w:val="auto"/>
                <w:lang w:val="en-US" w:eastAsia="zh-CN"/>
              </w:rPr>
              <w:t>121.5</w:t>
            </w:r>
            <w:r>
              <w:rPr>
                <w:rFonts w:cs="Times New Roman"/>
                <w:color w:val="auto"/>
              </w:rPr>
              <w:t>万元，占总投资的</w:t>
            </w:r>
            <w:r>
              <w:rPr>
                <w:rFonts w:hint="eastAsia" w:cs="Times New Roman"/>
                <w:color w:val="auto"/>
                <w:lang w:val="en-US" w:eastAsia="zh-CN"/>
              </w:rPr>
              <w:t>20.25</w:t>
            </w:r>
            <w:r>
              <w:rPr>
                <w:rFonts w:cs="Times New Roman"/>
                <w:color w:val="auto"/>
              </w:rPr>
              <w:t>%。本项目污染防治措施及环保投资情况见下表。</w:t>
            </w:r>
          </w:p>
          <w:p w14:paraId="52C435EE">
            <w:pPr>
              <w:pStyle w:val="36"/>
              <w:rPr>
                <w:rFonts w:cs="Times New Roman"/>
                <w:color w:val="auto"/>
              </w:rPr>
            </w:pPr>
            <w:r>
              <w:rPr>
                <w:rFonts w:cs="Times New Roman"/>
                <w:color w:val="auto"/>
              </w:rPr>
              <w:t>表4-24  环保投资估算一览表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82"/>
              <w:gridCol w:w="1014"/>
              <w:gridCol w:w="1032"/>
              <w:gridCol w:w="1283"/>
              <w:gridCol w:w="2087"/>
              <w:gridCol w:w="627"/>
              <w:gridCol w:w="1013"/>
            </w:tblGrid>
            <w:tr w14:paraId="2C7A5E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319" w:type="pct"/>
                  <w:vAlign w:val="center"/>
                </w:tcPr>
                <w:p w14:paraId="1739CEC0">
                  <w:pPr>
                    <w:pStyle w:val="50"/>
                    <w:jc w:val="center"/>
                    <w:rPr>
                      <w:b/>
                      <w:bCs/>
                      <w:color w:val="auto"/>
                    </w:rPr>
                  </w:pPr>
                  <w:r>
                    <w:rPr>
                      <w:b/>
                      <w:bCs/>
                      <w:color w:val="auto"/>
                    </w:rPr>
                    <w:t>序号</w:t>
                  </w:r>
                </w:p>
              </w:tc>
              <w:tc>
                <w:tcPr>
                  <w:tcW w:w="672" w:type="pct"/>
                  <w:vAlign w:val="center"/>
                </w:tcPr>
                <w:p w14:paraId="65F0EA05">
                  <w:pPr>
                    <w:pStyle w:val="50"/>
                    <w:jc w:val="center"/>
                    <w:rPr>
                      <w:b/>
                      <w:bCs/>
                      <w:color w:val="auto"/>
                    </w:rPr>
                  </w:pPr>
                  <w:r>
                    <w:rPr>
                      <w:b/>
                      <w:bCs/>
                      <w:color w:val="auto"/>
                    </w:rPr>
                    <w:t>项目名称</w:t>
                  </w:r>
                </w:p>
              </w:tc>
              <w:tc>
                <w:tcPr>
                  <w:tcW w:w="684" w:type="pct"/>
                  <w:vAlign w:val="center"/>
                </w:tcPr>
                <w:p w14:paraId="1EAB734E">
                  <w:pPr>
                    <w:pStyle w:val="50"/>
                    <w:jc w:val="center"/>
                    <w:rPr>
                      <w:b/>
                      <w:bCs/>
                      <w:color w:val="auto"/>
                    </w:rPr>
                  </w:pPr>
                  <w:r>
                    <w:rPr>
                      <w:b/>
                      <w:bCs/>
                      <w:color w:val="auto"/>
                    </w:rPr>
                    <w:t>污染源</w:t>
                  </w:r>
                </w:p>
              </w:tc>
              <w:tc>
                <w:tcPr>
                  <w:tcW w:w="851" w:type="pct"/>
                  <w:vAlign w:val="center"/>
                </w:tcPr>
                <w:p w14:paraId="3390F79E">
                  <w:pPr>
                    <w:pStyle w:val="50"/>
                    <w:jc w:val="center"/>
                    <w:rPr>
                      <w:b/>
                      <w:bCs/>
                      <w:color w:val="auto"/>
                    </w:rPr>
                  </w:pPr>
                  <w:r>
                    <w:rPr>
                      <w:b/>
                      <w:bCs/>
                      <w:color w:val="auto"/>
                    </w:rPr>
                    <w:t>污染因子</w:t>
                  </w:r>
                </w:p>
              </w:tc>
              <w:tc>
                <w:tcPr>
                  <w:tcW w:w="1384" w:type="pct"/>
                  <w:vAlign w:val="center"/>
                </w:tcPr>
                <w:p w14:paraId="1BB42664">
                  <w:pPr>
                    <w:pStyle w:val="50"/>
                    <w:jc w:val="center"/>
                    <w:rPr>
                      <w:b/>
                      <w:bCs/>
                      <w:color w:val="auto"/>
                    </w:rPr>
                  </w:pPr>
                  <w:r>
                    <w:rPr>
                      <w:b/>
                      <w:bCs/>
                      <w:color w:val="auto"/>
                    </w:rPr>
                    <w:t>环保措施</w:t>
                  </w:r>
                </w:p>
              </w:tc>
              <w:tc>
                <w:tcPr>
                  <w:tcW w:w="415" w:type="pct"/>
                  <w:vAlign w:val="center"/>
                </w:tcPr>
                <w:p w14:paraId="4D483177">
                  <w:pPr>
                    <w:pStyle w:val="50"/>
                    <w:jc w:val="center"/>
                    <w:rPr>
                      <w:b/>
                      <w:bCs/>
                      <w:color w:val="auto"/>
                    </w:rPr>
                  </w:pPr>
                  <w:r>
                    <w:rPr>
                      <w:b/>
                      <w:bCs/>
                      <w:color w:val="auto"/>
                    </w:rPr>
                    <w:t>数量</w:t>
                  </w:r>
                </w:p>
              </w:tc>
              <w:tc>
                <w:tcPr>
                  <w:tcW w:w="671" w:type="pct"/>
                  <w:vAlign w:val="center"/>
                </w:tcPr>
                <w:p w14:paraId="4867B47F">
                  <w:pPr>
                    <w:pStyle w:val="50"/>
                    <w:jc w:val="center"/>
                    <w:rPr>
                      <w:b/>
                      <w:bCs/>
                      <w:color w:val="auto"/>
                    </w:rPr>
                  </w:pPr>
                  <w:r>
                    <w:rPr>
                      <w:b/>
                      <w:bCs/>
                      <w:color w:val="auto"/>
                    </w:rPr>
                    <w:t>投资（万元）</w:t>
                  </w:r>
                </w:p>
              </w:tc>
            </w:tr>
            <w:tr w14:paraId="09164F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319" w:type="pct"/>
                  <w:vMerge w:val="restart"/>
                  <w:vAlign w:val="center"/>
                </w:tcPr>
                <w:p w14:paraId="328720DE">
                  <w:pPr>
                    <w:pStyle w:val="50"/>
                    <w:jc w:val="center"/>
                    <w:rPr>
                      <w:color w:val="auto"/>
                    </w:rPr>
                  </w:pPr>
                  <w:r>
                    <w:rPr>
                      <w:color w:val="auto"/>
                    </w:rPr>
                    <w:t>1</w:t>
                  </w:r>
                </w:p>
              </w:tc>
              <w:tc>
                <w:tcPr>
                  <w:tcW w:w="672" w:type="pct"/>
                  <w:vMerge w:val="restart"/>
                  <w:vAlign w:val="center"/>
                </w:tcPr>
                <w:p w14:paraId="3A8BA29A">
                  <w:pPr>
                    <w:pStyle w:val="50"/>
                    <w:jc w:val="center"/>
                    <w:rPr>
                      <w:color w:val="auto"/>
                    </w:rPr>
                  </w:pPr>
                  <w:r>
                    <w:rPr>
                      <w:color w:val="auto"/>
                    </w:rPr>
                    <w:t>废气治理</w:t>
                  </w:r>
                </w:p>
              </w:tc>
              <w:tc>
                <w:tcPr>
                  <w:tcW w:w="684" w:type="pct"/>
                  <w:vAlign w:val="center"/>
                </w:tcPr>
                <w:p w14:paraId="1180A7F6">
                  <w:pPr>
                    <w:pStyle w:val="50"/>
                    <w:jc w:val="center"/>
                    <w:rPr>
                      <w:color w:val="auto"/>
                    </w:rPr>
                  </w:pPr>
                  <w:r>
                    <w:rPr>
                      <w:color w:val="auto"/>
                    </w:rPr>
                    <w:t>砂石料进料</w:t>
                  </w:r>
                </w:p>
              </w:tc>
              <w:tc>
                <w:tcPr>
                  <w:tcW w:w="851" w:type="pct"/>
                  <w:vAlign w:val="center"/>
                </w:tcPr>
                <w:p w14:paraId="499D4ECE">
                  <w:pPr>
                    <w:pStyle w:val="50"/>
                    <w:jc w:val="center"/>
                    <w:rPr>
                      <w:color w:val="auto"/>
                    </w:rPr>
                  </w:pPr>
                  <w:r>
                    <w:rPr>
                      <w:color w:val="auto"/>
                    </w:rPr>
                    <w:t>颗粒物</w:t>
                  </w:r>
                </w:p>
              </w:tc>
              <w:tc>
                <w:tcPr>
                  <w:tcW w:w="1384" w:type="pct"/>
                  <w:vAlign w:val="center"/>
                </w:tcPr>
                <w:p w14:paraId="55DFF6B5">
                  <w:pPr>
                    <w:pStyle w:val="50"/>
                    <w:jc w:val="center"/>
                    <w:rPr>
                      <w:color w:val="auto"/>
                    </w:rPr>
                  </w:pPr>
                  <w:r>
                    <w:rPr>
                      <w:color w:val="auto"/>
                    </w:rPr>
                    <w:t>全封闭进料斗+雾炮洒水抑尘</w:t>
                  </w:r>
                </w:p>
              </w:tc>
              <w:tc>
                <w:tcPr>
                  <w:tcW w:w="415" w:type="pct"/>
                  <w:vAlign w:val="center"/>
                </w:tcPr>
                <w:p w14:paraId="26AEB01B">
                  <w:pPr>
                    <w:pStyle w:val="50"/>
                    <w:jc w:val="center"/>
                    <w:rPr>
                      <w:color w:val="auto"/>
                    </w:rPr>
                  </w:pPr>
                  <w:r>
                    <w:rPr>
                      <w:color w:val="auto"/>
                    </w:rPr>
                    <w:t>1</w:t>
                  </w:r>
                </w:p>
              </w:tc>
              <w:tc>
                <w:tcPr>
                  <w:tcW w:w="671" w:type="pct"/>
                  <w:vAlign w:val="center"/>
                </w:tcPr>
                <w:p w14:paraId="60C8B49C">
                  <w:pPr>
                    <w:pStyle w:val="50"/>
                    <w:jc w:val="center"/>
                    <w:rPr>
                      <w:color w:val="auto"/>
                    </w:rPr>
                  </w:pPr>
                  <w:r>
                    <w:rPr>
                      <w:color w:val="auto"/>
                    </w:rPr>
                    <w:t>10</w:t>
                  </w:r>
                </w:p>
              </w:tc>
            </w:tr>
            <w:tr w14:paraId="022552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319" w:type="pct"/>
                  <w:vMerge w:val="continue"/>
                  <w:vAlign w:val="center"/>
                </w:tcPr>
                <w:p w14:paraId="21EDCFCD">
                  <w:pPr>
                    <w:pStyle w:val="50"/>
                    <w:jc w:val="center"/>
                    <w:rPr>
                      <w:color w:val="auto"/>
                    </w:rPr>
                  </w:pPr>
                </w:p>
              </w:tc>
              <w:tc>
                <w:tcPr>
                  <w:tcW w:w="672" w:type="pct"/>
                  <w:vMerge w:val="continue"/>
                  <w:vAlign w:val="center"/>
                </w:tcPr>
                <w:p w14:paraId="352FD0F6">
                  <w:pPr>
                    <w:pStyle w:val="50"/>
                    <w:jc w:val="center"/>
                    <w:rPr>
                      <w:color w:val="auto"/>
                    </w:rPr>
                  </w:pPr>
                </w:p>
              </w:tc>
              <w:tc>
                <w:tcPr>
                  <w:tcW w:w="684" w:type="pct"/>
                  <w:vAlign w:val="center"/>
                </w:tcPr>
                <w:p w14:paraId="4C4317DA">
                  <w:pPr>
                    <w:pStyle w:val="50"/>
                    <w:jc w:val="center"/>
                    <w:rPr>
                      <w:color w:val="auto"/>
                    </w:rPr>
                  </w:pPr>
                  <w:r>
                    <w:rPr>
                      <w:color w:val="auto"/>
                    </w:rPr>
                    <w:t>砂石料装卸</w:t>
                  </w:r>
                </w:p>
              </w:tc>
              <w:tc>
                <w:tcPr>
                  <w:tcW w:w="851" w:type="pct"/>
                  <w:vAlign w:val="center"/>
                </w:tcPr>
                <w:p w14:paraId="36CB0D75">
                  <w:pPr>
                    <w:pStyle w:val="50"/>
                    <w:jc w:val="center"/>
                    <w:rPr>
                      <w:color w:val="auto"/>
                    </w:rPr>
                  </w:pPr>
                  <w:r>
                    <w:rPr>
                      <w:color w:val="auto"/>
                    </w:rPr>
                    <w:t>颗粒物</w:t>
                  </w:r>
                </w:p>
              </w:tc>
              <w:tc>
                <w:tcPr>
                  <w:tcW w:w="1384" w:type="pct"/>
                  <w:vAlign w:val="center"/>
                </w:tcPr>
                <w:p w14:paraId="387814B0">
                  <w:pPr>
                    <w:pStyle w:val="50"/>
                    <w:jc w:val="center"/>
                    <w:rPr>
                      <w:color w:val="auto"/>
                    </w:rPr>
                  </w:pPr>
                  <w:r>
                    <w:rPr>
                      <w:color w:val="auto"/>
                    </w:rPr>
                    <w:t>洒水抑尘+全封闭堆场</w:t>
                  </w:r>
                </w:p>
              </w:tc>
              <w:tc>
                <w:tcPr>
                  <w:tcW w:w="415" w:type="pct"/>
                  <w:vAlign w:val="center"/>
                </w:tcPr>
                <w:p w14:paraId="254DD564">
                  <w:pPr>
                    <w:pStyle w:val="50"/>
                    <w:jc w:val="center"/>
                    <w:rPr>
                      <w:color w:val="auto"/>
                    </w:rPr>
                  </w:pPr>
                  <w:r>
                    <w:rPr>
                      <w:color w:val="auto"/>
                    </w:rPr>
                    <w:t>/</w:t>
                  </w:r>
                </w:p>
              </w:tc>
              <w:tc>
                <w:tcPr>
                  <w:tcW w:w="671" w:type="pct"/>
                  <w:vAlign w:val="center"/>
                </w:tcPr>
                <w:p w14:paraId="2E426B3F">
                  <w:pPr>
                    <w:pStyle w:val="50"/>
                    <w:jc w:val="center"/>
                    <w:rPr>
                      <w:color w:val="auto"/>
                    </w:rPr>
                  </w:pPr>
                  <w:r>
                    <w:rPr>
                      <w:color w:val="auto"/>
                    </w:rPr>
                    <w:t>10</w:t>
                  </w:r>
                </w:p>
              </w:tc>
            </w:tr>
            <w:tr w14:paraId="1985E9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319" w:type="pct"/>
                  <w:vMerge w:val="continue"/>
                  <w:vAlign w:val="center"/>
                </w:tcPr>
                <w:p w14:paraId="32D61033">
                  <w:pPr>
                    <w:pStyle w:val="50"/>
                    <w:jc w:val="center"/>
                    <w:rPr>
                      <w:color w:val="auto"/>
                    </w:rPr>
                  </w:pPr>
                </w:p>
              </w:tc>
              <w:tc>
                <w:tcPr>
                  <w:tcW w:w="672" w:type="pct"/>
                  <w:vMerge w:val="continue"/>
                  <w:vAlign w:val="center"/>
                </w:tcPr>
                <w:p w14:paraId="66444588">
                  <w:pPr>
                    <w:pStyle w:val="50"/>
                    <w:jc w:val="center"/>
                    <w:rPr>
                      <w:color w:val="auto"/>
                    </w:rPr>
                  </w:pPr>
                </w:p>
              </w:tc>
              <w:tc>
                <w:tcPr>
                  <w:tcW w:w="684" w:type="pct"/>
                  <w:vAlign w:val="center"/>
                </w:tcPr>
                <w:p w14:paraId="2D43B6A6">
                  <w:pPr>
                    <w:pStyle w:val="50"/>
                    <w:jc w:val="center"/>
                    <w:rPr>
                      <w:color w:val="auto"/>
                    </w:rPr>
                  </w:pPr>
                  <w:r>
                    <w:rPr>
                      <w:color w:val="auto"/>
                    </w:rPr>
                    <w:t>水泥粉料仓</w:t>
                  </w:r>
                </w:p>
              </w:tc>
              <w:tc>
                <w:tcPr>
                  <w:tcW w:w="851" w:type="pct"/>
                  <w:vAlign w:val="center"/>
                </w:tcPr>
                <w:p w14:paraId="17FE22E6">
                  <w:pPr>
                    <w:pStyle w:val="50"/>
                    <w:jc w:val="center"/>
                    <w:rPr>
                      <w:color w:val="auto"/>
                    </w:rPr>
                  </w:pPr>
                  <w:r>
                    <w:rPr>
                      <w:color w:val="auto"/>
                    </w:rPr>
                    <w:t>颗粒物</w:t>
                  </w:r>
                </w:p>
              </w:tc>
              <w:tc>
                <w:tcPr>
                  <w:tcW w:w="1384" w:type="pct"/>
                  <w:vAlign w:val="center"/>
                </w:tcPr>
                <w:p w14:paraId="22654529">
                  <w:pPr>
                    <w:pStyle w:val="50"/>
                    <w:jc w:val="center"/>
                    <w:rPr>
                      <w:color w:val="auto"/>
                    </w:rPr>
                  </w:pPr>
                  <w:r>
                    <w:rPr>
                      <w:color w:val="auto"/>
                    </w:rPr>
                    <w:t>脉冲袋式除尘器+水箱沉淀排放（无组织排放）</w:t>
                  </w:r>
                </w:p>
              </w:tc>
              <w:tc>
                <w:tcPr>
                  <w:tcW w:w="415" w:type="pct"/>
                  <w:vAlign w:val="center"/>
                </w:tcPr>
                <w:p w14:paraId="42CAE32E">
                  <w:pPr>
                    <w:pStyle w:val="50"/>
                    <w:jc w:val="center"/>
                    <w:rPr>
                      <w:color w:val="auto"/>
                    </w:rPr>
                  </w:pPr>
                  <w:r>
                    <w:rPr>
                      <w:color w:val="auto"/>
                    </w:rPr>
                    <w:t>1</w:t>
                  </w:r>
                </w:p>
              </w:tc>
              <w:tc>
                <w:tcPr>
                  <w:tcW w:w="671" w:type="pct"/>
                  <w:vMerge w:val="restart"/>
                  <w:vAlign w:val="center"/>
                </w:tcPr>
                <w:p w14:paraId="22BD73E4">
                  <w:pPr>
                    <w:pStyle w:val="50"/>
                    <w:jc w:val="center"/>
                    <w:rPr>
                      <w:rFonts w:hint="default" w:eastAsia="宋体"/>
                      <w:color w:val="auto"/>
                      <w:lang w:val="en-US" w:eastAsia="zh-CN"/>
                    </w:rPr>
                  </w:pPr>
                  <w:r>
                    <w:rPr>
                      <w:rFonts w:hint="eastAsia"/>
                      <w:color w:val="auto"/>
                      <w:lang w:val="en-US" w:eastAsia="zh-CN"/>
                    </w:rPr>
                    <w:t>28</w:t>
                  </w:r>
                </w:p>
              </w:tc>
            </w:tr>
            <w:tr w14:paraId="18F2C3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319" w:type="pct"/>
                  <w:vMerge w:val="continue"/>
                  <w:vAlign w:val="center"/>
                </w:tcPr>
                <w:p w14:paraId="18A922A9">
                  <w:pPr>
                    <w:pStyle w:val="50"/>
                    <w:jc w:val="center"/>
                    <w:rPr>
                      <w:color w:val="auto"/>
                    </w:rPr>
                  </w:pPr>
                </w:p>
              </w:tc>
              <w:tc>
                <w:tcPr>
                  <w:tcW w:w="672" w:type="pct"/>
                  <w:vMerge w:val="continue"/>
                  <w:vAlign w:val="center"/>
                </w:tcPr>
                <w:p w14:paraId="40CFA668">
                  <w:pPr>
                    <w:pStyle w:val="50"/>
                    <w:jc w:val="center"/>
                    <w:rPr>
                      <w:color w:val="auto"/>
                    </w:rPr>
                  </w:pPr>
                </w:p>
              </w:tc>
              <w:tc>
                <w:tcPr>
                  <w:tcW w:w="684" w:type="pct"/>
                  <w:vAlign w:val="center"/>
                </w:tcPr>
                <w:p w14:paraId="71FD534D">
                  <w:pPr>
                    <w:pStyle w:val="50"/>
                    <w:jc w:val="center"/>
                    <w:rPr>
                      <w:color w:val="auto"/>
                    </w:rPr>
                  </w:pPr>
                  <w:r>
                    <w:rPr>
                      <w:rFonts w:hint="eastAsia"/>
                      <w:color w:val="auto"/>
                      <w:lang w:val="en-US" w:eastAsia="zh-CN"/>
                    </w:rPr>
                    <w:t>粉煤灰</w:t>
                  </w:r>
                  <w:r>
                    <w:rPr>
                      <w:color w:val="auto"/>
                    </w:rPr>
                    <w:t>粉料仓</w:t>
                  </w:r>
                </w:p>
              </w:tc>
              <w:tc>
                <w:tcPr>
                  <w:tcW w:w="851" w:type="pct"/>
                  <w:vAlign w:val="center"/>
                </w:tcPr>
                <w:p w14:paraId="14FE34F5">
                  <w:pPr>
                    <w:pStyle w:val="50"/>
                    <w:jc w:val="center"/>
                    <w:rPr>
                      <w:color w:val="auto"/>
                    </w:rPr>
                  </w:pPr>
                  <w:r>
                    <w:rPr>
                      <w:color w:val="auto"/>
                    </w:rPr>
                    <w:t>颗粒物</w:t>
                  </w:r>
                </w:p>
              </w:tc>
              <w:tc>
                <w:tcPr>
                  <w:tcW w:w="1384" w:type="pct"/>
                  <w:vAlign w:val="center"/>
                </w:tcPr>
                <w:p w14:paraId="75323836">
                  <w:pPr>
                    <w:pStyle w:val="50"/>
                    <w:jc w:val="center"/>
                    <w:rPr>
                      <w:color w:val="auto"/>
                    </w:rPr>
                  </w:pPr>
                  <w:r>
                    <w:rPr>
                      <w:color w:val="auto"/>
                    </w:rPr>
                    <w:t>脉冲袋式除尘器+水箱沉淀排放（无组织排放）</w:t>
                  </w:r>
                </w:p>
              </w:tc>
              <w:tc>
                <w:tcPr>
                  <w:tcW w:w="415" w:type="pct"/>
                  <w:vAlign w:val="center"/>
                </w:tcPr>
                <w:p w14:paraId="6D5C5F5C">
                  <w:pPr>
                    <w:pStyle w:val="50"/>
                    <w:jc w:val="center"/>
                    <w:rPr>
                      <w:color w:val="auto"/>
                    </w:rPr>
                  </w:pPr>
                  <w:r>
                    <w:rPr>
                      <w:color w:val="auto"/>
                    </w:rPr>
                    <w:t>1</w:t>
                  </w:r>
                </w:p>
              </w:tc>
              <w:tc>
                <w:tcPr>
                  <w:tcW w:w="671" w:type="pct"/>
                  <w:vMerge w:val="continue"/>
                  <w:vAlign w:val="center"/>
                </w:tcPr>
                <w:p w14:paraId="6E2D3954">
                  <w:pPr>
                    <w:pStyle w:val="50"/>
                    <w:jc w:val="center"/>
                    <w:rPr>
                      <w:color w:val="auto"/>
                    </w:rPr>
                  </w:pPr>
                </w:p>
              </w:tc>
            </w:tr>
            <w:tr w14:paraId="5CD877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319" w:type="pct"/>
                  <w:vMerge w:val="continue"/>
                  <w:vAlign w:val="center"/>
                </w:tcPr>
                <w:p w14:paraId="5E13EA24">
                  <w:pPr>
                    <w:pStyle w:val="50"/>
                    <w:jc w:val="center"/>
                    <w:rPr>
                      <w:color w:val="auto"/>
                    </w:rPr>
                  </w:pPr>
                </w:p>
              </w:tc>
              <w:tc>
                <w:tcPr>
                  <w:tcW w:w="672" w:type="pct"/>
                  <w:vMerge w:val="continue"/>
                  <w:vAlign w:val="center"/>
                </w:tcPr>
                <w:p w14:paraId="294F313E">
                  <w:pPr>
                    <w:pStyle w:val="50"/>
                    <w:jc w:val="center"/>
                    <w:rPr>
                      <w:color w:val="auto"/>
                    </w:rPr>
                  </w:pPr>
                </w:p>
              </w:tc>
              <w:tc>
                <w:tcPr>
                  <w:tcW w:w="684" w:type="pct"/>
                  <w:vAlign w:val="center"/>
                </w:tcPr>
                <w:p w14:paraId="22814276">
                  <w:pPr>
                    <w:pStyle w:val="50"/>
                    <w:jc w:val="center"/>
                    <w:rPr>
                      <w:color w:val="auto"/>
                    </w:rPr>
                  </w:pPr>
                  <w:r>
                    <w:rPr>
                      <w:color w:val="auto"/>
                    </w:rPr>
                    <w:t>搅拌仓</w:t>
                  </w:r>
                </w:p>
              </w:tc>
              <w:tc>
                <w:tcPr>
                  <w:tcW w:w="851" w:type="pct"/>
                  <w:vAlign w:val="center"/>
                </w:tcPr>
                <w:p w14:paraId="300CA05C">
                  <w:pPr>
                    <w:pStyle w:val="50"/>
                    <w:jc w:val="center"/>
                    <w:rPr>
                      <w:color w:val="auto"/>
                    </w:rPr>
                  </w:pPr>
                  <w:r>
                    <w:rPr>
                      <w:color w:val="auto"/>
                    </w:rPr>
                    <w:t>颗粒物</w:t>
                  </w:r>
                </w:p>
              </w:tc>
              <w:tc>
                <w:tcPr>
                  <w:tcW w:w="1384" w:type="pct"/>
                  <w:vAlign w:val="center"/>
                </w:tcPr>
                <w:p w14:paraId="276D6140">
                  <w:pPr>
                    <w:pStyle w:val="50"/>
                    <w:jc w:val="center"/>
                    <w:rPr>
                      <w:color w:val="auto"/>
                    </w:rPr>
                  </w:pPr>
                  <w:r>
                    <w:rPr>
                      <w:color w:val="auto"/>
                    </w:rPr>
                    <w:t>脉冲袋式除尘器无组织排放</w:t>
                  </w:r>
                </w:p>
              </w:tc>
              <w:tc>
                <w:tcPr>
                  <w:tcW w:w="415" w:type="pct"/>
                  <w:vAlign w:val="center"/>
                </w:tcPr>
                <w:p w14:paraId="7A9E1F71">
                  <w:pPr>
                    <w:pStyle w:val="50"/>
                    <w:jc w:val="center"/>
                    <w:rPr>
                      <w:color w:val="auto"/>
                    </w:rPr>
                  </w:pPr>
                  <w:r>
                    <w:rPr>
                      <w:color w:val="auto"/>
                    </w:rPr>
                    <w:t>1</w:t>
                  </w:r>
                </w:p>
              </w:tc>
              <w:tc>
                <w:tcPr>
                  <w:tcW w:w="671" w:type="pct"/>
                  <w:vMerge w:val="continue"/>
                  <w:vAlign w:val="center"/>
                </w:tcPr>
                <w:p w14:paraId="14C7FF80">
                  <w:pPr>
                    <w:pStyle w:val="50"/>
                    <w:jc w:val="center"/>
                    <w:rPr>
                      <w:color w:val="auto"/>
                    </w:rPr>
                  </w:pPr>
                </w:p>
              </w:tc>
            </w:tr>
            <w:tr w14:paraId="2BCF24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319" w:type="pct"/>
                  <w:vAlign w:val="center"/>
                </w:tcPr>
                <w:p w14:paraId="11014DF1">
                  <w:pPr>
                    <w:pStyle w:val="50"/>
                    <w:jc w:val="center"/>
                    <w:rPr>
                      <w:color w:val="auto"/>
                    </w:rPr>
                  </w:pPr>
                  <w:r>
                    <w:rPr>
                      <w:color w:val="auto"/>
                    </w:rPr>
                    <w:t>2</w:t>
                  </w:r>
                </w:p>
              </w:tc>
              <w:tc>
                <w:tcPr>
                  <w:tcW w:w="672" w:type="pct"/>
                  <w:vAlign w:val="center"/>
                </w:tcPr>
                <w:p w14:paraId="5B2BAF9E">
                  <w:pPr>
                    <w:pStyle w:val="50"/>
                    <w:jc w:val="center"/>
                    <w:rPr>
                      <w:color w:val="auto"/>
                    </w:rPr>
                  </w:pPr>
                  <w:r>
                    <w:rPr>
                      <w:color w:val="auto"/>
                    </w:rPr>
                    <w:t>废水治理</w:t>
                  </w:r>
                </w:p>
              </w:tc>
              <w:tc>
                <w:tcPr>
                  <w:tcW w:w="684" w:type="pct"/>
                  <w:vAlign w:val="center"/>
                </w:tcPr>
                <w:p w14:paraId="70588CC3">
                  <w:pPr>
                    <w:pStyle w:val="50"/>
                    <w:jc w:val="center"/>
                    <w:rPr>
                      <w:color w:val="auto"/>
                    </w:rPr>
                  </w:pPr>
                  <w:r>
                    <w:rPr>
                      <w:color w:val="auto"/>
                    </w:rPr>
                    <w:t>工作人员</w:t>
                  </w:r>
                </w:p>
              </w:tc>
              <w:tc>
                <w:tcPr>
                  <w:tcW w:w="851" w:type="pct"/>
                  <w:vAlign w:val="center"/>
                </w:tcPr>
                <w:p w14:paraId="1A0E6657">
                  <w:pPr>
                    <w:pStyle w:val="50"/>
                    <w:jc w:val="center"/>
                    <w:rPr>
                      <w:color w:val="auto"/>
                    </w:rPr>
                  </w:pPr>
                  <w:r>
                    <w:rPr>
                      <w:color w:val="auto"/>
                    </w:rPr>
                    <w:t>生活污水</w:t>
                  </w:r>
                </w:p>
              </w:tc>
              <w:tc>
                <w:tcPr>
                  <w:tcW w:w="1384" w:type="pct"/>
                  <w:vAlign w:val="center"/>
                </w:tcPr>
                <w:p w14:paraId="24686145">
                  <w:pPr>
                    <w:pStyle w:val="50"/>
                    <w:jc w:val="center"/>
                    <w:rPr>
                      <w:rFonts w:hint="eastAsia" w:eastAsia="宋体"/>
                      <w:color w:val="auto"/>
                      <w:lang w:eastAsia="zh-CN"/>
                    </w:rPr>
                  </w:pPr>
                  <w:r>
                    <w:rPr>
                      <w:rFonts w:hint="eastAsia"/>
                      <w:color w:val="auto"/>
                      <w:lang w:eastAsia="zh-CN"/>
                    </w:rPr>
                    <w:t>厂区</w:t>
                  </w:r>
                  <w:r>
                    <w:rPr>
                      <w:rFonts w:hint="eastAsia"/>
                      <w:color w:val="auto"/>
                      <w:lang w:val="en-US" w:eastAsia="zh-CN"/>
                    </w:rPr>
                    <w:t>新建</w:t>
                  </w:r>
                  <w:r>
                    <w:rPr>
                      <w:rFonts w:hint="eastAsia"/>
                      <w:color w:val="auto"/>
                      <w:lang w:eastAsia="zh-CN"/>
                    </w:rPr>
                    <w:t>化粪池</w:t>
                  </w:r>
                </w:p>
              </w:tc>
              <w:tc>
                <w:tcPr>
                  <w:tcW w:w="415" w:type="pct"/>
                  <w:vAlign w:val="center"/>
                </w:tcPr>
                <w:p w14:paraId="1DED17E0">
                  <w:pPr>
                    <w:pStyle w:val="50"/>
                    <w:jc w:val="center"/>
                    <w:rPr>
                      <w:rFonts w:hint="eastAsia" w:eastAsia="宋体"/>
                      <w:color w:val="auto"/>
                      <w:lang w:eastAsia="zh-CN"/>
                    </w:rPr>
                  </w:pPr>
                  <w:r>
                    <w:rPr>
                      <w:rFonts w:hint="eastAsia"/>
                      <w:color w:val="auto"/>
                      <w:lang w:val="en-US" w:eastAsia="zh-CN"/>
                    </w:rPr>
                    <w:t>1</w:t>
                  </w:r>
                </w:p>
              </w:tc>
              <w:tc>
                <w:tcPr>
                  <w:tcW w:w="671" w:type="pct"/>
                  <w:vAlign w:val="center"/>
                </w:tcPr>
                <w:p w14:paraId="4B86AC49">
                  <w:pPr>
                    <w:pStyle w:val="50"/>
                    <w:jc w:val="center"/>
                    <w:rPr>
                      <w:rFonts w:hint="default" w:eastAsia="宋体"/>
                      <w:color w:val="auto"/>
                      <w:lang w:val="en-US" w:eastAsia="zh-CN"/>
                    </w:rPr>
                  </w:pPr>
                  <w:r>
                    <w:rPr>
                      <w:rFonts w:hint="eastAsia"/>
                      <w:color w:val="auto"/>
                      <w:lang w:val="en-US" w:eastAsia="zh-CN"/>
                    </w:rPr>
                    <w:t>0.5</w:t>
                  </w:r>
                </w:p>
              </w:tc>
            </w:tr>
            <w:tr w14:paraId="67A709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319" w:type="pct"/>
                  <w:vAlign w:val="center"/>
                </w:tcPr>
                <w:p w14:paraId="0888D8D3">
                  <w:pPr>
                    <w:pStyle w:val="50"/>
                    <w:jc w:val="center"/>
                    <w:rPr>
                      <w:color w:val="auto"/>
                    </w:rPr>
                  </w:pPr>
                  <w:r>
                    <w:rPr>
                      <w:color w:val="auto"/>
                    </w:rPr>
                    <w:t>3</w:t>
                  </w:r>
                </w:p>
              </w:tc>
              <w:tc>
                <w:tcPr>
                  <w:tcW w:w="672" w:type="pct"/>
                  <w:vAlign w:val="center"/>
                </w:tcPr>
                <w:p w14:paraId="6A086826">
                  <w:pPr>
                    <w:pStyle w:val="50"/>
                    <w:jc w:val="center"/>
                    <w:rPr>
                      <w:color w:val="auto"/>
                    </w:rPr>
                  </w:pPr>
                  <w:r>
                    <w:rPr>
                      <w:color w:val="auto"/>
                    </w:rPr>
                    <w:t>噪声治理</w:t>
                  </w:r>
                </w:p>
              </w:tc>
              <w:tc>
                <w:tcPr>
                  <w:tcW w:w="684" w:type="pct"/>
                  <w:vAlign w:val="center"/>
                </w:tcPr>
                <w:p w14:paraId="071090A7">
                  <w:pPr>
                    <w:pStyle w:val="50"/>
                    <w:jc w:val="center"/>
                    <w:rPr>
                      <w:color w:val="auto"/>
                    </w:rPr>
                  </w:pPr>
                  <w:r>
                    <w:rPr>
                      <w:color w:val="auto"/>
                    </w:rPr>
                    <w:t>生产设备</w:t>
                  </w:r>
                </w:p>
              </w:tc>
              <w:tc>
                <w:tcPr>
                  <w:tcW w:w="851" w:type="pct"/>
                  <w:vAlign w:val="center"/>
                </w:tcPr>
                <w:p w14:paraId="23B1FDAA">
                  <w:pPr>
                    <w:pStyle w:val="50"/>
                    <w:jc w:val="center"/>
                    <w:rPr>
                      <w:color w:val="auto"/>
                    </w:rPr>
                  </w:pPr>
                  <w:r>
                    <w:rPr>
                      <w:color w:val="auto"/>
                    </w:rPr>
                    <w:t>等效连续A声级</w:t>
                  </w:r>
                </w:p>
              </w:tc>
              <w:tc>
                <w:tcPr>
                  <w:tcW w:w="1384" w:type="pct"/>
                  <w:vAlign w:val="center"/>
                </w:tcPr>
                <w:p w14:paraId="37649EF3">
                  <w:pPr>
                    <w:pStyle w:val="50"/>
                    <w:jc w:val="center"/>
                    <w:rPr>
                      <w:color w:val="auto"/>
                    </w:rPr>
                  </w:pPr>
                  <w:r>
                    <w:rPr>
                      <w:color w:val="auto"/>
                    </w:rPr>
                    <w:t>减振垫</w:t>
                  </w:r>
                </w:p>
              </w:tc>
              <w:tc>
                <w:tcPr>
                  <w:tcW w:w="415" w:type="pct"/>
                  <w:vAlign w:val="center"/>
                </w:tcPr>
                <w:p w14:paraId="6DBBF069">
                  <w:pPr>
                    <w:pStyle w:val="50"/>
                    <w:jc w:val="center"/>
                    <w:rPr>
                      <w:color w:val="auto"/>
                    </w:rPr>
                  </w:pPr>
                  <w:r>
                    <w:rPr>
                      <w:color w:val="auto"/>
                    </w:rPr>
                    <w:t>/</w:t>
                  </w:r>
                </w:p>
              </w:tc>
              <w:tc>
                <w:tcPr>
                  <w:tcW w:w="671" w:type="pct"/>
                  <w:vAlign w:val="center"/>
                </w:tcPr>
                <w:p w14:paraId="61235EDD">
                  <w:pPr>
                    <w:pStyle w:val="50"/>
                    <w:jc w:val="center"/>
                    <w:rPr>
                      <w:rFonts w:hint="default" w:eastAsia="宋体"/>
                      <w:color w:val="auto"/>
                      <w:lang w:val="en-US" w:eastAsia="zh-CN"/>
                    </w:rPr>
                  </w:pPr>
                  <w:r>
                    <w:rPr>
                      <w:rFonts w:hint="eastAsia"/>
                      <w:color w:val="auto"/>
                      <w:lang w:val="en-US" w:eastAsia="zh-CN"/>
                    </w:rPr>
                    <w:t>0.3</w:t>
                  </w:r>
                </w:p>
              </w:tc>
            </w:tr>
            <w:tr w14:paraId="0FBA99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319" w:type="pct"/>
                  <w:vMerge w:val="restart"/>
                  <w:vAlign w:val="center"/>
                </w:tcPr>
                <w:p w14:paraId="2481A223">
                  <w:pPr>
                    <w:pStyle w:val="50"/>
                    <w:jc w:val="center"/>
                    <w:rPr>
                      <w:color w:val="auto"/>
                    </w:rPr>
                  </w:pPr>
                  <w:r>
                    <w:rPr>
                      <w:color w:val="auto"/>
                    </w:rPr>
                    <w:t>4</w:t>
                  </w:r>
                </w:p>
              </w:tc>
              <w:tc>
                <w:tcPr>
                  <w:tcW w:w="672" w:type="pct"/>
                  <w:vMerge w:val="restart"/>
                  <w:vAlign w:val="center"/>
                </w:tcPr>
                <w:p w14:paraId="0D9AE1C8">
                  <w:pPr>
                    <w:pStyle w:val="50"/>
                    <w:jc w:val="center"/>
                    <w:rPr>
                      <w:color w:val="auto"/>
                    </w:rPr>
                  </w:pPr>
                  <w:r>
                    <w:rPr>
                      <w:color w:val="auto"/>
                    </w:rPr>
                    <w:t>固废治理</w:t>
                  </w:r>
                </w:p>
              </w:tc>
              <w:tc>
                <w:tcPr>
                  <w:tcW w:w="684" w:type="pct"/>
                  <w:vAlign w:val="center"/>
                </w:tcPr>
                <w:p w14:paraId="70DCF8A4">
                  <w:pPr>
                    <w:pStyle w:val="50"/>
                    <w:jc w:val="center"/>
                    <w:rPr>
                      <w:color w:val="auto"/>
                    </w:rPr>
                  </w:pPr>
                  <w:r>
                    <w:rPr>
                      <w:color w:val="auto"/>
                    </w:rPr>
                    <w:t>出厂检验</w:t>
                  </w:r>
                </w:p>
              </w:tc>
              <w:tc>
                <w:tcPr>
                  <w:tcW w:w="851" w:type="pct"/>
                  <w:vAlign w:val="center"/>
                </w:tcPr>
                <w:p w14:paraId="646A7558">
                  <w:pPr>
                    <w:pStyle w:val="50"/>
                    <w:jc w:val="center"/>
                    <w:rPr>
                      <w:color w:val="auto"/>
                    </w:rPr>
                  </w:pPr>
                  <w:r>
                    <w:rPr>
                      <w:color w:val="auto"/>
                    </w:rPr>
                    <w:t>成品残次品</w:t>
                  </w:r>
                </w:p>
              </w:tc>
              <w:tc>
                <w:tcPr>
                  <w:tcW w:w="1384" w:type="pct"/>
                  <w:vAlign w:val="center"/>
                </w:tcPr>
                <w:p w14:paraId="7F16994F">
                  <w:pPr>
                    <w:pStyle w:val="50"/>
                    <w:jc w:val="center"/>
                    <w:rPr>
                      <w:color w:val="auto"/>
                    </w:rPr>
                  </w:pPr>
                  <w:r>
                    <w:rPr>
                      <w:color w:val="auto"/>
                    </w:rPr>
                    <w:t>收集后暂存于成品堆场一侧，外售附近砖厂</w:t>
                  </w:r>
                </w:p>
              </w:tc>
              <w:tc>
                <w:tcPr>
                  <w:tcW w:w="415" w:type="pct"/>
                  <w:vMerge w:val="restart"/>
                  <w:vAlign w:val="center"/>
                </w:tcPr>
                <w:p w14:paraId="628C1F46">
                  <w:pPr>
                    <w:pStyle w:val="50"/>
                    <w:jc w:val="center"/>
                    <w:rPr>
                      <w:color w:val="auto"/>
                    </w:rPr>
                  </w:pPr>
                  <w:r>
                    <w:rPr>
                      <w:color w:val="auto"/>
                    </w:rPr>
                    <w:t>1</w:t>
                  </w:r>
                </w:p>
              </w:tc>
              <w:tc>
                <w:tcPr>
                  <w:tcW w:w="671" w:type="pct"/>
                  <w:vMerge w:val="restart"/>
                  <w:vAlign w:val="center"/>
                </w:tcPr>
                <w:p w14:paraId="5FB3B04A">
                  <w:pPr>
                    <w:pStyle w:val="50"/>
                    <w:jc w:val="center"/>
                    <w:rPr>
                      <w:color w:val="auto"/>
                    </w:rPr>
                  </w:pPr>
                  <w:r>
                    <w:rPr>
                      <w:rFonts w:hint="eastAsia"/>
                      <w:color w:val="auto"/>
                    </w:rPr>
                    <w:t>15</w:t>
                  </w:r>
                </w:p>
              </w:tc>
            </w:tr>
            <w:tr w14:paraId="292497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319" w:type="pct"/>
                  <w:vMerge w:val="continue"/>
                  <w:vAlign w:val="center"/>
                </w:tcPr>
                <w:p w14:paraId="59CDF71B">
                  <w:pPr>
                    <w:pStyle w:val="50"/>
                    <w:jc w:val="center"/>
                    <w:rPr>
                      <w:color w:val="auto"/>
                    </w:rPr>
                  </w:pPr>
                </w:p>
              </w:tc>
              <w:tc>
                <w:tcPr>
                  <w:tcW w:w="672" w:type="pct"/>
                  <w:vMerge w:val="continue"/>
                  <w:vAlign w:val="center"/>
                </w:tcPr>
                <w:p w14:paraId="300B4CDF">
                  <w:pPr>
                    <w:pStyle w:val="50"/>
                    <w:jc w:val="center"/>
                    <w:rPr>
                      <w:color w:val="auto"/>
                    </w:rPr>
                  </w:pPr>
                </w:p>
              </w:tc>
              <w:tc>
                <w:tcPr>
                  <w:tcW w:w="684" w:type="pct"/>
                  <w:vAlign w:val="center"/>
                </w:tcPr>
                <w:p w14:paraId="581B12B2">
                  <w:pPr>
                    <w:pStyle w:val="50"/>
                    <w:jc w:val="center"/>
                    <w:rPr>
                      <w:rFonts w:hint="eastAsia" w:eastAsia="宋体"/>
                      <w:color w:val="auto"/>
                      <w:lang w:eastAsia="zh-CN"/>
                    </w:rPr>
                  </w:pPr>
                  <w:r>
                    <w:rPr>
                      <w:rFonts w:hint="eastAsia"/>
                      <w:color w:val="auto"/>
                      <w:lang w:eastAsia="zh-CN"/>
                    </w:rPr>
                    <w:t>钢筋笼制作</w:t>
                  </w:r>
                </w:p>
              </w:tc>
              <w:tc>
                <w:tcPr>
                  <w:tcW w:w="851" w:type="pct"/>
                  <w:vAlign w:val="center"/>
                </w:tcPr>
                <w:p w14:paraId="2A1A836C">
                  <w:pPr>
                    <w:pStyle w:val="50"/>
                    <w:jc w:val="center"/>
                    <w:rPr>
                      <w:color w:val="auto"/>
                    </w:rPr>
                  </w:pPr>
                  <w:r>
                    <w:rPr>
                      <w:color w:val="auto"/>
                    </w:rPr>
                    <w:t>金属边角料</w:t>
                  </w:r>
                </w:p>
              </w:tc>
              <w:tc>
                <w:tcPr>
                  <w:tcW w:w="1384" w:type="pct"/>
                  <w:vAlign w:val="center"/>
                </w:tcPr>
                <w:p w14:paraId="6403E00E">
                  <w:pPr>
                    <w:pStyle w:val="50"/>
                    <w:jc w:val="center"/>
                    <w:rPr>
                      <w:color w:val="auto"/>
                    </w:rPr>
                  </w:pPr>
                  <w:r>
                    <w:rPr>
                      <w:color w:val="auto"/>
                    </w:rPr>
                    <w:t>收集后暂存于一般固废暂存间（30m</w:t>
                  </w:r>
                  <w:r>
                    <w:rPr>
                      <w:color w:val="auto"/>
                      <w:vertAlign w:val="superscript"/>
                    </w:rPr>
                    <w:t>2</w:t>
                  </w:r>
                  <w:r>
                    <w:rPr>
                      <w:color w:val="auto"/>
                    </w:rPr>
                    <w:t>），外售废品回收站</w:t>
                  </w:r>
                </w:p>
              </w:tc>
              <w:tc>
                <w:tcPr>
                  <w:tcW w:w="415" w:type="pct"/>
                  <w:vMerge w:val="continue"/>
                  <w:vAlign w:val="center"/>
                </w:tcPr>
                <w:p w14:paraId="6EB4D9B9">
                  <w:pPr>
                    <w:pStyle w:val="50"/>
                    <w:jc w:val="center"/>
                    <w:rPr>
                      <w:color w:val="auto"/>
                    </w:rPr>
                  </w:pPr>
                </w:p>
              </w:tc>
              <w:tc>
                <w:tcPr>
                  <w:tcW w:w="671" w:type="pct"/>
                  <w:vMerge w:val="continue"/>
                  <w:vAlign w:val="center"/>
                </w:tcPr>
                <w:p w14:paraId="104229DB">
                  <w:pPr>
                    <w:pStyle w:val="50"/>
                    <w:jc w:val="center"/>
                    <w:rPr>
                      <w:color w:val="auto"/>
                    </w:rPr>
                  </w:pPr>
                </w:p>
              </w:tc>
            </w:tr>
            <w:tr w14:paraId="2988CA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319" w:type="pct"/>
                  <w:vMerge w:val="continue"/>
                  <w:vAlign w:val="center"/>
                </w:tcPr>
                <w:p w14:paraId="29E19694">
                  <w:pPr>
                    <w:pStyle w:val="50"/>
                    <w:jc w:val="center"/>
                    <w:rPr>
                      <w:color w:val="auto"/>
                    </w:rPr>
                  </w:pPr>
                </w:p>
              </w:tc>
              <w:tc>
                <w:tcPr>
                  <w:tcW w:w="672" w:type="pct"/>
                  <w:vMerge w:val="continue"/>
                  <w:vAlign w:val="center"/>
                </w:tcPr>
                <w:p w14:paraId="45429DCF">
                  <w:pPr>
                    <w:pStyle w:val="50"/>
                    <w:jc w:val="center"/>
                    <w:rPr>
                      <w:color w:val="auto"/>
                    </w:rPr>
                  </w:pPr>
                </w:p>
              </w:tc>
              <w:tc>
                <w:tcPr>
                  <w:tcW w:w="684" w:type="pct"/>
                  <w:vAlign w:val="center"/>
                </w:tcPr>
                <w:p w14:paraId="1E7D12C7">
                  <w:pPr>
                    <w:pStyle w:val="50"/>
                    <w:jc w:val="center"/>
                    <w:rPr>
                      <w:color w:val="auto"/>
                    </w:rPr>
                  </w:pPr>
                  <w:r>
                    <w:rPr>
                      <w:color w:val="auto"/>
                    </w:rPr>
                    <w:t>物料运输</w:t>
                  </w:r>
                </w:p>
              </w:tc>
              <w:tc>
                <w:tcPr>
                  <w:tcW w:w="851" w:type="pct"/>
                  <w:vAlign w:val="center"/>
                </w:tcPr>
                <w:p w14:paraId="1DF743B8">
                  <w:pPr>
                    <w:pStyle w:val="50"/>
                    <w:jc w:val="center"/>
                    <w:rPr>
                      <w:color w:val="auto"/>
                    </w:rPr>
                  </w:pPr>
                  <w:r>
                    <w:rPr>
                      <w:color w:val="auto"/>
                    </w:rPr>
                    <w:t>废包装袋、包装桶</w:t>
                  </w:r>
                </w:p>
              </w:tc>
              <w:tc>
                <w:tcPr>
                  <w:tcW w:w="1384" w:type="pct"/>
                  <w:vAlign w:val="center"/>
                </w:tcPr>
                <w:p w14:paraId="49E4CF97">
                  <w:pPr>
                    <w:pStyle w:val="50"/>
                    <w:jc w:val="center"/>
                    <w:rPr>
                      <w:color w:val="auto"/>
                    </w:rPr>
                  </w:pPr>
                  <w:r>
                    <w:rPr>
                      <w:color w:val="auto"/>
                    </w:rPr>
                    <w:t>废包装袋收集后外售；废包装桶交由厂家回收利用</w:t>
                  </w:r>
                </w:p>
              </w:tc>
              <w:tc>
                <w:tcPr>
                  <w:tcW w:w="415" w:type="pct"/>
                  <w:vMerge w:val="continue"/>
                  <w:vAlign w:val="center"/>
                </w:tcPr>
                <w:p w14:paraId="7A6D0093">
                  <w:pPr>
                    <w:pStyle w:val="50"/>
                    <w:jc w:val="center"/>
                    <w:rPr>
                      <w:color w:val="auto"/>
                    </w:rPr>
                  </w:pPr>
                </w:p>
              </w:tc>
              <w:tc>
                <w:tcPr>
                  <w:tcW w:w="671" w:type="pct"/>
                  <w:vMerge w:val="continue"/>
                  <w:vAlign w:val="center"/>
                </w:tcPr>
                <w:p w14:paraId="652115EC">
                  <w:pPr>
                    <w:pStyle w:val="50"/>
                    <w:jc w:val="center"/>
                    <w:rPr>
                      <w:color w:val="auto"/>
                    </w:rPr>
                  </w:pPr>
                </w:p>
              </w:tc>
            </w:tr>
            <w:tr w14:paraId="4A0E67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319" w:type="pct"/>
                  <w:vMerge w:val="continue"/>
                  <w:vAlign w:val="center"/>
                </w:tcPr>
                <w:p w14:paraId="5D9153DB">
                  <w:pPr>
                    <w:pStyle w:val="50"/>
                    <w:jc w:val="center"/>
                    <w:rPr>
                      <w:color w:val="auto"/>
                    </w:rPr>
                  </w:pPr>
                </w:p>
              </w:tc>
              <w:tc>
                <w:tcPr>
                  <w:tcW w:w="672" w:type="pct"/>
                  <w:vMerge w:val="continue"/>
                  <w:vAlign w:val="center"/>
                </w:tcPr>
                <w:p w14:paraId="6DD999A0">
                  <w:pPr>
                    <w:pStyle w:val="50"/>
                    <w:jc w:val="center"/>
                    <w:rPr>
                      <w:color w:val="auto"/>
                    </w:rPr>
                  </w:pPr>
                </w:p>
              </w:tc>
              <w:tc>
                <w:tcPr>
                  <w:tcW w:w="684" w:type="pct"/>
                  <w:vMerge w:val="restart"/>
                  <w:vAlign w:val="center"/>
                </w:tcPr>
                <w:p w14:paraId="719B9895">
                  <w:pPr>
                    <w:pStyle w:val="50"/>
                    <w:jc w:val="center"/>
                    <w:rPr>
                      <w:color w:val="auto"/>
                    </w:rPr>
                  </w:pPr>
                  <w:r>
                    <w:rPr>
                      <w:color w:val="auto"/>
                    </w:rPr>
                    <w:t>废气治理</w:t>
                  </w:r>
                </w:p>
              </w:tc>
              <w:tc>
                <w:tcPr>
                  <w:tcW w:w="851" w:type="pct"/>
                  <w:vAlign w:val="center"/>
                </w:tcPr>
                <w:p w14:paraId="7D35572A">
                  <w:pPr>
                    <w:pStyle w:val="50"/>
                    <w:jc w:val="center"/>
                    <w:rPr>
                      <w:color w:val="auto"/>
                    </w:rPr>
                  </w:pPr>
                  <w:r>
                    <w:rPr>
                      <w:color w:val="auto"/>
                    </w:rPr>
                    <w:t>除尘灰</w:t>
                  </w:r>
                </w:p>
              </w:tc>
              <w:tc>
                <w:tcPr>
                  <w:tcW w:w="1384" w:type="pct"/>
                  <w:vAlign w:val="center"/>
                </w:tcPr>
                <w:p w14:paraId="24FC23E5">
                  <w:pPr>
                    <w:pStyle w:val="50"/>
                    <w:jc w:val="center"/>
                    <w:rPr>
                      <w:color w:val="auto"/>
                    </w:rPr>
                  </w:pPr>
                  <w:r>
                    <w:rPr>
                      <w:color w:val="auto"/>
                    </w:rPr>
                    <w:t>集中收集后回用于生产</w:t>
                  </w:r>
                </w:p>
              </w:tc>
              <w:tc>
                <w:tcPr>
                  <w:tcW w:w="415" w:type="pct"/>
                  <w:vMerge w:val="continue"/>
                  <w:vAlign w:val="center"/>
                </w:tcPr>
                <w:p w14:paraId="3FAC55FD">
                  <w:pPr>
                    <w:pStyle w:val="50"/>
                    <w:jc w:val="center"/>
                    <w:rPr>
                      <w:color w:val="auto"/>
                    </w:rPr>
                  </w:pPr>
                </w:p>
              </w:tc>
              <w:tc>
                <w:tcPr>
                  <w:tcW w:w="671" w:type="pct"/>
                  <w:vMerge w:val="continue"/>
                  <w:vAlign w:val="center"/>
                </w:tcPr>
                <w:p w14:paraId="665ABF3F">
                  <w:pPr>
                    <w:pStyle w:val="50"/>
                    <w:jc w:val="center"/>
                    <w:rPr>
                      <w:color w:val="auto"/>
                    </w:rPr>
                  </w:pPr>
                </w:p>
              </w:tc>
            </w:tr>
            <w:tr w14:paraId="6EED9F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319" w:type="pct"/>
                  <w:vMerge w:val="continue"/>
                  <w:vAlign w:val="center"/>
                </w:tcPr>
                <w:p w14:paraId="63EFF1C7">
                  <w:pPr>
                    <w:pStyle w:val="50"/>
                    <w:jc w:val="center"/>
                    <w:rPr>
                      <w:color w:val="auto"/>
                    </w:rPr>
                  </w:pPr>
                </w:p>
              </w:tc>
              <w:tc>
                <w:tcPr>
                  <w:tcW w:w="672" w:type="pct"/>
                  <w:vMerge w:val="continue"/>
                  <w:vAlign w:val="center"/>
                </w:tcPr>
                <w:p w14:paraId="40DDC53E">
                  <w:pPr>
                    <w:pStyle w:val="50"/>
                    <w:jc w:val="center"/>
                    <w:rPr>
                      <w:color w:val="auto"/>
                    </w:rPr>
                  </w:pPr>
                </w:p>
              </w:tc>
              <w:tc>
                <w:tcPr>
                  <w:tcW w:w="684" w:type="pct"/>
                  <w:vMerge w:val="continue"/>
                  <w:vAlign w:val="center"/>
                </w:tcPr>
                <w:p w14:paraId="6EADEF26">
                  <w:pPr>
                    <w:pStyle w:val="50"/>
                    <w:jc w:val="center"/>
                    <w:rPr>
                      <w:color w:val="auto"/>
                    </w:rPr>
                  </w:pPr>
                </w:p>
              </w:tc>
              <w:tc>
                <w:tcPr>
                  <w:tcW w:w="851" w:type="pct"/>
                  <w:vAlign w:val="center"/>
                </w:tcPr>
                <w:p w14:paraId="527A674B">
                  <w:pPr>
                    <w:pStyle w:val="50"/>
                    <w:jc w:val="center"/>
                    <w:rPr>
                      <w:color w:val="auto"/>
                    </w:rPr>
                  </w:pPr>
                  <w:r>
                    <w:rPr>
                      <w:color w:val="auto"/>
                    </w:rPr>
                    <w:t>粉料仓废气沉淀水箱沉渣</w:t>
                  </w:r>
                </w:p>
              </w:tc>
              <w:tc>
                <w:tcPr>
                  <w:tcW w:w="1384" w:type="pct"/>
                  <w:vAlign w:val="center"/>
                </w:tcPr>
                <w:p w14:paraId="204CD8FC">
                  <w:pPr>
                    <w:pStyle w:val="50"/>
                    <w:jc w:val="center"/>
                    <w:rPr>
                      <w:color w:val="auto"/>
                    </w:rPr>
                  </w:pPr>
                  <w:r>
                    <w:rPr>
                      <w:color w:val="auto"/>
                    </w:rPr>
                    <w:t>定期清掏，外售附近砖厂</w:t>
                  </w:r>
                </w:p>
              </w:tc>
              <w:tc>
                <w:tcPr>
                  <w:tcW w:w="415" w:type="pct"/>
                  <w:vMerge w:val="continue"/>
                  <w:vAlign w:val="center"/>
                </w:tcPr>
                <w:p w14:paraId="2F07471B">
                  <w:pPr>
                    <w:pStyle w:val="50"/>
                    <w:jc w:val="center"/>
                    <w:rPr>
                      <w:color w:val="auto"/>
                    </w:rPr>
                  </w:pPr>
                </w:p>
              </w:tc>
              <w:tc>
                <w:tcPr>
                  <w:tcW w:w="671" w:type="pct"/>
                  <w:vMerge w:val="continue"/>
                  <w:vAlign w:val="center"/>
                </w:tcPr>
                <w:p w14:paraId="3402CE06">
                  <w:pPr>
                    <w:pStyle w:val="50"/>
                    <w:jc w:val="center"/>
                    <w:rPr>
                      <w:color w:val="auto"/>
                    </w:rPr>
                  </w:pPr>
                </w:p>
              </w:tc>
            </w:tr>
            <w:tr w14:paraId="48B75B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319" w:type="pct"/>
                  <w:vMerge w:val="continue"/>
                  <w:vAlign w:val="center"/>
                </w:tcPr>
                <w:p w14:paraId="51BFFE8B">
                  <w:pPr>
                    <w:pStyle w:val="50"/>
                    <w:jc w:val="center"/>
                    <w:rPr>
                      <w:color w:val="auto"/>
                    </w:rPr>
                  </w:pPr>
                </w:p>
              </w:tc>
              <w:tc>
                <w:tcPr>
                  <w:tcW w:w="672" w:type="pct"/>
                  <w:vMerge w:val="continue"/>
                  <w:vAlign w:val="center"/>
                </w:tcPr>
                <w:p w14:paraId="37C9C9DF">
                  <w:pPr>
                    <w:pStyle w:val="50"/>
                    <w:jc w:val="center"/>
                    <w:rPr>
                      <w:color w:val="auto"/>
                    </w:rPr>
                  </w:pPr>
                </w:p>
              </w:tc>
              <w:tc>
                <w:tcPr>
                  <w:tcW w:w="684" w:type="pct"/>
                  <w:vMerge w:val="restart"/>
                  <w:vAlign w:val="center"/>
                </w:tcPr>
                <w:p w14:paraId="0DA12BA9">
                  <w:pPr>
                    <w:pStyle w:val="50"/>
                    <w:jc w:val="center"/>
                    <w:rPr>
                      <w:color w:val="auto"/>
                    </w:rPr>
                  </w:pPr>
                  <w:r>
                    <w:rPr>
                      <w:color w:val="auto"/>
                    </w:rPr>
                    <w:t>张拉</w:t>
                  </w:r>
                  <w:r>
                    <w:rPr>
                      <w:rFonts w:hint="eastAsia"/>
                      <w:color w:val="auto"/>
                    </w:rPr>
                    <w:t>工段</w:t>
                  </w:r>
                </w:p>
              </w:tc>
              <w:tc>
                <w:tcPr>
                  <w:tcW w:w="851" w:type="pct"/>
                  <w:vAlign w:val="center"/>
                </w:tcPr>
                <w:p w14:paraId="7583CECC">
                  <w:pPr>
                    <w:pStyle w:val="50"/>
                    <w:jc w:val="center"/>
                    <w:rPr>
                      <w:color w:val="auto"/>
                    </w:rPr>
                  </w:pPr>
                  <w:r>
                    <w:rPr>
                      <w:color w:val="auto"/>
                    </w:rPr>
                    <w:t>废机油</w:t>
                  </w:r>
                </w:p>
              </w:tc>
              <w:tc>
                <w:tcPr>
                  <w:tcW w:w="1384" w:type="pct"/>
                  <w:vMerge w:val="restart"/>
                  <w:vAlign w:val="center"/>
                </w:tcPr>
                <w:p w14:paraId="34A7C887">
                  <w:pPr>
                    <w:pStyle w:val="50"/>
                    <w:jc w:val="center"/>
                    <w:rPr>
                      <w:color w:val="auto"/>
                    </w:rPr>
                  </w:pPr>
                  <w:r>
                    <w:rPr>
                      <w:color w:val="auto"/>
                    </w:rPr>
                    <w:t>危废暂存间（10m</w:t>
                  </w:r>
                  <w:r>
                    <w:rPr>
                      <w:color w:val="auto"/>
                      <w:vertAlign w:val="superscript"/>
                    </w:rPr>
                    <w:t>2</w:t>
                  </w:r>
                  <w:r>
                    <w:rPr>
                      <w:color w:val="auto"/>
                    </w:rPr>
                    <w:t>）</w:t>
                  </w:r>
                </w:p>
              </w:tc>
              <w:tc>
                <w:tcPr>
                  <w:tcW w:w="415" w:type="pct"/>
                  <w:vMerge w:val="restart"/>
                  <w:vAlign w:val="center"/>
                </w:tcPr>
                <w:p w14:paraId="110B6B6C">
                  <w:pPr>
                    <w:pStyle w:val="50"/>
                    <w:jc w:val="center"/>
                    <w:rPr>
                      <w:color w:val="auto"/>
                    </w:rPr>
                  </w:pPr>
                  <w:r>
                    <w:rPr>
                      <w:color w:val="auto"/>
                    </w:rPr>
                    <w:t>1</w:t>
                  </w:r>
                </w:p>
              </w:tc>
              <w:tc>
                <w:tcPr>
                  <w:tcW w:w="671" w:type="pct"/>
                  <w:vMerge w:val="restart"/>
                  <w:vAlign w:val="center"/>
                </w:tcPr>
                <w:p w14:paraId="72DE2F3A">
                  <w:pPr>
                    <w:pStyle w:val="50"/>
                    <w:jc w:val="center"/>
                    <w:rPr>
                      <w:color w:val="auto"/>
                    </w:rPr>
                  </w:pPr>
                  <w:r>
                    <w:rPr>
                      <w:color w:val="auto"/>
                    </w:rPr>
                    <w:t>15</w:t>
                  </w:r>
                </w:p>
              </w:tc>
            </w:tr>
            <w:tr w14:paraId="5A28FD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319" w:type="pct"/>
                  <w:vMerge w:val="continue"/>
                  <w:vAlign w:val="center"/>
                </w:tcPr>
                <w:p w14:paraId="2C0072C7">
                  <w:pPr>
                    <w:pStyle w:val="50"/>
                    <w:jc w:val="center"/>
                    <w:rPr>
                      <w:color w:val="auto"/>
                    </w:rPr>
                  </w:pPr>
                </w:p>
              </w:tc>
              <w:tc>
                <w:tcPr>
                  <w:tcW w:w="672" w:type="pct"/>
                  <w:vMerge w:val="continue"/>
                  <w:vAlign w:val="center"/>
                </w:tcPr>
                <w:p w14:paraId="4BF743C6">
                  <w:pPr>
                    <w:pStyle w:val="50"/>
                    <w:jc w:val="center"/>
                    <w:rPr>
                      <w:color w:val="auto"/>
                    </w:rPr>
                  </w:pPr>
                </w:p>
              </w:tc>
              <w:tc>
                <w:tcPr>
                  <w:tcW w:w="684" w:type="pct"/>
                  <w:vMerge w:val="continue"/>
                  <w:vAlign w:val="center"/>
                </w:tcPr>
                <w:p w14:paraId="0CA680F6">
                  <w:pPr>
                    <w:pStyle w:val="50"/>
                    <w:jc w:val="center"/>
                    <w:rPr>
                      <w:color w:val="auto"/>
                    </w:rPr>
                  </w:pPr>
                </w:p>
              </w:tc>
              <w:tc>
                <w:tcPr>
                  <w:tcW w:w="851" w:type="pct"/>
                  <w:vAlign w:val="center"/>
                </w:tcPr>
                <w:p w14:paraId="189D6743">
                  <w:pPr>
                    <w:pStyle w:val="50"/>
                    <w:jc w:val="center"/>
                    <w:rPr>
                      <w:color w:val="auto"/>
                    </w:rPr>
                  </w:pPr>
                  <w:r>
                    <w:rPr>
                      <w:color w:val="auto"/>
                    </w:rPr>
                    <w:t>废含油抹布</w:t>
                  </w:r>
                </w:p>
              </w:tc>
              <w:tc>
                <w:tcPr>
                  <w:tcW w:w="1384" w:type="pct"/>
                  <w:vMerge w:val="continue"/>
                  <w:vAlign w:val="center"/>
                </w:tcPr>
                <w:p w14:paraId="030478CB">
                  <w:pPr>
                    <w:pStyle w:val="50"/>
                    <w:jc w:val="center"/>
                    <w:rPr>
                      <w:color w:val="auto"/>
                    </w:rPr>
                  </w:pPr>
                </w:p>
              </w:tc>
              <w:tc>
                <w:tcPr>
                  <w:tcW w:w="415" w:type="pct"/>
                  <w:vMerge w:val="continue"/>
                  <w:vAlign w:val="center"/>
                </w:tcPr>
                <w:p w14:paraId="68C8BF14">
                  <w:pPr>
                    <w:pStyle w:val="50"/>
                    <w:jc w:val="center"/>
                    <w:rPr>
                      <w:color w:val="auto"/>
                    </w:rPr>
                  </w:pPr>
                </w:p>
              </w:tc>
              <w:tc>
                <w:tcPr>
                  <w:tcW w:w="671" w:type="pct"/>
                  <w:vMerge w:val="continue"/>
                  <w:vAlign w:val="center"/>
                </w:tcPr>
                <w:p w14:paraId="528F76F8">
                  <w:pPr>
                    <w:pStyle w:val="50"/>
                    <w:jc w:val="center"/>
                    <w:rPr>
                      <w:color w:val="auto"/>
                    </w:rPr>
                  </w:pPr>
                </w:p>
              </w:tc>
            </w:tr>
            <w:tr w14:paraId="5604C6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319" w:type="pct"/>
                  <w:vMerge w:val="continue"/>
                  <w:vAlign w:val="center"/>
                </w:tcPr>
                <w:p w14:paraId="00257FE8">
                  <w:pPr>
                    <w:pStyle w:val="50"/>
                    <w:jc w:val="center"/>
                    <w:rPr>
                      <w:color w:val="auto"/>
                    </w:rPr>
                  </w:pPr>
                </w:p>
              </w:tc>
              <w:tc>
                <w:tcPr>
                  <w:tcW w:w="672" w:type="pct"/>
                  <w:vMerge w:val="continue"/>
                  <w:vAlign w:val="center"/>
                </w:tcPr>
                <w:p w14:paraId="6E16533B">
                  <w:pPr>
                    <w:pStyle w:val="50"/>
                    <w:jc w:val="center"/>
                    <w:rPr>
                      <w:color w:val="auto"/>
                    </w:rPr>
                  </w:pPr>
                </w:p>
              </w:tc>
              <w:tc>
                <w:tcPr>
                  <w:tcW w:w="684" w:type="pct"/>
                  <w:vAlign w:val="center"/>
                </w:tcPr>
                <w:p w14:paraId="04933934">
                  <w:pPr>
                    <w:pStyle w:val="50"/>
                    <w:jc w:val="center"/>
                    <w:rPr>
                      <w:color w:val="auto"/>
                    </w:rPr>
                  </w:pPr>
                  <w:r>
                    <w:rPr>
                      <w:color w:val="auto"/>
                    </w:rPr>
                    <w:t>工作人员</w:t>
                  </w:r>
                </w:p>
              </w:tc>
              <w:tc>
                <w:tcPr>
                  <w:tcW w:w="851" w:type="pct"/>
                  <w:vAlign w:val="center"/>
                </w:tcPr>
                <w:p w14:paraId="5E0EF245">
                  <w:pPr>
                    <w:pStyle w:val="50"/>
                    <w:jc w:val="center"/>
                    <w:rPr>
                      <w:color w:val="auto"/>
                    </w:rPr>
                  </w:pPr>
                  <w:r>
                    <w:rPr>
                      <w:color w:val="auto"/>
                    </w:rPr>
                    <w:t>生活垃圾</w:t>
                  </w:r>
                </w:p>
              </w:tc>
              <w:tc>
                <w:tcPr>
                  <w:tcW w:w="1384" w:type="pct"/>
                  <w:vAlign w:val="center"/>
                </w:tcPr>
                <w:p w14:paraId="5D7FA192">
                  <w:pPr>
                    <w:pStyle w:val="50"/>
                    <w:jc w:val="center"/>
                    <w:rPr>
                      <w:color w:val="auto"/>
                    </w:rPr>
                  </w:pPr>
                  <w:r>
                    <w:rPr>
                      <w:color w:val="auto"/>
                    </w:rPr>
                    <w:t>垃圾桶</w:t>
                  </w:r>
                </w:p>
              </w:tc>
              <w:tc>
                <w:tcPr>
                  <w:tcW w:w="415" w:type="pct"/>
                  <w:shd w:val="clear" w:color="auto" w:fill="auto"/>
                  <w:vAlign w:val="center"/>
                </w:tcPr>
                <w:p w14:paraId="73D42F6B">
                  <w:pPr>
                    <w:pStyle w:val="50"/>
                    <w:ind w:firstLine="0" w:firstLineChars="0"/>
                    <w:jc w:val="center"/>
                    <w:rPr>
                      <w:rFonts w:ascii="Times New Roman" w:hAnsi="Times New Roman" w:eastAsia="宋体" w:cs="Times New Roman"/>
                      <w:color w:val="auto"/>
                      <w:kern w:val="2"/>
                      <w:sz w:val="21"/>
                      <w:szCs w:val="24"/>
                      <w:lang w:val="en-US" w:eastAsia="zh-CN" w:bidi="ar-SA"/>
                    </w:rPr>
                  </w:pPr>
                  <w:r>
                    <w:rPr>
                      <w:color w:val="auto"/>
                    </w:rPr>
                    <w:t>--</w:t>
                  </w:r>
                </w:p>
              </w:tc>
              <w:tc>
                <w:tcPr>
                  <w:tcW w:w="671" w:type="pct"/>
                  <w:shd w:val="clear" w:color="auto" w:fill="auto"/>
                  <w:vAlign w:val="center"/>
                </w:tcPr>
                <w:p w14:paraId="453C792F">
                  <w:pPr>
                    <w:pStyle w:val="50"/>
                    <w:ind w:firstLine="0" w:firstLineChars="0"/>
                    <w:jc w:val="center"/>
                    <w:rPr>
                      <w:rFonts w:ascii="Times New Roman" w:hAnsi="Times New Roman" w:eastAsia="宋体" w:cs="Times New Roman"/>
                      <w:color w:val="auto"/>
                      <w:kern w:val="2"/>
                      <w:sz w:val="21"/>
                      <w:szCs w:val="24"/>
                      <w:lang w:val="en-US" w:eastAsia="zh-CN" w:bidi="ar-SA"/>
                    </w:rPr>
                  </w:pPr>
                  <w:r>
                    <w:rPr>
                      <w:color w:val="auto"/>
                    </w:rPr>
                    <w:t>2</w:t>
                  </w:r>
                </w:p>
              </w:tc>
            </w:tr>
            <w:tr w14:paraId="4947F3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319" w:type="pct"/>
                  <w:vAlign w:val="center"/>
                </w:tcPr>
                <w:p w14:paraId="1DCDC22E">
                  <w:pPr>
                    <w:pStyle w:val="50"/>
                    <w:jc w:val="center"/>
                    <w:rPr>
                      <w:rFonts w:hint="eastAsia" w:eastAsia="宋体"/>
                      <w:color w:val="auto"/>
                      <w:lang w:eastAsia="zh-CN"/>
                    </w:rPr>
                  </w:pPr>
                  <w:r>
                    <w:rPr>
                      <w:rFonts w:hint="eastAsia"/>
                      <w:color w:val="auto"/>
                      <w:lang w:val="en-US" w:eastAsia="zh-CN"/>
                    </w:rPr>
                    <w:t>5</w:t>
                  </w:r>
                </w:p>
              </w:tc>
              <w:tc>
                <w:tcPr>
                  <w:tcW w:w="672" w:type="pct"/>
                  <w:vAlign w:val="center"/>
                </w:tcPr>
                <w:p w14:paraId="5BA0C0D6">
                  <w:pPr>
                    <w:pStyle w:val="50"/>
                    <w:jc w:val="center"/>
                    <w:rPr>
                      <w:rFonts w:hint="eastAsia" w:eastAsia="宋体"/>
                      <w:color w:val="auto"/>
                      <w:lang w:eastAsia="zh-CN"/>
                    </w:rPr>
                  </w:pPr>
                  <w:r>
                    <w:rPr>
                      <w:rFonts w:hint="eastAsia"/>
                      <w:color w:val="auto"/>
                      <w:lang w:val="en-US" w:eastAsia="zh-CN"/>
                    </w:rPr>
                    <w:t>厂区硬化</w:t>
                  </w:r>
                </w:p>
              </w:tc>
              <w:tc>
                <w:tcPr>
                  <w:tcW w:w="684" w:type="pct"/>
                  <w:vAlign w:val="center"/>
                </w:tcPr>
                <w:p w14:paraId="48F35446">
                  <w:pPr>
                    <w:pStyle w:val="50"/>
                    <w:jc w:val="center"/>
                    <w:rPr>
                      <w:color w:val="auto"/>
                    </w:rPr>
                  </w:pPr>
                  <w:r>
                    <w:rPr>
                      <w:rFonts w:hint="eastAsia"/>
                      <w:color w:val="auto"/>
                    </w:rPr>
                    <w:t>/</w:t>
                  </w:r>
                </w:p>
              </w:tc>
              <w:tc>
                <w:tcPr>
                  <w:tcW w:w="851" w:type="pct"/>
                  <w:vAlign w:val="center"/>
                </w:tcPr>
                <w:p w14:paraId="781814AC">
                  <w:pPr>
                    <w:pStyle w:val="50"/>
                    <w:jc w:val="center"/>
                    <w:rPr>
                      <w:color w:val="auto"/>
                    </w:rPr>
                  </w:pPr>
                  <w:r>
                    <w:rPr>
                      <w:rFonts w:hint="eastAsia"/>
                      <w:color w:val="auto"/>
                    </w:rPr>
                    <w:t>/</w:t>
                  </w:r>
                </w:p>
              </w:tc>
              <w:tc>
                <w:tcPr>
                  <w:tcW w:w="1384" w:type="pct"/>
                  <w:vAlign w:val="center"/>
                </w:tcPr>
                <w:p w14:paraId="39387564">
                  <w:pPr>
                    <w:pStyle w:val="50"/>
                    <w:jc w:val="center"/>
                    <w:rPr>
                      <w:color w:val="auto"/>
                    </w:rPr>
                  </w:pPr>
                  <w:r>
                    <w:rPr>
                      <w:rFonts w:hint="eastAsia"/>
                      <w:color w:val="auto"/>
                    </w:rPr>
                    <w:t>/</w:t>
                  </w:r>
                </w:p>
              </w:tc>
              <w:tc>
                <w:tcPr>
                  <w:tcW w:w="415" w:type="pct"/>
                  <w:vAlign w:val="center"/>
                </w:tcPr>
                <w:p w14:paraId="70A04DF3">
                  <w:pPr>
                    <w:pStyle w:val="50"/>
                    <w:jc w:val="center"/>
                    <w:rPr>
                      <w:rFonts w:hint="eastAsia" w:eastAsia="宋体"/>
                      <w:color w:val="auto"/>
                      <w:lang w:eastAsia="zh-CN"/>
                    </w:rPr>
                  </w:pPr>
                  <w:r>
                    <w:rPr>
                      <w:rFonts w:hint="eastAsia"/>
                      <w:color w:val="auto"/>
                      <w:lang w:val="en-US" w:eastAsia="zh-CN"/>
                    </w:rPr>
                    <w:t>/</w:t>
                  </w:r>
                </w:p>
              </w:tc>
              <w:tc>
                <w:tcPr>
                  <w:tcW w:w="671" w:type="pct"/>
                  <w:vAlign w:val="center"/>
                </w:tcPr>
                <w:p w14:paraId="1A736BC0">
                  <w:pPr>
                    <w:pStyle w:val="50"/>
                    <w:jc w:val="center"/>
                    <w:rPr>
                      <w:rFonts w:hint="default" w:eastAsia="宋体"/>
                      <w:color w:val="auto"/>
                      <w:lang w:val="en-US" w:eastAsia="zh-CN"/>
                    </w:rPr>
                  </w:pPr>
                  <w:r>
                    <w:rPr>
                      <w:rFonts w:hint="eastAsia"/>
                      <w:color w:val="auto"/>
                      <w:lang w:val="en-US" w:eastAsia="zh-CN"/>
                    </w:rPr>
                    <w:t>50</w:t>
                  </w:r>
                </w:p>
              </w:tc>
            </w:tr>
            <w:tr w14:paraId="309683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992" w:type="pct"/>
                  <w:gridSpan w:val="2"/>
                  <w:vAlign w:val="center"/>
                </w:tcPr>
                <w:p w14:paraId="35FA6C7D">
                  <w:pPr>
                    <w:pStyle w:val="50"/>
                    <w:jc w:val="center"/>
                    <w:rPr>
                      <w:color w:val="auto"/>
                    </w:rPr>
                  </w:pPr>
                  <w:r>
                    <w:rPr>
                      <w:color w:val="auto"/>
                    </w:rPr>
                    <w:t>合计</w:t>
                  </w:r>
                </w:p>
              </w:tc>
              <w:tc>
                <w:tcPr>
                  <w:tcW w:w="3335" w:type="pct"/>
                  <w:gridSpan w:val="4"/>
                  <w:vAlign w:val="center"/>
                </w:tcPr>
                <w:p w14:paraId="45EF48C9">
                  <w:pPr>
                    <w:pStyle w:val="50"/>
                    <w:jc w:val="center"/>
                    <w:rPr>
                      <w:color w:val="auto"/>
                    </w:rPr>
                  </w:pPr>
                  <w:r>
                    <w:rPr>
                      <w:color w:val="auto"/>
                    </w:rPr>
                    <w:t>/</w:t>
                  </w:r>
                </w:p>
              </w:tc>
              <w:tc>
                <w:tcPr>
                  <w:tcW w:w="671" w:type="pct"/>
                  <w:vAlign w:val="center"/>
                </w:tcPr>
                <w:p w14:paraId="7C48BF92">
                  <w:pPr>
                    <w:pStyle w:val="50"/>
                    <w:jc w:val="center"/>
                    <w:rPr>
                      <w:rFonts w:hint="default" w:eastAsia="宋体"/>
                      <w:color w:val="auto"/>
                      <w:lang w:val="en-US" w:eastAsia="zh-CN"/>
                    </w:rPr>
                  </w:pPr>
                  <w:r>
                    <w:rPr>
                      <w:rFonts w:hint="eastAsia"/>
                      <w:color w:val="auto"/>
                      <w:lang w:val="en-US" w:eastAsia="zh-CN"/>
                    </w:rPr>
                    <w:t>121.5</w:t>
                  </w:r>
                </w:p>
              </w:tc>
            </w:tr>
            <w:bookmarkEnd w:id="7"/>
            <w:bookmarkEnd w:id="8"/>
          </w:tbl>
          <w:p w14:paraId="2F814F44">
            <w:pPr>
              <w:ind w:firstLine="0" w:firstLineChars="0"/>
              <w:rPr>
                <w:rFonts w:cs="Times New Roman"/>
                <w:b/>
                <w:bCs/>
                <w:color w:val="auto"/>
              </w:rPr>
            </w:pPr>
          </w:p>
        </w:tc>
      </w:tr>
    </w:tbl>
    <w:p w14:paraId="723C7A1B">
      <w:pPr>
        <w:ind w:firstLine="0" w:firstLineChars="0"/>
        <w:jc w:val="center"/>
        <w:rPr>
          <w:rFonts w:cs="Times New Roman"/>
          <w:bCs/>
          <w:color w:val="auto"/>
          <w:szCs w:val="21"/>
        </w:rPr>
        <w:sectPr>
          <w:pgSz w:w="11906" w:h="16838"/>
          <w:pgMar w:top="1440" w:right="1800" w:bottom="1440" w:left="1800" w:header="992" w:footer="992" w:gutter="0"/>
          <w:pgBorders>
            <w:top w:val="none" w:sz="0" w:space="0"/>
            <w:left w:val="none" w:sz="0" w:space="0"/>
            <w:bottom w:val="none" w:sz="0" w:space="0"/>
            <w:right w:val="none" w:sz="0" w:space="0"/>
          </w:pgBorders>
          <w:cols w:space="425" w:num="1"/>
          <w:docGrid w:type="lines" w:linePitch="312" w:charSpace="0"/>
        </w:sectPr>
      </w:pPr>
    </w:p>
    <w:bookmarkEnd w:id="6"/>
    <w:p w14:paraId="257C5BEB">
      <w:pPr>
        <w:pStyle w:val="2"/>
        <w:ind w:firstLine="640"/>
        <w:rPr>
          <w:rFonts w:cs="Times New Roman"/>
          <w:snapToGrid w:val="0"/>
          <w:color w:val="auto"/>
        </w:rPr>
      </w:pPr>
      <w:bookmarkStart w:id="9" w:name="_Toc5277"/>
      <w:r>
        <w:rPr>
          <w:rFonts w:cs="Times New Roman"/>
          <w:snapToGrid w:val="0"/>
          <w:color w:val="auto"/>
        </w:rPr>
        <w:t>五、</w:t>
      </w:r>
      <w:bookmarkStart w:id="10" w:name="_Hlk54167917"/>
      <w:r>
        <w:rPr>
          <w:rFonts w:cs="Times New Roman"/>
          <w:snapToGrid w:val="0"/>
          <w:color w:val="auto"/>
        </w:rPr>
        <w:t>环境保护措施监督检查清单</w:t>
      </w:r>
      <w:bookmarkEnd w:id="9"/>
      <w:bookmarkEnd w:id="10"/>
    </w:p>
    <w:tbl>
      <w:tblPr>
        <w:tblStyle w:val="27"/>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1701"/>
        <w:gridCol w:w="1134"/>
        <w:gridCol w:w="2356"/>
        <w:gridCol w:w="1857"/>
      </w:tblGrid>
      <w:tr w14:paraId="7E3C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2" w:hRule="atLeast"/>
          <w:jc w:val="center"/>
        </w:trPr>
        <w:tc>
          <w:tcPr>
            <w:tcW w:w="1271" w:type="dxa"/>
            <w:tcBorders>
              <w:tl2br w:val="single" w:color="auto" w:sz="4" w:space="0"/>
            </w:tcBorders>
            <w:vAlign w:val="center"/>
          </w:tcPr>
          <w:p w14:paraId="0E9D0463">
            <w:pPr>
              <w:spacing w:line="240" w:lineRule="auto"/>
              <w:ind w:firstLine="0" w:firstLineChars="0"/>
              <w:jc w:val="center"/>
              <w:rPr>
                <w:rFonts w:cs="Times New Roman"/>
                <w:b/>
                <w:bCs/>
                <w:snapToGrid w:val="0"/>
                <w:color w:val="auto"/>
              </w:rPr>
            </w:pPr>
            <w:r>
              <w:rPr>
                <w:rFonts w:cs="Times New Roman"/>
                <w:b/>
                <w:bCs/>
                <w:snapToGrid w:val="0"/>
                <w:color w:val="auto"/>
              </w:rPr>
              <w:t xml:space="preserve">    内容</w:t>
            </w:r>
          </w:p>
          <w:p w14:paraId="0E392A25">
            <w:pPr>
              <w:spacing w:line="240" w:lineRule="auto"/>
              <w:ind w:firstLine="0" w:firstLineChars="0"/>
              <w:rPr>
                <w:rFonts w:cs="Times New Roman"/>
                <w:b/>
                <w:bCs/>
                <w:snapToGrid w:val="0"/>
                <w:color w:val="auto"/>
              </w:rPr>
            </w:pPr>
            <w:r>
              <w:rPr>
                <w:rFonts w:cs="Times New Roman"/>
                <w:b/>
                <w:bCs/>
                <w:snapToGrid w:val="0"/>
                <w:color w:val="auto"/>
              </w:rPr>
              <w:t>要素</w:t>
            </w:r>
          </w:p>
        </w:tc>
        <w:tc>
          <w:tcPr>
            <w:tcW w:w="1701" w:type="dxa"/>
            <w:vAlign w:val="center"/>
          </w:tcPr>
          <w:p w14:paraId="78EF99FF">
            <w:pPr>
              <w:spacing w:line="240" w:lineRule="auto"/>
              <w:ind w:firstLine="0" w:firstLineChars="0"/>
              <w:jc w:val="center"/>
              <w:rPr>
                <w:rFonts w:cs="Times New Roman"/>
                <w:b/>
                <w:bCs/>
                <w:snapToGrid w:val="0"/>
                <w:color w:val="auto"/>
              </w:rPr>
            </w:pPr>
            <w:r>
              <w:rPr>
                <w:rFonts w:cs="Times New Roman"/>
                <w:b/>
                <w:bCs/>
                <w:snapToGrid w:val="0"/>
                <w:color w:val="auto"/>
              </w:rPr>
              <w:t>排放口（编号、名称）/污染源</w:t>
            </w:r>
          </w:p>
        </w:tc>
        <w:tc>
          <w:tcPr>
            <w:tcW w:w="1134" w:type="dxa"/>
            <w:vAlign w:val="center"/>
          </w:tcPr>
          <w:p w14:paraId="73F68A70">
            <w:pPr>
              <w:spacing w:line="240" w:lineRule="auto"/>
              <w:ind w:firstLine="0" w:firstLineChars="0"/>
              <w:jc w:val="center"/>
              <w:rPr>
                <w:rFonts w:cs="Times New Roman"/>
                <w:b/>
                <w:bCs/>
                <w:snapToGrid w:val="0"/>
                <w:color w:val="auto"/>
              </w:rPr>
            </w:pPr>
            <w:r>
              <w:rPr>
                <w:rFonts w:cs="Times New Roman"/>
                <w:b/>
                <w:bCs/>
                <w:snapToGrid w:val="0"/>
                <w:color w:val="auto"/>
              </w:rPr>
              <w:t>污染物项目</w:t>
            </w:r>
          </w:p>
        </w:tc>
        <w:tc>
          <w:tcPr>
            <w:tcW w:w="2356" w:type="dxa"/>
            <w:vAlign w:val="center"/>
          </w:tcPr>
          <w:p w14:paraId="22E35C77">
            <w:pPr>
              <w:spacing w:line="240" w:lineRule="auto"/>
              <w:ind w:firstLine="0" w:firstLineChars="0"/>
              <w:jc w:val="center"/>
              <w:rPr>
                <w:rFonts w:cs="Times New Roman"/>
                <w:b/>
                <w:bCs/>
                <w:snapToGrid w:val="0"/>
                <w:color w:val="auto"/>
              </w:rPr>
            </w:pPr>
            <w:r>
              <w:rPr>
                <w:rFonts w:cs="Times New Roman"/>
                <w:b/>
                <w:bCs/>
                <w:snapToGrid w:val="0"/>
                <w:color w:val="auto"/>
              </w:rPr>
              <w:t>环境保护措施</w:t>
            </w:r>
          </w:p>
        </w:tc>
        <w:tc>
          <w:tcPr>
            <w:tcW w:w="1857" w:type="dxa"/>
            <w:vAlign w:val="center"/>
          </w:tcPr>
          <w:p w14:paraId="08DC2709">
            <w:pPr>
              <w:spacing w:line="240" w:lineRule="auto"/>
              <w:ind w:firstLine="0" w:firstLineChars="0"/>
              <w:jc w:val="center"/>
              <w:rPr>
                <w:rFonts w:cs="Times New Roman"/>
                <w:b/>
                <w:bCs/>
                <w:snapToGrid w:val="0"/>
                <w:color w:val="auto"/>
              </w:rPr>
            </w:pPr>
            <w:r>
              <w:rPr>
                <w:rFonts w:cs="Times New Roman"/>
                <w:b/>
                <w:bCs/>
                <w:snapToGrid w:val="0"/>
                <w:color w:val="auto"/>
              </w:rPr>
              <w:t>执行标准</w:t>
            </w:r>
          </w:p>
        </w:tc>
      </w:tr>
      <w:tr w14:paraId="1B46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1271" w:type="dxa"/>
            <w:vMerge w:val="restart"/>
            <w:vAlign w:val="center"/>
          </w:tcPr>
          <w:p w14:paraId="2C2A42D5">
            <w:pPr>
              <w:spacing w:line="240" w:lineRule="auto"/>
              <w:ind w:firstLine="0" w:firstLineChars="0"/>
              <w:jc w:val="center"/>
              <w:rPr>
                <w:rFonts w:cs="Times New Roman"/>
                <w:snapToGrid w:val="0"/>
                <w:color w:val="auto"/>
              </w:rPr>
            </w:pPr>
            <w:r>
              <w:rPr>
                <w:rFonts w:cs="Times New Roman"/>
                <w:snapToGrid w:val="0"/>
                <w:color w:val="auto"/>
              </w:rPr>
              <w:t>大气环境</w:t>
            </w:r>
          </w:p>
        </w:tc>
        <w:tc>
          <w:tcPr>
            <w:tcW w:w="1701" w:type="dxa"/>
            <w:vAlign w:val="center"/>
          </w:tcPr>
          <w:p w14:paraId="6E73A08F">
            <w:pPr>
              <w:spacing w:line="240" w:lineRule="auto"/>
              <w:ind w:firstLine="0" w:firstLineChars="0"/>
              <w:jc w:val="center"/>
              <w:rPr>
                <w:rFonts w:cs="Times New Roman"/>
                <w:snapToGrid w:val="0"/>
                <w:color w:val="auto"/>
              </w:rPr>
            </w:pPr>
            <w:r>
              <w:rPr>
                <w:rFonts w:cs="Times New Roman"/>
                <w:snapToGrid w:val="0"/>
                <w:color w:val="auto"/>
              </w:rPr>
              <w:t>砂石料进料粉尘</w:t>
            </w:r>
          </w:p>
        </w:tc>
        <w:tc>
          <w:tcPr>
            <w:tcW w:w="1134" w:type="dxa"/>
            <w:vAlign w:val="center"/>
          </w:tcPr>
          <w:p w14:paraId="57666F9A">
            <w:pPr>
              <w:spacing w:line="240" w:lineRule="auto"/>
              <w:ind w:firstLine="0" w:firstLineChars="0"/>
              <w:jc w:val="center"/>
              <w:rPr>
                <w:rFonts w:cs="Times New Roman"/>
                <w:snapToGrid w:val="0"/>
                <w:color w:val="auto"/>
              </w:rPr>
            </w:pPr>
            <w:r>
              <w:rPr>
                <w:rFonts w:cs="Times New Roman"/>
                <w:snapToGrid w:val="0"/>
                <w:color w:val="auto"/>
              </w:rPr>
              <w:t>颗粒物</w:t>
            </w:r>
          </w:p>
        </w:tc>
        <w:tc>
          <w:tcPr>
            <w:tcW w:w="2356" w:type="dxa"/>
            <w:vAlign w:val="center"/>
          </w:tcPr>
          <w:p w14:paraId="7B656769">
            <w:pPr>
              <w:spacing w:line="240" w:lineRule="auto"/>
              <w:ind w:firstLine="0" w:firstLineChars="0"/>
              <w:jc w:val="center"/>
              <w:rPr>
                <w:rFonts w:cs="Times New Roman"/>
                <w:snapToGrid w:val="0"/>
                <w:color w:val="auto"/>
              </w:rPr>
            </w:pPr>
            <w:r>
              <w:rPr>
                <w:rFonts w:cs="Times New Roman"/>
                <w:snapToGrid w:val="0"/>
                <w:color w:val="auto"/>
              </w:rPr>
              <w:t>全封闭进料口+雾炮洒水抑尘</w:t>
            </w:r>
          </w:p>
        </w:tc>
        <w:tc>
          <w:tcPr>
            <w:tcW w:w="1857" w:type="dxa"/>
            <w:vMerge w:val="restart"/>
            <w:vAlign w:val="center"/>
          </w:tcPr>
          <w:p w14:paraId="0AEEDA7B">
            <w:pPr>
              <w:spacing w:line="240" w:lineRule="auto"/>
              <w:ind w:firstLine="0" w:firstLineChars="0"/>
              <w:jc w:val="center"/>
              <w:rPr>
                <w:rFonts w:cs="Times New Roman"/>
                <w:snapToGrid w:val="0"/>
                <w:color w:val="auto"/>
              </w:rPr>
            </w:pPr>
            <w:r>
              <w:rPr>
                <w:rFonts w:cs="Times New Roman"/>
                <w:snapToGrid w:val="0"/>
                <w:color w:val="auto"/>
              </w:rPr>
              <w:t>《水泥工业大气污染物排放标准》（GB4915-2013）表3标准限值要求</w:t>
            </w:r>
          </w:p>
        </w:tc>
      </w:tr>
      <w:tr w14:paraId="17B4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1271" w:type="dxa"/>
            <w:vMerge w:val="continue"/>
            <w:vAlign w:val="center"/>
          </w:tcPr>
          <w:p w14:paraId="6B3B8BE9">
            <w:pPr>
              <w:spacing w:line="240" w:lineRule="auto"/>
              <w:ind w:firstLine="0" w:firstLineChars="0"/>
              <w:jc w:val="center"/>
              <w:rPr>
                <w:rFonts w:cs="Times New Roman"/>
                <w:snapToGrid w:val="0"/>
                <w:color w:val="auto"/>
              </w:rPr>
            </w:pPr>
          </w:p>
        </w:tc>
        <w:tc>
          <w:tcPr>
            <w:tcW w:w="1701" w:type="dxa"/>
            <w:vAlign w:val="center"/>
          </w:tcPr>
          <w:p w14:paraId="246C0DF4">
            <w:pPr>
              <w:spacing w:line="240" w:lineRule="auto"/>
              <w:ind w:firstLine="0" w:firstLineChars="0"/>
              <w:jc w:val="center"/>
              <w:rPr>
                <w:rFonts w:cs="Times New Roman"/>
                <w:snapToGrid w:val="0"/>
                <w:color w:val="auto"/>
              </w:rPr>
            </w:pPr>
            <w:r>
              <w:rPr>
                <w:rFonts w:cs="Times New Roman"/>
                <w:snapToGrid w:val="0"/>
                <w:color w:val="auto"/>
              </w:rPr>
              <w:t>砂石料装卸粉尘</w:t>
            </w:r>
          </w:p>
        </w:tc>
        <w:tc>
          <w:tcPr>
            <w:tcW w:w="1134" w:type="dxa"/>
            <w:vAlign w:val="center"/>
          </w:tcPr>
          <w:p w14:paraId="1E97C8BC">
            <w:pPr>
              <w:spacing w:line="240" w:lineRule="auto"/>
              <w:ind w:firstLine="0" w:firstLineChars="0"/>
              <w:jc w:val="center"/>
              <w:rPr>
                <w:rFonts w:cs="Times New Roman"/>
                <w:snapToGrid w:val="0"/>
                <w:color w:val="auto"/>
              </w:rPr>
            </w:pPr>
            <w:r>
              <w:rPr>
                <w:rFonts w:cs="Times New Roman"/>
                <w:snapToGrid w:val="0"/>
                <w:color w:val="auto"/>
              </w:rPr>
              <w:t>颗粒物</w:t>
            </w:r>
          </w:p>
        </w:tc>
        <w:tc>
          <w:tcPr>
            <w:tcW w:w="2356" w:type="dxa"/>
            <w:vAlign w:val="center"/>
          </w:tcPr>
          <w:p w14:paraId="27D464AC">
            <w:pPr>
              <w:spacing w:line="240" w:lineRule="auto"/>
              <w:ind w:firstLine="0" w:firstLineChars="0"/>
              <w:jc w:val="center"/>
              <w:rPr>
                <w:rFonts w:cs="Times New Roman"/>
                <w:snapToGrid w:val="0"/>
                <w:color w:val="auto"/>
              </w:rPr>
            </w:pPr>
            <w:r>
              <w:rPr>
                <w:rFonts w:cs="Times New Roman"/>
                <w:snapToGrid w:val="0"/>
                <w:color w:val="auto"/>
              </w:rPr>
              <w:t>全封闭堆场+定期洒水</w:t>
            </w:r>
          </w:p>
        </w:tc>
        <w:tc>
          <w:tcPr>
            <w:tcW w:w="1857" w:type="dxa"/>
            <w:vMerge w:val="continue"/>
            <w:vAlign w:val="center"/>
          </w:tcPr>
          <w:p w14:paraId="4CE9D52A">
            <w:pPr>
              <w:spacing w:line="240" w:lineRule="auto"/>
              <w:ind w:firstLine="0" w:firstLineChars="0"/>
              <w:jc w:val="center"/>
              <w:rPr>
                <w:rFonts w:cs="Times New Roman"/>
                <w:snapToGrid w:val="0"/>
                <w:color w:val="auto"/>
              </w:rPr>
            </w:pPr>
          </w:p>
        </w:tc>
      </w:tr>
      <w:tr w14:paraId="6EED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271" w:type="dxa"/>
            <w:vMerge w:val="continue"/>
            <w:vAlign w:val="center"/>
          </w:tcPr>
          <w:p w14:paraId="27EC1157">
            <w:pPr>
              <w:spacing w:line="240" w:lineRule="auto"/>
              <w:ind w:firstLine="0" w:firstLineChars="0"/>
              <w:jc w:val="center"/>
              <w:rPr>
                <w:rFonts w:cs="Times New Roman"/>
                <w:snapToGrid w:val="0"/>
                <w:color w:val="auto"/>
              </w:rPr>
            </w:pPr>
          </w:p>
        </w:tc>
        <w:tc>
          <w:tcPr>
            <w:tcW w:w="1701" w:type="dxa"/>
            <w:vAlign w:val="center"/>
          </w:tcPr>
          <w:p w14:paraId="3C802D8D">
            <w:pPr>
              <w:spacing w:line="240" w:lineRule="auto"/>
              <w:ind w:firstLine="0" w:firstLineChars="0"/>
              <w:jc w:val="center"/>
              <w:rPr>
                <w:rFonts w:cs="Times New Roman"/>
                <w:snapToGrid w:val="0"/>
                <w:color w:val="auto"/>
              </w:rPr>
            </w:pPr>
            <w:r>
              <w:rPr>
                <w:rFonts w:cs="Times New Roman"/>
                <w:snapToGrid w:val="0"/>
                <w:color w:val="auto"/>
              </w:rPr>
              <w:t>水泥粉料仓</w:t>
            </w:r>
          </w:p>
        </w:tc>
        <w:tc>
          <w:tcPr>
            <w:tcW w:w="1134" w:type="dxa"/>
            <w:vAlign w:val="center"/>
          </w:tcPr>
          <w:p w14:paraId="12C62AD1">
            <w:pPr>
              <w:spacing w:line="240" w:lineRule="auto"/>
              <w:ind w:firstLine="0" w:firstLineChars="0"/>
              <w:jc w:val="center"/>
              <w:rPr>
                <w:rFonts w:cs="Times New Roman"/>
                <w:snapToGrid w:val="0"/>
                <w:color w:val="auto"/>
              </w:rPr>
            </w:pPr>
            <w:r>
              <w:rPr>
                <w:rFonts w:cs="Times New Roman"/>
                <w:snapToGrid w:val="0"/>
                <w:color w:val="auto"/>
              </w:rPr>
              <w:t>颗粒物</w:t>
            </w:r>
          </w:p>
        </w:tc>
        <w:tc>
          <w:tcPr>
            <w:tcW w:w="2356" w:type="dxa"/>
            <w:vAlign w:val="center"/>
          </w:tcPr>
          <w:p w14:paraId="6C1A39A8">
            <w:pPr>
              <w:spacing w:line="240" w:lineRule="auto"/>
              <w:ind w:firstLine="0" w:firstLineChars="0"/>
              <w:jc w:val="center"/>
              <w:rPr>
                <w:rFonts w:cs="Times New Roman"/>
                <w:snapToGrid w:val="0"/>
                <w:color w:val="auto"/>
              </w:rPr>
            </w:pPr>
            <w:r>
              <w:rPr>
                <w:rFonts w:cs="Times New Roman"/>
                <w:snapToGrid w:val="0"/>
                <w:color w:val="auto"/>
              </w:rPr>
              <w:t>脉动袋式除尘器排放（无组织）</w:t>
            </w:r>
          </w:p>
        </w:tc>
        <w:tc>
          <w:tcPr>
            <w:tcW w:w="1857" w:type="dxa"/>
            <w:vMerge w:val="continue"/>
            <w:vAlign w:val="center"/>
          </w:tcPr>
          <w:p w14:paraId="6EDA208B">
            <w:pPr>
              <w:spacing w:line="240" w:lineRule="auto"/>
              <w:ind w:firstLine="0" w:firstLineChars="0"/>
              <w:jc w:val="center"/>
              <w:rPr>
                <w:rFonts w:cs="Times New Roman"/>
                <w:snapToGrid w:val="0"/>
                <w:color w:val="auto"/>
              </w:rPr>
            </w:pPr>
          </w:p>
        </w:tc>
      </w:tr>
      <w:tr w14:paraId="6256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271" w:type="dxa"/>
            <w:vMerge w:val="continue"/>
            <w:vAlign w:val="center"/>
          </w:tcPr>
          <w:p w14:paraId="0825D29D">
            <w:pPr>
              <w:spacing w:line="240" w:lineRule="auto"/>
              <w:ind w:firstLine="0" w:firstLineChars="0"/>
              <w:jc w:val="center"/>
              <w:rPr>
                <w:rFonts w:cs="Times New Roman"/>
                <w:snapToGrid w:val="0"/>
                <w:color w:val="auto"/>
              </w:rPr>
            </w:pPr>
          </w:p>
        </w:tc>
        <w:tc>
          <w:tcPr>
            <w:tcW w:w="1701" w:type="dxa"/>
            <w:vAlign w:val="center"/>
          </w:tcPr>
          <w:p w14:paraId="3DA4955E">
            <w:pPr>
              <w:spacing w:line="240" w:lineRule="auto"/>
              <w:ind w:firstLine="0" w:firstLineChars="0"/>
              <w:jc w:val="center"/>
              <w:rPr>
                <w:rFonts w:cs="Times New Roman"/>
                <w:snapToGrid w:val="0"/>
                <w:color w:val="auto"/>
              </w:rPr>
            </w:pPr>
            <w:r>
              <w:rPr>
                <w:rFonts w:hint="eastAsia" w:cs="Times New Roman"/>
                <w:snapToGrid w:val="0"/>
                <w:color w:val="auto"/>
                <w:lang w:val="en-US" w:eastAsia="zh-CN"/>
              </w:rPr>
              <w:t>粉煤灰</w:t>
            </w:r>
            <w:r>
              <w:rPr>
                <w:rFonts w:cs="Times New Roman"/>
                <w:snapToGrid w:val="0"/>
                <w:color w:val="auto"/>
              </w:rPr>
              <w:t>粉料仓</w:t>
            </w:r>
          </w:p>
        </w:tc>
        <w:tc>
          <w:tcPr>
            <w:tcW w:w="1134" w:type="dxa"/>
            <w:vAlign w:val="center"/>
          </w:tcPr>
          <w:p w14:paraId="01F2AA93">
            <w:pPr>
              <w:spacing w:line="240" w:lineRule="auto"/>
              <w:ind w:firstLine="0" w:firstLineChars="0"/>
              <w:jc w:val="center"/>
              <w:rPr>
                <w:rFonts w:cs="Times New Roman"/>
                <w:snapToGrid w:val="0"/>
                <w:color w:val="auto"/>
              </w:rPr>
            </w:pPr>
            <w:r>
              <w:rPr>
                <w:rFonts w:cs="Times New Roman"/>
                <w:snapToGrid w:val="0"/>
                <w:color w:val="auto"/>
              </w:rPr>
              <w:t>颗粒物</w:t>
            </w:r>
          </w:p>
        </w:tc>
        <w:tc>
          <w:tcPr>
            <w:tcW w:w="2356" w:type="dxa"/>
            <w:vAlign w:val="center"/>
          </w:tcPr>
          <w:p w14:paraId="35A1FB7C">
            <w:pPr>
              <w:spacing w:line="240" w:lineRule="auto"/>
              <w:ind w:firstLine="0" w:firstLineChars="0"/>
              <w:jc w:val="center"/>
              <w:rPr>
                <w:rFonts w:cs="Times New Roman"/>
                <w:snapToGrid w:val="0"/>
                <w:color w:val="auto"/>
              </w:rPr>
            </w:pPr>
            <w:r>
              <w:rPr>
                <w:rFonts w:cs="Times New Roman"/>
                <w:snapToGrid w:val="0"/>
                <w:color w:val="auto"/>
              </w:rPr>
              <w:t>脉动袋式除尘器排放（无组织）</w:t>
            </w:r>
          </w:p>
        </w:tc>
        <w:tc>
          <w:tcPr>
            <w:tcW w:w="1857" w:type="dxa"/>
            <w:vMerge w:val="continue"/>
            <w:vAlign w:val="center"/>
          </w:tcPr>
          <w:p w14:paraId="17318434">
            <w:pPr>
              <w:spacing w:line="240" w:lineRule="auto"/>
              <w:ind w:firstLine="0" w:firstLineChars="0"/>
              <w:jc w:val="center"/>
              <w:rPr>
                <w:rFonts w:cs="Times New Roman"/>
                <w:snapToGrid w:val="0"/>
                <w:color w:val="auto"/>
              </w:rPr>
            </w:pPr>
          </w:p>
        </w:tc>
      </w:tr>
      <w:tr w14:paraId="1C9D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271" w:type="dxa"/>
            <w:vMerge w:val="continue"/>
            <w:vAlign w:val="center"/>
          </w:tcPr>
          <w:p w14:paraId="37682E12">
            <w:pPr>
              <w:spacing w:line="240" w:lineRule="auto"/>
              <w:ind w:firstLine="0" w:firstLineChars="0"/>
              <w:jc w:val="center"/>
              <w:rPr>
                <w:rFonts w:cs="Times New Roman"/>
                <w:snapToGrid w:val="0"/>
                <w:color w:val="auto"/>
              </w:rPr>
            </w:pPr>
          </w:p>
        </w:tc>
        <w:tc>
          <w:tcPr>
            <w:tcW w:w="1701" w:type="dxa"/>
            <w:vAlign w:val="center"/>
          </w:tcPr>
          <w:p w14:paraId="6B8A7E6A">
            <w:pPr>
              <w:spacing w:line="240" w:lineRule="auto"/>
              <w:ind w:firstLine="0" w:firstLineChars="0"/>
              <w:jc w:val="center"/>
              <w:rPr>
                <w:rFonts w:cs="Times New Roman"/>
                <w:snapToGrid w:val="0"/>
                <w:color w:val="auto"/>
              </w:rPr>
            </w:pPr>
            <w:r>
              <w:rPr>
                <w:rFonts w:cs="Times New Roman"/>
                <w:snapToGrid w:val="0"/>
                <w:color w:val="auto"/>
              </w:rPr>
              <w:t>搅拌机</w:t>
            </w:r>
          </w:p>
        </w:tc>
        <w:tc>
          <w:tcPr>
            <w:tcW w:w="1134" w:type="dxa"/>
            <w:vAlign w:val="center"/>
          </w:tcPr>
          <w:p w14:paraId="643A292A">
            <w:pPr>
              <w:spacing w:line="240" w:lineRule="auto"/>
              <w:ind w:firstLine="0" w:firstLineChars="0"/>
              <w:jc w:val="center"/>
              <w:rPr>
                <w:rFonts w:cs="Times New Roman"/>
                <w:snapToGrid w:val="0"/>
                <w:color w:val="auto"/>
              </w:rPr>
            </w:pPr>
            <w:r>
              <w:rPr>
                <w:rFonts w:cs="Times New Roman"/>
                <w:snapToGrid w:val="0"/>
                <w:color w:val="auto"/>
              </w:rPr>
              <w:t>颗粒物</w:t>
            </w:r>
          </w:p>
        </w:tc>
        <w:tc>
          <w:tcPr>
            <w:tcW w:w="2356" w:type="dxa"/>
            <w:vAlign w:val="center"/>
          </w:tcPr>
          <w:p w14:paraId="5A5E71AA">
            <w:pPr>
              <w:spacing w:line="240" w:lineRule="auto"/>
              <w:ind w:firstLine="0" w:firstLineChars="0"/>
              <w:jc w:val="center"/>
              <w:rPr>
                <w:rFonts w:hint="eastAsia" w:eastAsia="宋体" w:cs="Times New Roman"/>
                <w:snapToGrid w:val="0"/>
                <w:color w:val="auto"/>
                <w:lang w:val="en-US" w:eastAsia="zh-CN"/>
              </w:rPr>
            </w:pPr>
            <w:r>
              <w:rPr>
                <w:rFonts w:cs="Times New Roman"/>
                <w:snapToGrid w:val="0"/>
                <w:color w:val="auto"/>
              </w:rPr>
              <w:t>脉动袋式除尘器无组织</w:t>
            </w:r>
            <w:r>
              <w:rPr>
                <w:rFonts w:hint="eastAsia" w:cs="Times New Roman"/>
                <w:snapToGrid w:val="0"/>
                <w:color w:val="auto"/>
                <w:lang w:val="en-US" w:eastAsia="zh-CN"/>
              </w:rPr>
              <w:t>排放</w:t>
            </w:r>
          </w:p>
        </w:tc>
        <w:tc>
          <w:tcPr>
            <w:tcW w:w="1857" w:type="dxa"/>
            <w:vMerge w:val="continue"/>
            <w:vAlign w:val="center"/>
          </w:tcPr>
          <w:p w14:paraId="11E866DE">
            <w:pPr>
              <w:spacing w:line="240" w:lineRule="auto"/>
              <w:ind w:firstLine="0" w:firstLineChars="0"/>
              <w:jc w:val="center"/>
              <w:rPr>
                <w:rFonts w:cs="Times New Roman"/>
                <w:snapToGrid w:val="0"/>
                <w:color w:val="auto"/>
              </w:rPr>
            </w:pPr>
          </w:p>
        </w:tc>
      </w:tr>
      <w:tr w14:paraId="7A85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1271" w:type="dxa"/>
            <w:vAlign w:val="center"/>
          </w:tcPr>
          <w:p w14:paraId="5D14518E">
            <w:pPr>
              <w:spacing w:line="240" w:lineRule="auto"/>
              <w:ind w:firstLine="0" w:firstLineChars="0"/>
              <w:jc w:val="center"/>
              <w:rPr>
                <w:rFonts w:cs="Times New Roman"/>
                <w:snapToGrid w:val="0"/>
                <w:color w:val="auto"/>
              </w:rPr>
            </w:pPr>
            <w:r>
              <w:rPr>
                <w:rFonts w:cs="Times New Roman"/>
                <w:snapToGrid w:val="0"/>
                <w:color w:val="auto"/>
              </w:rPr>
              <w:t>地表水环境</w:t>
            </w:r>
          </w:p>
        </w:tc>
        <w:tc>
          <w:tcPr>
            <w:tcW w:w="1701" w:type="dxa"/>
            <w:shd w:val="clear" w:color="auto" w:fill="auto"/>
            <w:vAlign w:val="center"/>
          </w:tcPr>
          <w:p w14:paraId="7F2950DB">
            <w:pPr>
              <w:spacing w:line="240" w:lineRule="auto"/>
              <w:ind w:firstLine="0" w:firstLineChars="0"/>
              <w:jc w:val="center"/>
              <w:rPr>
                <w:rFonts w:ascii="Times New Roman" w:hAnsi="Times New Roman" w:eastAsia="宋体" w:cs="Times New Roman"/>
                <w:snapToGrid w:val="0"/>
                <w:color w:val="auto"/>
                <w:sz w:val="24"/>
                <w:szCs w:val="22"/>
                <w:lang w:val="en-US" w:eastAsia="zh-CN" w:bidi="ar-SA"/>
              </w:rPr>
            </w:pPr>
            <w:r>
              <w:rPr>
                <w:rFonts w:cs="Times New Roman"/>
                <w:snapToGrid w:val="0"/>
                <w:color w:val="auto"/>
              </w:rPr>
              <w:t>生活污水</w:t>
            </w:r>
          </w:p>
        </w:tc>
        <w:tc>
          <w:tcPr>
            <w:tcW w:w="1134" w:type="dxa"/>
            <w:shd w:val="clear" w:color="auto" w:fill="auto"/>
            <w:vAlign w:val="center"/>
          </w:tcPr>
          <w:p w14:paraId="25B52957">
            <w:pPr>
              <w:spacing w:line="240" w:lineRule="auto"/>
              <w:ind w:firstLine="0" w:firstLineChars="0"/>
              <w:jc w:val="center"/>
              <w:rPr>
                <w:rFonts w:ascii="Times New Roman" w:hAnsi="Times New Roman" w:eastAsia="宋体" w:cs="Times New Roman"/>
                <w:snapToGrid w:val="0"/>
                <w:color w:val="auto"/>
                <w:sz w:val="24"/>
                <w:szCs w:val="22"/>
                <w:lang w:val="en-US" w:eastAsia="zh-CN" w:bidi="ar-SA"/>
              </w:rPr>
            </w:pPr>
            <w:r>
              <w:rPr>
                <w:rFonts w:cs="Times New Roman"/>
                <w:snapToGrid w:val="0"/>
                <w:color w:val="auto"/>
              </w:rPr>
              <w:t>pH、COD</w:t>
            </w:r>
            <w:r>
              <w:rPr>
                <w:rFonts w:cs="Times New Roman"/>
                <w:snapToGrid w:val="0"/>
                <w:color w:val="auto"/>
                <w:vertAlign w:val="subscript"/>
              </w:rPr>
              <w:t>cr</w:t>
            </w:r>
            <w:r>
              <w:rPr>
                <w:rFonts w:cs="Times New Roman"/>
                <w:snapToGrid w:val="0"/>
                <w:color w:val="auto"/>
              </w:rPr>
              <w:t>、BOD</w:t>
            </w:r>
            <w:r>
              <w:rPr>
                <w:rFonts w:cs="Times New Roman"/>
                <w:snapToGrid w:val="0"/>
                <w:color w:val="auto"/>
                <w:vertAlign w:val="subscript"/>
              </w:rPr>
              <w:t>5</w:t>
            </w:r>
            <w:r>
              <w:rPr>
                <w:rFonts w:cs="Times New Roman"/>
                <w:snapToGrid w:val="0"/>
                <w:color w:val="auto"/>
              </w:rPr>
              <w:t>、氨氮及SS等</w:t>
            </w:r>
          </w:p>
        </w:tc>
        <w:tc>
          <w:tcPr>
            <w:tcW w:w="2356" w:type="dxa"/>
            <w:shd w:val="clear" w:color="auto" w:fill="auto"/>
            <w:vAlign w:val="center"/>
          </w:tcPr>
          <w:p w14:paraId="60073991">
            <w:pPr>
              <w:spacing w:line="240" w:lineRule="auto"/>
              <w:ind w:firstLine="0" w:firstLineChars="0"/>
              <w:jc w:val="center"/>
              <w:rPr>
                <w:rFonts w:hint="eastAsia" w:ascii="Times New Roman" w:hAnsi="Times New Roman" w:eastAsia="宋体" w:cs="Times New Roman"/>
                <w:snapToGrid w:val="0"/>
                <w:color w:val="auto"/>
                <w:sz w:val="24"/>
                <w:szCs w:val="22"/>
                <w:lang w:val="en-US" w:eastAsia="zh-CN" w:bidi="ar-SA"/>
              </w:rPr>
            </w:pPr>
            <w:r>
              <w:rPr>
                <w:rFonts w:hint="eastAsia" w:cs="Times New Roman"/>
                <w:snapToGrid w:val="0"/>
                <w:color w:val="auto"/>
                <w:lang w:val="en-US" w:eastAsia="zh-CN"/>
              </w:rPr>
              <w:t>收集至</w:t>
            </w:r>
            <w:r>
              <w:rPr>
                <w:rFonts w:hint="eastAsia" w:cs="Times New Roman"/>
                <w:snapToGrid w:val="0"/>
                <w:color w:val="auto"/>
                <w:lang w:eastAsia="zh-CN"/>
              </w:rPr>
              <w:t>厂区</w:t>
            </w:r>
            <w:r>
              <w:rPr>
                <w:rFonts w:hint="eastAsia" w:cs="Times New Roman"/>
                <w:snapToGrid w:val="0"/>
                <w:color w:val="auto"/>
                <w:lang w:val="en-US" w:eastAsia="zh-CN"/>
              </w:rPr>
              <w:t>新建</w:t>
            </w:r>
            <w:r>
              <w:rPr>
                <w:rFonts w:hint="eastAsia" w:cs="Times New Roman"/>
                <w:snapToGrid w:val="0"/>
                <w:color w:val="auto"/>
                <w:lang w:eastAsia="zh-CN"/>
              </w:rPr>
              <w:t>化粪池</w:t>
            </w:r>
          </w:p>
        </w:tc>
        <w:tc>
          <w:tcPr>
            <w:tcW w:w="1857" w:type="dxa"/>
            <w:shd w:val="clear" w:color="auto" w:fill="auto"/>
            <w:vAlign w:val="center"/>
          </w:tcPr>
          <w:p w14:paraId="146B683D">
            <w:pPr>
              <w:spacing w:line="240" w:lineRule="auto"/>
              <w:ind w:firstLine="0" w:firstLineChars="0"/>
              <w:jc w:val="center"/>
              <w:rPr>
                <w:rFonts w:ascii="Times New Roman" w:hAnsi="Times New Roman" w:eastAsia="宋体" w:cs="Times New Roman"/>
                <w:snapToGrid w:val="0"/>
                <w:color w:val="auto"/>
                <w:sz w:val="24"/>
                <w:szCs w:val="22"/>
                <w:lang w:val="en-US" w:eastAsia="zh-CN" w:bidi="ar-SA"/>
              </w:rPr>
            </w:pPr>
            <w:r>
              <w:rPr>
                <w:rFonts w:hint="eastAsia" w:cs="Times New Roman"/>
                <w:snapToGrid w:val="0"/>
                <w:color w:val="auto"/>
              </w:rPr>
              <w:t>/</w:t>
            </w:r>
          </w:p>
        </w:tc>
      </w:tr>
      <w:tr w14:paraId="483A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jc w:val="center"/>
        </w:trPr>
        <w:tc>
          <w:tcPr>
            <w:tcW w:w="1271" w:type="dxa"/>
            <w:vAlign w:val="center"/>
          </w:tcPr>
          <w:p w14:paraId="4AAEE547">
            <w:pPr>
              <w:spacing w:line="240" w:lineRule="auto"/>
              <w:ind w:firstLine="0" w:firstLineChars="0"/>
              <w:jc w:val="center"/>
              <w:rPr>
                <w:rFonts w:cs="Times New Roman"/>
                <w:snapToGrid w:val="0"/>
                <w:color w:val="auto"/>
              </w:rPr>
            </w:pPr>
            <w:r>
              <w:rPr>
                <w:rFonts w:cs="Times New Roman"/>
                <w:snapToGrid w:val="0"/>
                <w:color w:val="auto"/>
              </w:rPr>
              <w:t>声环境</w:t>
            </w:r>
          </w:p>
        </w:tc>
        <w:tc>
          <w:tcPr>
            <w:tcW w:w="1701" w:type="dxa"/>
            <w:vAlign w:val="center"/>
          </w:tcPr>
          <w:p w14:paraId="517BA7D4">
            <w:pPr>
              <w:spacing w:line="240" w:lineRule="auto"/>
              <w:ind w:firstLine="0" w:firstLineChars="0"/>
              <w:jc w:val="center"/>
              <w:rPr>
                <w:rFonts w:cs="Times New Roman"/>
                <w:snapToGrid w:val="0"/>
                <w:color w:val="auto"/>
              </w:rPr>
            </w:pPr>
            <w:r>
              <w:rPr>
                <w:rFonts w:cs="Times New Roman"/>
                <w:snapToGrid w:val="0"/>
                <w:color w:val="auto"/>
              </w:rPr>
              <w:t>生产设备</w:t>
            </w:r>
          </w:p>
        </w:tc>
        <w:tc>
          <w:tcPr>
            <w:tcW w:w="1134" w:type="dxa"/>
            <w:vAlign w:val="center"/>
          </w:tcPr>
          <w:p w14:paraId="64D8FCD0">
            <w:pPr>
              <w:spacing w:line="240" w:lineRule="auto"/>
              <w:ind w:firstLine="0" w:firstLineChars="0"/>
              <w:jc w:val="center"/>
              <w:rPr>
                <w:rFonts w:cs="Times New Roman"/>
                <w:snapToGrid w:val="0"/>
                <w:color w:val="auto"/>
              </w:rPr>
            </w:pPr>
            <w:r>
              <w:rPr>
                <w:rFonts w:cs="Times New Roman"/>
                <w:snapToGrid w:val="0"/>
                <w:color w:val="auto"/>
              </w:rPr>
              <w:t>设备噪声（等效A声级）</w:t>
            </w:r>
          </w:p>
        </w:tc>
        <w:tc>
          <w:tcPr>
            <w:tcW w:w="2356" w:type="dxa"/>
            <w:vAlign w:val="center"/>
          </w:tcPr>
          <w:p w14:paraId="6CA8F6AA">
            <w:pPr>
              <w:spacing w:line="240" w:lineRule="auto"/>
              <w:ind w:firstLine="0" w:firstLineChars="0"/>
              <w:jc w:val="center"/>
              <w:rPr>
                <w:rFonts w:cs="Times New Roman"/>
                <w:snapToGrid w:val="0"/>
                <w:color w:val="auto"/>
              </w:rPr>
            </w:pPr>
            <w:r>
              <w:rPr>
                <w:rFonts w:cs="Times New Roman"/>
                <w:snapToGrid w:val="0"/>
                <w:color w:val="auto"/>
              </w:rPr>
              <w:t>设备设置减振降噪设施，定期维修养护</w:t>
            </w:r>
          </w:p>
        </w:tc>
        <w:tc>
          <w:tcPr>
            <w:tcW w:w="1857" w:type="dxa"/>
            <w:vAlign w:val="center"/>
          </w:tcPr>
          <w:p w14:paraId="7D6B8745">
            <w:pPr>
              <w:spacing w:line="240" w:lineRule="auto"/>
              <w:ind w:firstLine="0" w:firstLineChars="0"/>
              <w:jc w:val="center"/>
              <w:rPr>
                <w:rFonts w:cs="Times New Roman"/>
                <w:snapToGrid w:val="0"/>
                <w:color w:val="auto"/>
              </w:rPr>
            </w:pPr>
            <w:r>
              <w:rPr>
                <w:rFonts w:cs="Times New Roman"/>
                <w:snapToGrid w:val="0"/>
                <w:color w:val="auto"/>
              </w:rPr>
              <w:t>《工业企业厂界环境噪声排放标准》（GB12348-2008）</w:t>
            </w:r>
            <w:r>
              <w:rPr>
                <w:rFonts w:hint="eastAsia" w:cs="Times New Roman"/>
                <w:snapToGrid w:val="0"/>
                <w:color w:val="auto"/>
                <w:lang w:val="en-US" w:eastAsia="zh-CN"/>
              </w:rPr>
              <w:t>2</w:t>
            </w:r>
            <w:r>
              <w:rPr>
                <w:rFonts w:cs="Times New Roman"/>
                <w:snapToGrid w:val="0"/>
                <w:color w:val="auto"/>
              </w:rPr>
              <w:t>类标准</w:t>
            </w:r>
          </w:p>
        </w:tc>
      </w:tr>
      <w:tr w14:paraId="36BD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271" w:type="dxa"/>
            <w:vAlign w:val="center"/>
          </w:tcPr>
          <w:p w14:paraId="46A05688">
            <w:pPr>
              <w:spacing w:line="240" w:lineRule="auto"/>
              <w:ind w:firstLine="0" w:firstLineChars="0"/>
              <w:jc w:val="center"/>
              <w:rPr>
                <w:rFonts w:cs="Times New Roman"/>
                <w:snapToGrid w:val="0"/>
                <w:color w:val="auto"/>
              </w:rPr>
            </w:pPr>
            <w:r>
              <w:rPr>
                <w:rFonts w:cs="Times New Roman"/>
                <w:snapToGrid w:val="0"/>
                <w:color w:val="auto"/>
              </w:rPr>
              <w:t>电磁辐射</w:t>
            </w:r>
          </w:p>
        </w:tc>
        <w:tc>
          <w:tcPr>
            <w:tcW w:w="1701" w:type="dxa"/>
            <w:vAlign w:val="center"/>
          </w:tcPr>
          <w:p w14:paraId="6788BD6A">
            <w:pPr>
              <w:spacing w:line="240" w:lineRule="auto"/>
              <w:ind w:firstLine="0" w:firstLineChars="0"/>
              <w:jc w:val="center"/>
              <w:rPr>
                <w:rFonts w:cs="Times New Roman"/>
                <w:snapToGrid w:val="0"/>
                <w:color w:val="auto"/>
              </w:rPr>
            </w:pPr>
            <w:r>
              <w:rPr>
                <w:rFonts w:cs="Times New Roman"/>
                <w:snapToGrid w:val="0"/>
                <w:color w:val="auto"/>
              </w:rPr>
              <w:t>/</w:t>
            </w:r>
          </w:p>
        </w:tc>
        <w:tc>
          <w:tcPr>
            <w:tcW w:w="1134" w:type="dxa"/>
            <w:vAlign w:val="center"/>
          </w:tcPr>
          <w:p w14:paraId="37697562">
            <w:pPr>
              <w:spacing w:line="240" w:lineRule="auto"/>
              <w:ind w:firstLine="0" w:firstLineChars="0"/>
              <w:jc w:val="center"/>
              <w:rPr>
                <w:rFonts w:cs="Times New Roman"/>
                <w:snapToGrid w:val="0"/>
                <w:color w:val="auto"/>
              </w:rPr>
            </w:pPr>
            <w:r>
              <w:rPr>
                <w:rFonts w:cs="Times New Roman"/>
                <w:snapToGrid w:val="0"/>
                <w:color w:val="auto"/>
              </w:rPr>
              <w:t>/</w:t>
            </w:r>
          </w:p>
        </w:tc>
        <w:tc>
          <w:tcPr>
            <w:tcW w:w="2356" w:type="dxa"/>
            <w:vAlign w:val="center"/>
          </w:tcPr>
          <w:p w14:paraId="21DBCD19">
            <w:pPr>
              <w:spacing w:line="240" w:lineRule="auto"/>
              <w:ind w:firstLine="0" w:firstLineChars="0"/>
              <w:jc w:val="center"/>
              <w:rPr>
                <w:rFonts w:cs="Times New Roman"/>
                <w:snapToGrid w:val="0"/>
                <w:color w:val="auto"/>
              </w:rPr>
            </w:pPr>
            <w:r>
              <w:rPr>
                <w:rFonts w:cs="Times New Roman"/>
                <w:snapToGrid w:val="0"/>
                <w:color w:val="auto"/>
              </w:rPr>
              <w:t>/</w:t>
            </w:r>
          </w:p>
        </w:tc>
        <w:tc>
          <w:tcPr>
            <w:tcW w:w="1857" w:type="dxa"/>
            <w:vAlign w:val="center"/>
          </w:tcPr>
          <w:p w14:paraId="2256B7A3">
            <w:pPr>
              <w:spacing w:line="240" w:lineRule="auto"/>
              <w:ind w:firstLine="0" w:firstLineChars="0"/>
              <w:jc w:val="center"/>
              <w:rPr>
                <w:rFonts w:cs="Times New Roman"/>
                <w:snapToGrid w:val="0"/>
                <w:color w:val="auto"/>
              </w:rPr>
            </w:pPr>
            <w:r>
              <w:rPr>
                <w:rFonts w:cs="Times New Roman"/>
                <w:snapToGrid w:val="0"/>
                <w:color w:val="auto"/>
              </w:rPr>
              <w:t>/</w:t>
            </w:r>
          </w:p>
        </w:tc>
      </w:tr>
      <w:tr w14:paraId="7854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71" w:type="dxa"/>
            <w:vMerge w:val="restart"/>
            <w:vAlign w:val="center"/>
          </w:tcPr>
          <w:p w14:paraId="7851218B">
            <w:pPr>
              <w:spacing w:line="240" w:lineRule="auto"/>
              <w:ind w:firstLine="0" w:firstLineChars="0"/>
              <w:jc w:val="center"/>
              <w:rPr>
                <w:rFonts w:cs="Times New Roman"/>
                <w:snapToGrid w:val="0"/>
                <w:color w:val="auto"/>
              </w:rPr>
            </w:pPr>
            <w:r>
              <w:rPr>
                <w:rFonts w:cs="Times New Roman"/>
                <w:snapToGrid w:val="0"/>
                <w:color w:val="auto"/>
              </w:rPr>
              <w:t>固体废物</w:t>
            </w:r>
          </w:p>
        </w:tc>
        <w:tc>
          <w:tcPr>
            <w:tcW w:w="1701" w:type="dxa"/>
            <w:vAlign w:val="center"/>
          </w:tcPr>
          <w:p w14:paraId="65556822">
            <w:pPr>
              <w:spacing w:line="240" w:lineRule="auto"/>
              <w:ind w:firstLine="0" w:firstLineChars="0"/>
              <w:jc w:val="center"/>
              <w:rPr>
                <w:rFonts w:cs="Times New Roman"/>
                <w:snapToGrid w:val="0"/>
                <w:color w:val="auto"/>
              </w:rPr>
            </w:pPr>
            <w:r>
              <w:rPr>
                <w:rFonts w:cs="Times New Roman"/>
                <w:snapToGrid w:val="0"/>
                <w:color w:val="auto"/>
              </w:rPr>
              <w:t>出厂检验</w:t>
            </w:r>
          </w:p>
        </w:tc>
        <w:tc>
          <w:tcPr>
            <w:tcW w:w="1134" w:type="dxa"/>
            <w:vAlign w:val="center"/>
          </w:tcPr>
          <w:p w14:paraId="02D51D7C">
            <w:pPr>
              <w:spacing w:line="240" w:lineRule="auto"/>
              <w:ind w:firstLine="0" w:firstLineChars="0"/>
              <w:jc w:val="center"/>
              <w:rPr>
                <w:rFonts w:cs="Times New Roman"/>
                <w:snapToGrid w:val="0"/>
                <w:color w:val="auto"/>
              </w:rPr>
            </w:pPr>
            <w:r>
              <w:rPr>
                <w:rFonts w:cs="Times New Roman"/>
                <w:snapToGrid w:val="0"/>
                <w:color w:val="auto"/>
              </w:rPr>
              <w:t>成品残次品</w:t>
            </w:r>
          </w:p>
        </w:tc>
        <w:tc>
          <w:tcPr>
            <w:tcW w:w="2356" w:type="dxa"/>
            <w:vAlign w:val="center"/>
          </w:tcPr>
          <w:p w14:paraId="54945A39">
            <w:pPr>
              <w:spacing w:line="240" w:lineRule="auto"/>
              <w:ind w:firstLine="0" w:firstLineChars="0"/>
              <w:jc w:val="center"/>
              <w:rPr>
                <w:rFonts w:cs="Times New Roman"/>
                <w:snapToGrid w:val="0"/>
                <w:color w:val="auto"/>
              </w:rPr>
            </w:pPr>
            <w:r>
              <w:rPr>
                <w:rFonts w:cs="Times New Roman"/>
                <w:snapToGrid w:val="0"/>
                <w:color w:val="auto"/>
              </w:rPr>
              <w:t>收集后暂存于成品堆场一侧，外售附近砖厂</w:t>
            </w:r>
          </w:p>
        </w:tc>
        <w:tc>
          <w:tcPr>
            <w:tcW w:w="1857" w:type="dxa"/>
            <w:vMerge w:val="restart"/>
            <w:vAlign w:val="center"/>
          </w:tcPr>
          <w:p w14:paraId="3D74369E">
            <w:pPr>
              <w:spacing w:line="240" w:lineRule="auto"/>
              <w:ind w:firstLine="0" w:firstLineChars="0"/>
              <w:jc w:val="center"/>
              <w:rPr>
                <w:rFonts w:cs="Times New Roman"/>
                <w:snapToGrid w:val="0"/>
                <w:color w:val="auto"/>
              </w:rPr>
            </w:pPr>
            <w:r>
              <w:rPr>
                <w:rFonts w:cs="Times New Roman"/>
                <w:snapToGrid w:val="0"/>
                <w:color w:val="auto"/>
              </w:rPr>
              <w:t>《一般工业固体废物贮存和填埋污染控制标准》（GB18599-2020）</w:t>
            </w:r>
          </w:p>
        </w:tc>
      </w:tr>
      <w:tr w14:paraId="0004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71" w:type="dxa"/>
            <w:vMerge w:val="continue"/>
            <w:vAlign w:val="center"/>
          </w:tcPr>
          <w:p w14:paraId="49B489B0">
            <w:pPr>
              <w:spacing w:line="240" w:lineRule="auto"/>
              <w:ind w:firstLine="0" w:firstLineChars="0"/>
              <w:jc w:val="center"/>
              <w:rPr>
                <w:rFonts w:cs="Times New Roman"/>
                <w:snapToGrid w:val="0"/>
                <w:color w:val="auto"/>
              </w:rPr>
            </w:pPr>
          </w:p>
        </w:tc>
        <w:tc>
          <w:tcPr>
            <w:tcW w:w="1701" w:type="dxa"/>
            <w:vAlign w:val="center"/>
          </w:tcPr>
          <w:p w14:paraId="6365BC1D">
            <w:pPr>
              <w:spacing w:line="240" w:lineRule="auto"/>
              <w:ind w:firstLine="0" w:firstLineChars="0"/>
              <w:jc w:val="center"/>
              <w:rPr>
                <w:rFonts w:hint="default" w:eastAsia="宋体" w:cs="Times New Roman"/>
                <w:snapToGrid w:val="0"/>
                <w:color w:val="auto"/>
                <w:lang w:val="en-US" w:eastAsia="zh-CN"/>
              </w:rPr>
            </w:pPr>
            <w:r>
              <w:rPr>
                <w:rFonts w:hint="eastAsia" w:cs="Times New Roman"/>
                <w:snapToGrid w:val="0"/>
                <w:color w:val="auto"/>
                <w:lang w:val="en-US" w:eastAsia="zh-CN"/>
              </w:rPr>
              <w:t>钢筋笼制作</w:t>
            </w:r>
          </w:p>
        </w:tc>
        <w:tc>
          <w:tcPr>
            <w:tcW w:w="1134" w:type="dxa"/>
            <w:vAlign w:val="center"/>
          </w:tcPr>
          <w:p w14:paraId="38368AEC">
            <w:pPr>
              <w:spacing w:line="240" w:lineRule="auto"/>
              <w:ind w:firstLine="0" w:firstLineChars="0"/>
              <w:jc w:val="center"/>
              <w:rPr>
                <w:rFonts w:cs="Times New Roman"/>
                <w:snapToGrid w:val="0"/>
                <w:color w:val="auto"/>
              </w:rPr>
            </w:pPr>
            <w:r>
              <w:rPr>
                <w:rFonts w:cs="Times New Roman"/>
                <w:snapToGrid w:val="0"/>
                <w:color w:val="auto"/>
              </w:rPr>
              <w:t>金属边角料</w:t>
            </w:r>
          </w:p>
        </w:tc>
        <w:tc>
          <w:tcPr>
            <w:tcW w:w="2356" w:type="dxa"/>
            <w:vAlign w:val="center"/>
          </w:tcPr>
          <w:p w14:paraId="6CD8C4C7">
            <w:pPr>
              <w:spacing w:line="240" w:lineRule="auto"/>
              <w:ind w:firstLine="0" w:firstLineChars="0"/>
              <w:jc w:val="center"/>
              <w:rPr>
                <w:rFonts w:cs="Times New Roman"/>
                <w:snapToGrid w:val="0"/>
                <w:color w:val="auto"/>
              </w:rPr>
            </w:pPr>
            <w:r>
              <w:rPr>
                <w:rFonts w:cs="Times New Roman"/>
                <w:snapToGrid w:val="0"/>
                <w:color w:val="auto"/>
              </w:rPr>
              <w:t>收集后暂存于一般固废暂存间，外售废品回收站</w:t>
            </w:r>
          </w:p>
        </w:tc>
        <w:tc>
          <w:tcPr>
            <w:tcW w:w="1857" w:type="dxa"/>
            <w:vMerge w:val="continue"/>
            <w:vAlign w:val="center"/>
          </w:tcPr>
          <w:p w14:paraId="2B8D2A74">
            <w:pPr>
              <w:spacing w:line="240" w:lineRule="auto"/>
              <w:ind w:firstLine="0" w:firstLineChars="0"/>
              <w:jc w:val="center"/>
              <w:rPr>
                <w:rFonts w:cs="Times New Roman"/>
                <w:snapToGrid w:val="0"/>
                <w:color w:val="auto"/>
              </w:rPr>
            </w:pPr>
          </w:p>
        </w:tc>
      </w:tr>
      <w:tr w14:paraId="7727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71" w:type="dxa"/>
            <w:vMerge w:val="continue"/>
            <w:vAlign w:val="center"/>
          </w:tcPr>
          <w:p w14:paraId="659E8481">
            <w:pPr>
              <w:spacing w:line="240" w:lineRule="auto"/>
              <w:ind w:firstLine="0" w:firstLineChars="0"/>
              <w:jc w:val="center"/>
              <w:rPr>
                <w:rFonts w:cs="Times New Roman"/>
                <w:snapToGrid w:val="0"/>
                <w:color w:val="auto"/>
              </w:rPr>
            </w:pPr>
          </w:p>
        </w:tc>
        <w:tc>
          <w:tcPr>
            <w:tcW w:w="1701" w:type="dxa"/>
            <w:vAlign w:val="center"/>
          </w:tcPr>
          <w:p w14:paraId="61669F89">
            <w:pPr>
              <w:spacing w:line="240" w:lineRule="auto"/>
              <w:ind w:firstLine="0" w:firstLineChars="0"/>
              <w:jc w:val="center"/>
              <w:rPr>
                <w:rFonts w:cs="Times New Roman"/>
                <w:snapToGrid w:val="0"/>
                <w:color w:val="auto"/>
              </w:rPr>
            </w:pPr>
            <w:r>
              <w:rPr>
                <w:rFonts w:cs="Times New Roman"/>
                <w:snapToGrid w:val="0"/>
                <w:color w:val="auto"/>
              </w:rPr>
              <w:t>废气治理</w:t>
            </w:r>
          </w:p>
        </w:tc>
        <w:tc>
          <w:tcPr>
            <w:tcW w:w="1134" w:type="dxa"/>
            <w:vAlign w:val="center"/>
          </w:tcPr>
          <w:p w14:paraId="49248EE5">
            <w:pPr>
              <w:spacing w:line="240" w:lineRule="auto"/>
              <w:ind w:firstLine="0" w:firstLineChars="0"/>
              <w:jc w:val="center"/>
              <w:rPr>
                <w:rFonts w:cs="Times New Roman"/>
                <w:snapToGrid w:val="0"/>
                <w:color w:val="auto"/>
              </w:rPr>
            </w:pPr>
            <w:r>
              <w:rPr>
                <w:rFonts w:cs="Times New Roman"/>
                <w:snapToGrid w:val="0"/>
                <w:color w:val="auto"/>
              </w:rPr>
              <w:t>除尘灰</w:t>
            </w:r>
          </w:p>
        </w:tc>
        <w:tc>
          <w:tcPr>
            <w:tcW w:w="2356" w:type="dxa"/>
            <w:vAlign w:val="center"/>
          </w:tcPr>
          <w:p w14:paraId="2696D08C">
            <w:pPr>
              <w:spacing w:line="240" w:lineRule="auto"/>
              <w:ind w:firstLine="0" w:firstLineChars="0"/>
              <w:jc w:val="center"/>
              <w:rPr>
                <w:rFonts w:cs="Times New Roman"/>
                <w:snapToGrid w:val="0"/>
                <w:color w:val="auto"/>
              </w:rPr>
            </w:pPr>
            <w:r>
              <w:rPr>
                <w:rFonts w:cs="Times New Roman"/>
                <w:snapToGrid w:val="0"/>
                <w:color w:val="auto"/>
              </w:rPr>
              <w:t>收集后回用于生产</w:t>
            </w:r>
          </w:p>
        </w:tc>
        <w:tc>
          <w:tcPr>
            <w:tcW w:w="1857" w:type="dxa"/>
            <w:vMerge w:val="continue"/>
            <w:vAlign w:val="center"/>
          </w:tcPr>
          <w:p w14:paraId="2F607301">
            <w:pPr>
              <w:spacing w:line="240" w:lineRule="auto"/>
              <w:ind w:firstLine="0" w:firstLineChars="0"/>
              <w:jc w:val="center"/>
              <w:rPr>
                <w:rFonts w:cs="Times New Roman"/>
                <w:snapToGrid w:val="0"/>
                <w:color w:val="auto"/>
              </w:rPr>
            </w:pPr>
          </w:p>
        </w:tc>
      </w:tr>
      <w:tr w14:paraId="7EF1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71" w:type="dxa"/>
            <w:vMerge w:val="continue"/>
            <w:vAlign w:val="center"/>
          </w:tcPr>
          <w:p w14:paraId="4010420C">
            <w:pPr>
              <w:spacing w:line="240" w:lineRule="auto"/>
              <w:ind w:firstLine="0" w:firstLineChars="0"/>
              <w:jc w:val="center"/>
              <w:rPr>
                <w:rFonts w:cs="Times New Roman"/>
                <w:snapToGrid w:val="0"/>
                <w:color w:val="auto"/>
              </w:rPr>
            </w:pPr>
          </w:p>
        </w:tc>
        <w:tc>
          <w:tcPr>
            <w:tcW w:w="1701" w:type="dxa"/>
            <w:vMerge w:val="restart"/>
            <w:vAlign w:val="center"/>
          </w:tcPr>
          <w:p w14:paraId="46628C9B">
            <w:pPr>
              <w:spacing w:line="240" w:lineRule="auto"/>
              <w:ind w:firstLine="0" w:firstLineChars="0"/>
              <w:jc w:val="center"/>
              <w:rPr>
                <w:rFonts w:cs="Times New Roman"/>
                <w:snapToGrid w:val="0"/>
                <w:color w:val="auto"/>
              </w:rPr>
            </w:pPr>
            <w:r>
              <w:rPr>
                <w:rFonts w:cs="Times New Roman"/>
                <w:snapToGrid w:val="0"/>
                <w:color w:val="auto"/>
              </w:rPr>
              <w:t>物料运输</w:t>
            </w:r>
          </w:p>
        </w:tc>
        <w:tc>
          <w:tcPr>
            <w:tcW w:w="1134" w:type="dxa"/>
            <w:vAlign w:val="center"/>
          </w:tcPr>
          <w:p w14:paraId="3C358C5A">
            <w:pPr>
              <w:spacing w:line="240" w:lineRule="auto"/>
              <w:ind w:firstLine="0" w:firstLineChars="0"/>
              <w:jc w:val="center"/>
              <w:rPr>
                <w:rFonts w:cs="Times New Roman"/>
                <w:snapToGrid w:val="0"/>
                <w:color w:val="auto"/>
              </w:rPr>
            </w:pPr>
            <w:r>
              <w:rPr>
                <w:rFonts w:cs="Times New Roman"/>
                <w:snapToGrid w:val="0"/>
                <w:color w:val="auto"/>
              </w:rPr>
              <w:t>废包装袋</w:t>
            </w:r>
          </w:p>
        </w:tc>
        <w:tc>
          <w:tcPr>
            <w:tcW w:w="2356" w:type="dxa"/>
            <w:vAlign w:val="center"/>
          </w:tcPr>
          <w:p w14:paraId="5743F98E">
            <w:pPr>
              <w:spacing w:line="240" w:lineRule="auto"/>
              <w:ind w:firstLine="0" w:firstLineChars="0"/>
              <w:jc w:val="center"/>
              <w:rPr>
                <w:rFonts w:cs="Times New Roman"/>
                <w:snapToGrid w:val="0"/>
                <w:color w:val="auto"/>
              </w:rPr>
            </w:pPr>
            <w:r>
              <w:rPr>
                <w:rFonts w:cs="Times New Roman"/>
                <w:snapToGrid w:val="0"/>
                <w:color w:val="auto"/>
              </w:rPr>
              <w:t>收集后外售</w:t>
            </w:r>
          </w:p>
        </w:tc>
        <w:tc>
          <w:tcPr>
            <w:tcW w:w="1857" w:type="dxa"/>
            <w:vMerge w:val="continue"/>
            <w:vAlign w:val="center"/>
          </w:tcPr>
          <w:p w14:paraId="75707E39">
            <w:pPr>
              <w:spacing w:line="240" w:lineRule="auto"/>
              <w:ind w:firstLine="0" w:firstLineChars="0"/>
              <w:jc w:val="center"/>
              <w:rPr>
                <w:rFonts w:cs="Times New Roman"/>
                <w:snapToGrid w:val="0"/>
                <w:color w:val="auto"/>
              </w:rPr>
            </w:pPr>
          </w:p>
        </w:tc>
      </w:tr>
      <w:tr w14:paraId="0B4D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71" w:type="dxa"/>
            <w:vMerge w:val="continue"/>
            <w:vAlign w:val="center"/>
          </w:tcPr>
          <w:p w14:paraId="437F2FAC">
            <w:pPr>
              <w:spacing w:line="240" w:lineRule="auto"/>
              <w:ind w:firstLine="0" w:firstLineChars="0"/>
              <w:jc w:val="center"/>
              <w:rPr>
                <w:rFonts w:cs="Times New Roman"/>
                <w:snapToGrid w:val="0"/>
                <w:color w:val="auto"/>
              </w:rPr>
            </w:pPr>
          </w:p>
        </w:tc>
        <w:tc>
          <w:tcPr>
            <w:tcW w:w="1701" w:type="dxa"/>
            <w:vMerge w:val="continue"/>
            <w:vAlign w:val="center"/>
          </w:tcPr>
          <w:p w14:paraId="0388899D">
            <w:pPr>
              <w:spacing w:line="240" w:lineRule="auto"/>
              <w:ind w:firstLine="0" w:firstLineChars="0"/>
              <w:jc w:val="center"/>
              <w:rPr>
                <w:rFonts w:cs="Times New Roman"/>
                <w:snapToGrid w:val="0"/>
                <w:color w:val="auto"/>
              </w:rPr>
            </w:pPr>
          </w:p>
        </w:tc>
        <w:tc>
          <w:tcPr>
            <w:tcW w:w="1134" w:type="dxa"/>
            <w:vAlign w:val="center"/>
          </w:tcPr>
          <w:p w14:paraId="1BDC0C1D">
            <w:pPr>
              <w:spacing w:line="240" w:lineRule="auto"/>
              <w:ind w:firstLine="0" w:firstLineChars="0"/>
              <w:jc w:val="center"/>
              <w:rPr>
                <w:rFonts w:cs="Times New Roman"/>
                <w:snapToGrid w:val="0"/>
                <w:color w:val="auto"/>
              </w:rPr>
            </w:pPr>
            <w:r>
              <w:rPr>
                <w:rFonts w:cs="Times New Roman"/>
                <w:snapToGrid w:val="0"/>
                <w:color w:val="auto"/>
              </w:rPr>
              <w:t>废包装桶</w:t>
            </w:r>
          </w:p>
        </w:tc>
        <w:tc>
          <w:tcPr>
            <w:tcW w:w="2356" w:type="dxa"/>
            <w:vAlign w:val="center"/>
          </w:tcPr>
          <w:p w14:paraId="2F47BC27">
            <w:pPr>
              <w:spacing w:line="240" w:lineRule="auto"/>
              <w:ind w:firstLine="0" w:firstLineChars="0"/>
              <w:jc w:val="center"/>
              <w:rPr>
                <w:rFonts w:cs="Times New Roman"/>
                <w:snapToGrid w:val="0"/>
                <w:color w:val="auto"/>
              </w:rPr>
            </w:pPr>
            <w:r>
              <w:rPr>
                <w:rFonts w:cs="Times New Roman"/>
                <w:snapToGrid w:val="0"/>
                <w:color w:val="auto"/>
              </w:rPr>
              <w:t>交由生产厂家回收利用</w:t>
            </w:r>
          </w:p>
        </w:tc>
        <w:tc>
          <w:tcPr>
            <w:tcW w:w="1857" w:type="dxa"/>
            <w:vMerge w:val="continue"/>
            <w:vAlign w:val="center"/>
          </w:tcPr>
          <w:p w14:paraId="01DD5CE6">
            <w:pPr>
              <w:spacing w:line="240" w:lineRule="auto"/>
              <w:ind w:firstLine="0" w:firstLineChars="0"/>
              <w:jc w:val="center"/>
              <w:rPr>
                <w:rFonts w:cs="Times New Roman"/>
                <w:snapToGrid w:val="0"/>
                <w:color w:val="auto"/>
              </w:rPr>
            </w:pPr>
          </w:p>
        </w:tc>
      </w:tr>
      <w:tr w14:paraId="6BB9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71" w:type="dxa"/>
            <w:vMerge w:val="continue"/>
            <w:vAlign w:val="center"/>
          </w:tcPr>
          <w:p w14:paraId="712D8C4C">
            <w:pPr>
              <w:spacing w:line="240" w:lineRule="auto"/>
              <w:ind w:firstLine="0" w:firstLineChars="0"/>
              <w:jc w:val="center"/>
              <w:rPr>
                <w:rFonts w:cs="Times New Roman"/>
                <w:snapToGrid w:val="0"/>
                <w:color w:val="auto"/>
              </w:rPr>
            </w:pPr>
          </w:p>
        </w:tc>
        <w:tc>
          <w:tcPr>
            <w:tcW w:w="1701" w:type="dxa"/>
            <w:vMerge w:val="restart"/>
            <w:vAlign w:val="center"/>
          </w:tcPr>
          <w:p w14:paraId="2267962B">
            <w:pPr>
              <w:spacing w:line="240" w:lineRule="auto"/>
              <w:ind w:firstLine="0" w:firstLineChars="0"/>
              <w:jc w:val="center"/>
              <w:rPr>
                <w:rFonts w:cs="Times New Roman"/>
                <w:snapToGrid w:val="0"/>
                <w:color w:val="auto"/>
              </w:rPr>
            </w:pPr>
            <w:r>
              <w:rPr>
                <w:rFonts w:cs="Times New Roman"/>
                <w:snapToGrid w:val="0"/>
                <w:color w:val="auto"/>
              </w:rPr>
              <w:t>张拉</w:t>
            </w:r>
          </w:p>
        </w:tc>
        <w:tc>
          <w:tcPr>
            <w:tcW w:w="1134" w:type="dxa"/>
            <w:vAlign w:val="center"/>
          </w:tcPr>
          <w:p w14:paraId="720612E5">
            <w:pPr>
              <w:spacing w:line="240" w:lineRule="auto"/>
              <w:ind w:firstLine="0" w:firstLineChars="0"/>
              <w:jc w:val="center"/>
              <w:rPr>
                <w:rFonts w:cs="Times New Roman"/>
                <w:snapToGrid w:val="0"/>
                <w:color w:val="auto"/>
              </w:rPr>
            </w:pPr>
            <w:r>
              <w:rPr>
                <w:rFonts w:cs="Times New Roman"/>
                <w:snapToGrid w:val="0"/>
                <w:color w:val="auto"/>
              </w:rPr>
              <w:t>废机油</w:t>
            </w:r>
          </w:p>
        </w:tc>
        <w:tc>
          <w:tcPr>
            <w:tcW w:w="2356" w:type="dxa"/>
            <w:vAlign w:val="center"/>
          </w:tcPr>
          <w:p w14:paraId="617EAB4B">
            <w:pPr>
              <w:spacing w:line="240" w:lineRule="auto"/>
              <w:ind w:firstLine="0" w:firstLineChars="0"/>
              <w:jc w:val="center"/>
              <w:rPr>
                <w:rFonts w:cs="Times New Roman"/>
                <w:snapToGrid w:val="0"/>
                <w:color w:val="auto"/>
              </w:rPr>
            </w:pPr>
            <w:r>
              <w:rPr>
                <w:rFonts w:cs="Times New Roman"/>
                <w:snapToGrid w:val="0"/>
                <w:color w:val="auto"/>
              </w:rPr>
              <w:t>密闭油桶收集后暂存于危废暂存间内，定期委托有资质单位处理处置</w:t>
            </w:r>
          </w:p>
        </w:tc>
        <w:tc>
          <w:tcPr>
            <w:tcW w:w="1857" w:type="dxa"/>
            <w:vMerge w:val="restart"/>
            <w:vAlign w:val="center"/>
          </w:tcPr>
          <w:p w14:paraId="65CCD707">
            <w:pPr>
              <w:spacing w:line="240" w:lineRule="auto"/>
              <w:ind w:firstLine="0" w:firstLineChars="0"/>
              <w:jc w:val="center"/>
              <w:rPr>
                <w:rFonts w:cs="Times New Roman"/>
                <w:snapToGrid w:val="0"/>
                <w:color w:val="auto"/>
              </w:rPr>
            </w:pPr>
            <w:r>
              <w:rPr>
                <w:rFonts w:cs="Times New Roman"/>
                <w:snapToGrid w:val="0"/>
                <w:color w:val="auto"/>
              </w:rPr>
              <w:t>《危险废物贮存污染控制标准》（GB18597-2023）的要求</w:t>
            </w:r>
          </w:p>
        </w:tc>
      </w:tr>
      <w:tr w14:paraId="194C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71" w:type="dxa"/>
            <w:vMerge w:val="continue"/>
            <w:vAlign w:val="center"/>
          </w:tcPr>
          <w:p w14:paraId="0A7CC5C2">
            <w:pPr>
              <w:spacing w:line="240" w:lineRule="auto"/>
              <w:ind w:firstLine="0" w:firstLineChars="0"/>
              <w:jc w:val="center"/>
              <w:rPr>
                <w:rFonts w:cs="Times New Roman"/>
                <w:snapToGrid w:val="0"/>
                <w:color w:val="auto"/>
              </w:rPr>
            </w:pPr>
          </w:p>
        </w:tc>
        <w:tc>
          <w:tcPr>
            <w:tcW w:w="1701" w:type="dxa"/>
            <w:vMerge w:val="continue"/>
            <w:vAlign w:val="center"/>
          </w:tcPr>
          <w:p w14:paraId="72953050">
            <w:pPr>
              <w:spacing w:line="240" w:lineRule="auto"/>
              <w:ind w:firstLine="0" w:firstLineChars="0"/>
              <w:jc w:val="center"/>
              <w:rPr>
                <w:rFonts w:cs="Times New Roman"/>
                <w:snapToGrid w:val="0"/>
                <w:color w:val="auto"/>
              </w:rPr>
            </w:pPr>
          </w:p>
        </w:tc>
        <w:tc>
          <w:tcPr>
            <w:tcW w:w="1134" w:type="dxa"/>
            <w:vAlign w:val="center"/>
          </w:tcPr>
          <w:p w14:paraId="379033E5">
            <w:pPr>
              <w:spacing w:line="240" w:lineRule="auto"/>
              <w:ind w:firstLine="0" w:firstLineChars="0"/>
              <w:jc w:val="center"/>
              <w:rPr>
                <w:rFonts w:cs="Times New Roman"/>
                <w:snapToGrid w:val="0"/>
                <w:color w:val="auto"/>
              </w:rPr>
            </w:pPr>
            <w:r>
              <w:rPr>
                <w:rFonts w:cs="Times New Roman"/>
                <w:snapToGrid w:val="0"/>
                <w:color w:val="auto"/>
              </w:rPr>
              <w:t>废含油抹布</w:t>
            </w:r>
          </w:p>
        </w:tc>
        <w:tc>
          <w:tcPr>
            <w:tcW w:w="2356" w:type="dxa"/>
            <w:vAlign w:val="center"/>
          </w:tcPr>
          <w:p w14:paraId="74646B0D">
            <w:pPr>
              <w:spacing w:line="240" w:lineRule="auto"/>
              <w:ind w:firstLine="0" w:firstLineChars="0"/>
              <w:jc w:val="center"/>
              <w:rPr>
                <w:rFonts w:cs="Times New Roman"/>
                <w:color w:val="auto"/>
              </w:rPr>
            </w:pPr>
            <w:r>
              <w:rPr>
                <w:rFonts w:cs="Times New Roman"/>
                <w:snapToGrid w:val="0"/>
                <w:color w:val="auto"/>
              </w:rPr>
              <w:t>收集后暂存于危废暂存间内，定期委托有资质单位处理处置</w:t>
            </w:r>
          </w:p>
        </w:tc>
        <w:tc>
          <w:tcPr>
            <w:tcW w:w="1857" w:type="dxa"/>
            <w:vMerge w:val="continue"/>
            <w:vAlign w:val="center"/>
          </w:tcPr>
          <w:p w14:paraId="6890437B">
            <w:pPr>
              <w:spacing w:line="240" w:lineRule="auto"/>
              <w:ind w:firstLine="0" w:firstLineChars="0"/>
              <w:jc w:val="center"/>
              <w:rPr>
                <w:rFonts w:cs="Times New Roman"/>
                <w:color w:val="auto"/>
              </w:rPr>
            </w:pPr>
          </w:p>
        </w:tc>
      </w:tr>
      <w:tr w14:paraId="7191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71" w:type="dxa"/>
            <w:vMerge w:val="continue"/>
            <w:vAlign w:val="center"/>
          </w:tcPr>
          <w:p w14:paraId="316BA186">
            <w:pPr>
              <w:spacing w:line="240" w:lineRule="auto"/>
              <w:ind w:firstLine="0" w:firstLineChars="0"/>
              <w:jc w:val="center"/>
              <w:rPr>
                <w:rFonts w:cs="Times New Roman"/>
                <w:snapToGrid w:val="0"/>
                <w:color w:val="auto"/>
              </w:rPr>
            </w:pPr>
          </w:p>
        </w:tc>
        <w:tc>
          <w:tcPr>
            <w:tcW w:w="2835" w:type="dxa"/>
            <w:gridSpan w:val="2"/>
            <w:vAlign w:val="center"/>
          </w:tcPr>
          <w:p w14:paraId="38799AA9">
            <w:pPr>
              <w:spacing w:line="240" w:lineRule="auto"/>
              <w:ind w:firstLine="0" w:firstLineChars="0"/>
              <w:jc w:val="center"/>
              <w:rPr>
                <w:rFonts w:cs="Times New Roman"/>
                <w:snapToGrid w:val="0"/>
                <w:color w:val="auto"/>
              </w:rPr>
            </w:pPr>
            <w:r>
              <w:rPr>
                <w:rFonts w:cs="Times New Roman"/>
                <w:snapToGrid w:val="0"/>
                <w:color w:val="auto"/>
              </w:rPr>
              <w:t>生活垃圾</w:t>
            </w:r>
          </w:p>
        </w:tc>
        <w:tc>
          <w:tcPr>
            <w:tcW w:w="4213" w:type="dxa"/>
            <w:gridSpan w:val="2"/>
            <w:vAlign w:val="center"/>
          </w:tcPr>
          <w:p w14:paraId="61E683D2">
            <w:pPr>
              <w:spacing w:line="240" w:lineRule="auto"/>
              <w:ind w:firstLine="0" w:firstLineChars="0"/>
              <w:jc w:val="center"/>
              <w:rPr>
                <w:rFonts w:cs="Times New Roman"/>
                <w:snapToGrid w:val="0"/>
                <w:color w:val="auto"/>
              </w:rPr>
            </w:pPr>
            <w:r>
              <w:rPr>
                <w:rFonts w:cs="Times New Roman"/>
                <w:snapToGrid w:val="0"/>
                <w:color w:val="auto"/>
              </w:rPr>
              <w:t>设垃圾桶集中收集，委托环卫部门定期清运</w:t>
            </w:r>
          </w:p>
        </w:tc>
      </w:tr>
      <w:tr w14:paraId="13CE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8" w:hRule="atLeast"/>
          <w:jc w:val="center"/>
        </w:trPr>
        <w:tc>
          <w:tcPr>
            <w:tcW w:w="1271" w:type="dxa"/>
            <w:vAlign w:val="center"/>
          </w:tcPr>
          <w:p w14:paraId="1AFE5B7E">
            <w:pPr>
              <w:spacing w:line="240" w:lineRule="auto"/>
              <w:ind w:firstLine="0" w:firstLineChars="0"/>
              <w:jc w:val="center"/>
              <w:rPr>
                <w:rFonts w:cs="Times New Roman"/>
                <w:snapToGrid w:val="0"/>
                <w:color w:val="auto"/>
              </w:rPr>
            </w:pPr>
            <w:r>
              <w:rPr>
                <w:rFonts w:cs="Times New Roman"/>
                <w:snapToGrid w:val="0"/>
                <w:color w:val="auto"/>
              </w:rPr>
              <w:t>土壤及地下水污染防治措施</w:t>
            </w:r>
          </w:p>
        </w:tc>
        <w:tc>
          <w:tcPr>
            <w:tcW w:w="7048" w:type="dxa"/>
            <w:gridSpan w:val="4"/>
            <w:vAlign w:val="center"/>
          </w:tcPr>
          <w:p w14:paraId="60905023">
            <w:pPr>
              <w:ind w:firstLine="480"/>
              <w:rPr>
                <w:rFonts w:cs="Times New Roman"/>
                <w:snapToGrid w:val="0"/>
                <w:color w:val="auto"/>
              </w:rPr>
            </w:pPr>
            <w:r>
              <w:rPr>
                <w:rFonts w:cs="Times New Roman"/>
                <w:snapToGrid w:val="0"/>
                <w:color w:val="auto"/>
              </w:rPr>
              <w:t>本项目生产</w:t>
            </w:r>
            <w:r>
              <w:rPr>
                <w:rFonts w:hint="eastAsia" w:cs="Times New Roman"/>
                <w:snapToGrid w:val="0"/>
                <w:color w:val="auto"/>
                <w:lang w:val="en-US" w:eastAsia="zh-CN"/>
              </w:rPr>
              <w:t>区域</w:t>
            </w:r>
            <w:r>
              <w:rPr>
                <w:rFonts w:cs="Times New Roman"/>
                <w:snapToGrid w:val="0"/>
                <w:color w:val="auto"/>
              </w:rPr>
              <w:t>、成品堆放场地地面等均采用混凝土硬化；一般固废暂存间地面采用防渗混凝土硬化，防渗系数K≤1×10</w:t>
            </w:r>
            <w:r>
              <w:rPr>
                <w:rFonts w:cs="Times New Roman"/>
                <w:snapToGrid w:val="0"/>
                <w:color w:val="auto"/>
                <w:vertAlign w:val="superscript"/>
              </w:rPr>
              <w:t>-7</w:t>
            </w:r>
            <w:r>
              <w:rPr>
                <w:rFonts w:cs="Times New Roman"/>
                <w:snapToGrid w:val="0"/>
                <w:color w:val="auto"/>
              </w:rPr>
              <w:t>cm/s；危废暂存间地面和墙裙按照《危险废物贮存污染控制标准》（GB18597-2023）的要求做防渗，渗透系数K≤10</w:t>
            </w:r>
            <w:r>
              <w:rPr>
                <w:rFonts w:cs="Times New Roman"/>
                <w:snapToGrid w:val="0"/>
                <w:color w:val="auto"/>
                <w:vertAlign w:val="superscript"/>
              </w:rPr>
              <w:t>-10</w:t>
            </w:r>
            <w:r>
              <w:rPr>
                <w:rFonts w:cs="Times New Roman"/>
                <w:snapToGrid w:val="0"/>
                <w:color w:val="auto"/>
              </w:rPr>
              <w:t>cm/s，经采取上述措施项目区可达到较强的防渗效果，对可能产生土壤、地下水影响的各项途径均进行有效地预防，在确保各项防渗措施得以落实，并加强维护，在加强环境管理的前提下，可以有效控制污染物的下渗现象，避免污染地下水、土壤。项目对区域地下水和土壤环境的影响较小。</w:t>
            </w:r>
          </w:p>
        </w:tc>
      </w:tr>
      <w:tr w14:paraId="06DC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271" w:type="dxa"/>
            <w:vAlign w:val="center"/>
          </w:tcPr>
          <w:p w14:paraId="1693A032">
            <w:pPr>
              <w:spacing w:line="240" w:lineRule="auto"/>
              <w:ind w:firstLine="0" w:firstLineChars="0"/>
              <w:jc w:val="center"/>
              <w:rPr>
                <w:rFonts w:cs="Times New Roman"/>
                <w:snapToGrid w:val="0"/>
                <w:color w:val="auto"/>
              </w:rPr>
            </w:pPr>
            <w:r>
              <w:rPr>
                <w:rFonts w:cs="Times New Roman"/>
                <w:snapToGrid w:val="0"/>
                <w:color w:val="auto"/>
              </w:rPr>
              <w:t>生态保护措施</w:t>
            </w:r>
          </w:p>
        </w:tc>
        <w:tc>
          <w:tcPr>
            <w:tcW w:w="7048" w:type="dxa"/>
            <w:gridSpan w:val="4"/>
            <w:vAlign w:val="center"/>
          </w:tcPr>
          <w:p w14:paraId="289DF7F4">
            <w:pPr>
              <w:ind w:firstLine="480"/>
              <w:rPr>
                <w:rFonts w:cs="Times New Roman"/>
                <w:snapToGrid w:val="0"/>
                <w:color w:val="auto"/>
              </w:rPr>
            </w:pPr>
            <w:r>
              <w:rPr>
                <w:rFonts w:cs="Times New Roman"/>
                <w:snapToGrid w:val="0"/>
                <w:color w:val="auto"/>
              </w:rPr>
              <w:t>本项目用地范围内不存在生态环境保护目标，运营期对生态环境影响很小。</w:t>
            </w:r>
          </w:p>
        </w:tc>
      </w:tr>
      <w:tr w14:paraId="5761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271" w:type="dxa"/>
            <w:vAlign w:val="center"/>
          </w:tcPr>
          <w:p w14:paraId="65839825">
            <w:pPr>
              <w:spacing w:line="240" w:lineRule="auto"/>
              <w:ind w:firstLine="0" w:firstLineChars="0"/>
              <w:jc w:val="center"/>
              <w:rPr>
                <w:rFonts w:cs="Times New Roman"/>
                <w:snapToGrid w:val="0"/>
                <w:color w:val="auto"/>
              </w:rPr>
            </w:pPr>
            <w:r>
              <w:rPr>
                <w:rFonts w:cs="Times New Roman"/>
                <w:snapToGrid w:val="0"/>
                <w:color w:val="auto"/>
              </w:rPr>
              <w:t>环境风险防范措施</w:t>
            </w:r>
          </w:p>
        </w:tc>
        <w:tc>
          <w:tcPr>
            <w:tcW w:w="7048" w:type="dxa"/>
            <w:gridSpan w:val="4"/>
            <w:vAlign w:val="center"/>
          </w:tcPr>
          <w:p w14:paraId="7A33F428">
            <w:pPr>
              <w:ind w:firstLine="480"/>
              <w:rPr>
                <w:rFonts w:cs="Times New Roman"/>
                <w:snapToGrid w:val="0"/>
                <w:color w:val="auto"/>
              </w:rPr>
            </w:pPr>
            <w:r>
              <w:rPr>
                <w:rFonts w:cs="Times New Roman"/>
                <w:snapToGrid w:val="0"/>
                <w:color w:val="auto"/>
              </w:rPr>
              <w:t>根据《建设项目环境风险评价技术导则》（HJ169-2018）附录B，确定本项目涉及的风险物质为废机油，废机油设计最大储存量为1.2t，经计算Q=0.</w:t>
            </w:r>
            <w:r>
              <w:rPr>
                <w:rFonts w:hint="eastAsia" w:cs="Times New Roman"/>
                <w:snapToGrid w:val="0"/>
                <w:color w:val="auto"/>
              </w:rPr>
              <w:t>00048</w:t>
            </w:r>
            <w:r>
              <w:rPr>
                <w:rFonts w:cs="Times New Roman"/>
                <w:snapToGrid w:val="0"/>
                <w:color w:val="auto"/>
              </w:rPr>
              <w:t>，确定Q&lt;1，确定该项目环境风险潜势为Ⅰ。主要环境风险类型为火灾和泄漏。</w:t>
            </w:r>
          </w:p>
          <w:p w14:paraId="49B19270">
            <w:pPr>
              <w:ind w:firstLine="480"/>
              <w:rPr>
                <w:rFonts w:cs="Times New Roman"/>
                <w:snapToGrid w:val="0"/>
                <w:color w:val="auto"/>
              </w:rPr>
            </w:pPr>
            <w:r>
              <w:rPr>
                <w:rFonts w:cs="Times New Roman"/>
                <w:snapToGrid w:val="0"/>
                <w:color w:val="auto"/>
              </w:rPr>
              <w:t>具体的风险防控措施如下：</w:t>
            </w:r>
          </w:p>
          <w:p w14:paraId="41B36FC0">
            <w:pPr>
              <w:ind w:firstLine="480"/>
              <w:rPr>
                <w:rFonts w:cs="Times New Roman"/>
                <w:color w:val="auto"/>
              </w:rPr>
            </w:pPr>
            <w:r>
              <w:rPr>
                <w:rFonts w:cs="Times New Roman"/>
                <w:color w:val="auto"/>
              </w:rPr>
              <w:t>①废机油</w:t>
            </w:r>
          </w:p>
          <w:p w14:paraId="6693AF78">
            <w:pPr>
              <w:ind w:firstLine="480"/>
              <w:rPr>
                <w:rFonts w:cs="Times New Roman"/>
                <w:color w:val="auto"/>
              </w:rPr>
            </w:pPr>
            <w:r>
              <w:rPr>
                <w:rFonts w:cs="Times New Roman"/>
                <w:color w:val="auto"/>
              </w:rPr>
              <w:t>a.火灾</w:t>
            </w:r>
          </w:p>
          <w:p w14:paraId="6ACDB0E3">
            <w:pPr>
              <w:ind w:firstLine="480"/>
              <w:rPr>
                <w:rFonts w:cs="Times New Roman"/>
                <w:color w:val="auto"/>
              </w:rPr>
            </w:pPr>
            <w:r>
              <w:rPr>
                <w:rFonts w:cs="Times New Roman"/>
                <w:color w:val="auto"/>
              </w:rPr>
              <w:t>危废暂存间均配备灭火器等消防器材，并设置专门主管人员；危废暂存间周边禁止有明火；油品要放在阴凉、通风较好的库内储存，容器密闭。</w:t>
            </w:r>
          </w:p>
          <w:p w14:paraId="64381DAA">
            <w:pPr>
              <w:ind w:firstLine="480"/>
              <w:rPr>
                <w:rFonts w:cs="Times New Roman"/>
                <w:color w:val="auto"/>
              </w:rPr>
            </w:pPr>
            <w:r>
              <w:rPr>
                <w:rFonts w:cs="Times New Roman"/>
                <w:color w:val="auto"/>
              </w:rPr>
              <w:t>b.泄漏</w:t>
            </w:r>
          </w:p>
          <w:p w14:paraId="006350DD">
            <w:pPr>
              <w:ind w:firstLine="480"/>
              <w:rPr>
                <w:rFonts w:cs="Times New Roman"/>
                <w:color w:val="auto"/>
              </w:rPr>
            </w:pPr>
            <w:r>
              <w:rPr>
                <w:rFonts w:cs="Times New Roman"/>
                <w:color w:val="auto"/>
              </w:rPr>
              <w:t>危废暂存间设置监控器，若专职人员通过监控器或日常巡检过程中发现危废暂存间中的容器发生泄漏，应立即组织人员进行应急处置：危废暂存间中泄漏的液体可通过库内的导流槽将泄漏的液体危废引流至集液池内，应急人员应将导流槽及集液池中的液体危废收集至未破损的容器中，并将导流槽及集液池中无法收集的少量液体危废通过木屑等材料吸附干净。</w:t>
            </w:r>
          </w:p>
          <w:p w14:paraId="70ECA483">
            <w:pPr>
              <w:ind w:firstLine="480"/>
              <w:rPr>
                <w:rFonts w:cs="Times New Roman"/>
                <w:color w:val="auto"/>
              </w:rPr>
            </w:pPr>
            <w:r>
              <w:rPr>
                <w:rFonts w:cs="Times New Roman"/>
                <w:color w:val="auto"/>
              </w:rPr>
              <w:t>危废暂存间、导流槽、集液池均进行了防渗处理，避免油品泄漏，污染地下水和土壤。具体防范措施如下：危废暂存间、导流沟、集液池底部基础夯实后，铺设2mm厚高密度HDPE防渗膜+25cm厚C35防渗混凝土防渗，渗透系数K≤10</w:t>
            </w:r>
            <w:r>
              <w:rPr>
                <w:rFonts w:cs="Times New Roman"/>
                <w:color w:val="auto"/>
                <w:vertAlign w:val="superscript"/>
              </w:rPr>
              <w:t>-10</w:t>
            </w:r>
            <w:r>
              <w:rPr>
                <w:rFonts w:cs="Times New Roman"/>
                <w:color w:val="auto"/>
              </w:rPr>
              <w:t>cm/s，同时设置防雨、防渗漏、防流失等措施。</w:t>
            </w:r>
          </w:p>
          <w:p w14:paraId="49FE0CD7">
            <w:pPr>
              <w:ind w:firstLine="480"/>
              <w:rPr>
                <w:rFonts w:cs="Times New Roman"/>
                <w:snapToGrid w:val="0"/>
                <w:color w:val="auto"/>
              </w:rPr>
            </w:pPr>
            <w:r>
              <w:rPr>
                <w:rFonts w:cs="Times New Roman"/>
                <w:snapToGrid w:val="0"/>
                <w:color w:val="auto"/>
              </w:rPr>
              <w:t>本项目主要风险源为废机油泄漏及泄漏引起火灾、爆炸事故。建设单位在认真落实环评提出的各项防范措施前提下，项目的风险水平是可以接受的。</w:t>
            </w:r>
          </w:p>
        </w:tc>
      </w:tr>
      <w:tr w14:paraId="3611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1" w:hRule="atLeast"/>
          <w:jc w:val="center"/>
        </w:trPr>
        <w:tc>
          <w:tcPr>
            <w:tcW w:w="1271" w:type="dxa"/>
            <w:vAlign w:val="center"/>
          </w:tcPr>
          <w:p w14:paraId="5779730B">
            <w:pPr>
              <w:spacing w:line="240" w:lineRule="auto"/>
              <w:ind w:firstLine="0" w:firstLineChars="0"/>
              <w:jc w:val="center"/>
              <w:rPr>
                <w:rFonts w:cs="Times New Roman"/>
                <w:snapToGrid w:val="0"/>
                <w:color w:val="auto"/>
              </w:rPr>
            </w:pPr>
            <w:r>
              <w:rPr>
                <w:rFonts w:cs="Times New Roman"/>
                <w:snapToGrid w:val="0"/>
                <w:color w:val="auto"/>
              </w:rPr>
              <w:t>其他环境管理要求</w:t>
            </w:r>
          </w:p>
        </w:tc>
        <w:tc>
          <w:tcPr>
            <w:tcW w:w="7048" w:type="dxa"/>
            <w:gridSpan w:val="4"/>
            <w:vAlign w:val="center"/>
          </w:tcPr>
          <w:p w14:paraId="59F914A2">
            <w:pPr>
              <w:spacing w:line="240" w:lineRule="auto"/>
              <w:ind w:firstLine="0" w:firstLineChars="0"/>
              <w:jc w:val="center"/>
              <w:rPr>
                <w:rFonts w:hint="eastAsia" w:cs="Times New Roman"/>
                <w:snapToGrid w:val="0"/>
                <w:color w:val="auto"/>
                <w:lang w:val="en-US" w:eastAsia="zh-CN"/>
              </w:rPr>
            </w:pPr>
            <w:r>
              <w:rPr>
                <w:rFonts w:hint="eastAsia" w:cs="Times New Roman"/>
                <w:snapToGrid w:val="0"/>
                <w:color w:val="auto"/>
                <w:lang w:val="en-US" w:eastAsia="zh-CN"/>
              </w:rPr>
              <w:t>1.制定环境管理制度</w:t>
            </w:r>
          </w:p>
          <w:p w14:paraId="65C87020">
            <w:pPr>
              <w:spacing w:line="240" w:lineRule="auto"/>
              <w:ind w:firstLine="0" w:firstLineChars="0"/>
              <w:jc w:val="center"/>
              <w:rPr>
                <w:rFonts w:hint="eastAsia" w:cs="Times New Roman"/>
                <w:snapToGrid w:val="0"/>
                <w:color w:val="auto"/>
                <w:lang w:val="en-US" w:eastAsia="zh-CN"/>
              </w:rPr>
            </w:pPr>
            <w:r>
              <w:rPr>
                <w:rFonts w:hint="eastAsia" w:cs="Times New Roman"/>
                <w:snapToGrid w:val="0"/>
                <w:color w:val="auto"/>
                <w:lang w:val="en-US" w:eastAsia="zh-CN"/>
              </w:rPr>
              <w:t>2.对相关人员进行环保培训</w:t>
            </w:r>
          </w:p>
          <w:p w14:paraId="3604C0E9">
            <w:pPr>
              <w:spacing w:line="240" w:lineRule="auto"/>
              <w:ind w:firstLine="0" w:firstLineChars="0"/>
              <w:jc w:val="center"/>
              <w:rPr>
                <w:rFonts w:hint="eastAsia" w:cs="Times New Roman"/>
                <w:snapToGrid w:val="0"/>
                <w:color w:val="auto"/>
                <w:lang w:val="en-US" w:eastAsia="zh-CN"/>
              </w:rPr>
            </w:pPr>
            <w:r>
              <w:rPr>
                <w:rFonts w:hint="eastAsia" w:cs="Times New Roman"/>
                <w:snapToGrid w:val="0"/>
                <w:color w:val="auto"/>
                <w:lang w:val="en-US" w:eastAsia="zh-CN"/>
              </w:rPr>
              <w:t>3.建立环保台账</w:t>
            </w:r>
          </w:p>
          <w:p w14:paraId="5007EC0F">
            <w:pPr>
              <w:spacing w:line="240" w:lineRule="auto"/>
              <w:ind w:firstLine="0" w:firstLineChars="0"/>
              <w:jc w:val="both"/>
              <w:rPr>
                <w:rFonts w:cs="Times New Roman"/>
                <w:snapToGrid w:val="0"/>
                <w:color w:val="auto"/>
              </w:rPr>
            </w:pPr>
          </w:p>
        </w:tc>
      </w:tr>
    </w:tbl>
    <w:p w14:paraId="350C3D7E">
      <w:pPr>
        <w:pStyle w:val="2"/>
        <w:ind w:firstLine="640"/>
        <w:rPr>
          <w:rFonts w:cs="Times New Roman"/>
          <w:color w:val="auto"/>
        </w:rPr>
      </w:pPr>
      <w:bookmarkStart w:id="11" w:name="_Toc6176"/>
      <w:r>
        <w:rPr>
          <w:rFonts w:cs="Times New Roman"/>
          <w:snapToGrid w:val="0"/>
          <w:color w:val="auto"/>
        </w:rPr>
        <w:t>六、结论</w:t>
      </w:r>
      <w:bookmarkEnd w:id="11"/>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0EBF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2BB35B2C">
            <w:pPr>
              <w:ind w:firstLine="480"/>
              <w:rPr>
                <w:rFonts w:cs="Times New Roman"/>
                <w:color w:val="auto"/>
              </w:rPr>
            </w:pPr>
            <w:r>
              <w:rPr>
                <w:rFonts w:cs="Times New Roman"/>
                <w:color w:val="auto"/>
              </w:rPr>
              <w:t>本项目建设符合国家产业政策，选址合理。项目施工期、运营期不可避免的会对周围环境产生影响，在认真落实本报告中提出的各项污染防治措施及建议的前提下，加强环境管理，其废气、废水、噪声、固废等污染物对周围环境的影响能够控制在可接受范围内。</w:t>
            </w:r>
          </w:p>
          <w:p w14:paraId="5EAD9B07">
            <w:pPr>
              <w:ind w:firstLine="480"/>
              <w:rPr>
                <w:rFonts w:cs="Times New Roman"/>
                <w:color w:val="auto"/>
              </w:rPr>
            </w:pPr>
            <w:r>
              <w:rPr>
                <w:rFonts w:cs="Times New Roman"/>
                <w:color w:val="auto"/>
              </w:rPr>
              <w:t>综上所述，从环境保护角度分析，该建设项目可行。</w:t>
            </w:r>
          </w:p>
        </w:tc>
      </w:tr>
    </w:tbl>
    <w:p w14:paraId="548C521D">
      <w:pPr>
        <w:pStyle w:val="2"/>
        <w:ind w:firstLine="640"/>
        <w:rPr>
          <w:rFonts w:cs="Times New Roman"/>
          <w:color w:val="auto"/>
        </w:rPr>
        <w:sectPr>
          <w:pgSz w:w="11906" w:h="16838"/>
          <w:pgMar w:top="1440" w:right="1800" w:bottom="1440" w:left="1800" w:header="992" w:footer="992" w:gutter="0"/>
          <w:pgBorders>
            <w:top w:val="none" w:sz="0" w:space="0"/>
            <w:left w:val="none" w:sz="0" w:space="0"/>
            <w:bottom w:val="none" w:sz="0" w:space="0"/>
            <w:right w:val="none" w:sz="0" w:space="0"/>
          </w:pgBorders>
          <w:cols w:space="425" w:num="1"/>
          <w:docGrid w:type="lines" w:linePitch="312" w:charSpace="0"/>
        </w:sectPr>
      </w:pPr>
    </w:p>
    <w:p w14:paraId="7E7A2737">
      <w:pPr>
        <w:ind w:firstLine="0" w:firstLineChars="0"/>
        <w:outlineLvl w:val="0"/>
        <w:rPr>
          <w:rFonts w:cs="Times New Roman"/>
          <w:snapToGrid w:val="0"/>
          <w:color w:val="auto"/>
          <w:sz w:val="32"/>
          <w:szCs w:val="32"/>
        </w:rPr>
      </w:pPr>
      <w:bookmarkStart w:id="12" w:name="_Toc2019"/>
      <w:r>
        <w:rPr>
          <w:rFonts w:cs="Times New Roman"/>
          <w:snapToGrid w:val="0"/>
          <w:color w:val="auto"/>
          <w:sz w:val="32"/>
          <w:szCs w:val="32"/>
        </w:rPr>
        <w:t>附表</w:t>
      </w:r>
      <w:bookmarkEnd w:id="12"/>
    </w:p>
    <w:p w14:paraId="32AC3E41">
      <w:pPr>
        <w:pStyle w:val="2"/>
        <w:jc w:val="center"/>
        <w:rPr>
          <w:rFonts w:cs="Times New Roman"/>
          <w:color w:val="auto"/>
        </w:rPr>
      </w:pPr>
      <w:bookmarkStart w:id="13" w:name="_Toc26471"/>
      <w:r>
        <w:rPr>
          <w:rFonts w:cs="Times New Roman"/>
          <w:color w:val="auto"/>
        </w:rPr>
        <w:t>建设项目污染物排放量汇总表</w:t>
      </w:r>
      <w:bookmarkEnd w:id="13"/>
    </w:p>
    <w:tbl>
      <w:tblPr>
        <w:tblStyle w:val="27"/>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086"/>
        <w:gridCol w:w="1531"/>
        <w:gridCol w:w="1379"/>
        <w:gridCol w:w="1413"/>
        <w:gridCol w:w="1699"/>
        <w:gridCol w:w="1517"/>
        <w:gridCol w:w="1517"/>
        <w:gridCol w:w="1508"/>
      </w:tblGrid>
      <w:tr w14:paraId="60284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84" w:type="pct"/>
            <w:tcBorders>
              <w:tl2br w:val="single" w:color="auto" w:sz="4" w:space="0"/>
            </w:tcBorders>
            <w:tcMar>
              <w:left w:w="28" w:type="dxa"/>
              <w:right w:w="28" w:type="dxa"/>
            </w:tcMar>
            <w:vAlign w:val="center"/>
          </w:tcPr>
          <w:p w14:paraId="55D7766C">
            <w:pPr>
              <w:spacing w:line="240" w:lineRule="auto"/>
              <w:ind w:firstLine="0" w:firstLineChars="0"/>
              <w:jc w:val="right"/>
              <w:rPr>
                <w:rFonts w:cs="Times New Roman"/>
                <w:b/>
                <w:bCs/>
                <w:snapToGrid w:val="0"/>
                <w:color w:val="auto"/>
                <w:szCs w:val="24"/>
              </w:rPr>
            </w:pPr>
            <w:r>
              <w:rPr>
                <w:rFonts w:cs="Times New Roman"/>
                <w:b/>
                <w:bCs/>
                <w:snapToGrid w:val="0"/>
                <w:color w:val="auto"/>
                <w:szCs w:val="24"/>
              </w:rPr>
              <w:t xml:space="preserve">   项目</w:t>
            </w:r>
          </w:p>
          <w:p w14:paraId="62371BF1">
            <w:pPr>
              <w:spacing w:line="240" w:lineRule="auto"/>
              <w:ind w:firstLine="0" w:firstLineChars="0"/>
              <w:jc w:val="center"/>
              <w:rPr>
                <w:rFonts w:cs="Times New Roman"/>
                <w:b/>
                <w:bCs/>
                <w:snapToGrid w:val="0"/>
                <w:color w:val="auto"/>
                <w:szCs w:val="24"/>
              </w:rPr>
            </w:pPr>
          </w:p>
          <w:p w14:paraId="03A633DF">
            <w:pPr>
              <w:spacing w:line="240" w:lineRule="auto"/>
              <w:ind w:firstLine="0" w:firstLineChars="0"/>
              <w:rPr>
                <w:rFonts w:cs="Times New Roman"/>
                <w:b/>
                <w:bCs/>
                <w:snapToGrid w:val="0"/>
                <w:color w:val="auto"/>
                <w:szCs w:val="24"/>
              </w:rPr>
            </w:pPr>
            <w:r>
              <w:rPr>
                <w:rFonts w:cs="Times New Roman"/>
                <w:b/>
                <w:bCs/>
                <w:snapToGrid w:val="0"/>
                <w:color w:val="auto"/>
                <w:szCs w:val="24"/>
              </w:rPr>
              <w:t>分类</w:t>
            </w:r>
          </w:p>
        </w:tc>
        <w:tc>
          <w:tcPr>
            <w:tcW w:w="744" w:type="pct"/>
            <w:tcMar>
              <w:left w:w="28" w:type="dxa"/>
              <w:right w:w="28" w:type="dxa"/>
            </w:tcMar>
            <w:vAlign w:val="center"/>
          </w:tcPr>
          <w:p w14:paraId="04D42848">
            <w:pPr>
              <w:spacing w:line="240" w:lineRule="auto"/>
              <w:ind w:firstLine="0" w:firstLineChars="0"/>
              <w:jc w:val="center"/>
              <w:rPr>
                <w:rFonts w:cs="Times New Roman"/>
                <w:b/>
                <w:bCs/>
                <w:snapToGrid w:val="0"/>
                <w:color w:val="auto"/>
                <w:szCs w:val="24"/>
              </w:rPr>
            </w:pPr>
            <w:r>
              <w:rPr>
                <w:rFonts w:cs="Times New Roman"/>
                <w:b/>
                <w:bCs/>
                <w:snapToGrid w:val="0"/>
                <w:color w:val="auto"/>
                <w:szCs w:val="24"/>
              </w:rPr>
              <w:t>污染物名称</w:t>
            </w:r>
          </w:p>
        </w:tc>
        <w:tc>
          <w:tcPr>
            <w:tcW w:w="546" w:type="pct"/>
            <w:tcMar>
              <w:left w:w="28" w:type="dxa"/>
              <w:right w:w="28" w:type="dxa"/>
            </w:tcMar>
            <w:vAlign w:val="center"/>
          </w:tcPr>
          <w:p w14:paraId="3BEE3E80">
            <w:pPr>
              <w:spacing w:line="240" w:lineRule="auto"/>
              <w:ind w:firstLine="0" w:firstLineChars="0"/>
              <w:jc w:val="center"/>
              <w:rPr>
                <w:rFonts w:cs="Times New Roman"/>
                <w:b/>
                <w:bCs/>
                <w:snapToGrid w:val="0"/>
                <w:color w:val="auto"/>
                <w:szCs w:val="24"/>
              </w:rPr>
            </w:pPr>
            <w:r>
              <w:rPr>
                <w:rFonts w:cs="Times New Roman"/>
                <w:b/>
                <w:bCs/>
                <w:snapToGrid w:val="0"/>
                <w:color w:val="auto"/>
                <w:szCs w:val="24"/>
              </w:rPr>
              <w:t>现有工程排放量（固体废物产生量）</w:t>
            </w:r>
            <w:r>
              <w:rPr>
                <w:rFonts w:cs="Times New Roman"/>
                <w:b/>
                <w:bCs/>
                <w:snapToGrid w:val="0"/>
                <w:color w:val="auto"/>
                <w:szCs w:val="24"/>
              </w:rPr>
              <w:fldChar w:fldCharType="begin"/>
            </w:r>
            <w:r>
              <w:rPr>
                <w:rFonts w:cs="Times New Roman"/>
                <w:b/>
                <w:bCs/>
                <w:snapToGrid w:val="0"/>
                <w:color w:val="auto"/>
                <w:szCs w:val="24"/>
              </w:rPr>
              <w:instrText xml:space="preserve"> = 1 \* GB3 \* MERGEFORMAT </w:instrText>
            </w:r>
            <w:r>
              <w:rPr>
                <w:rFonts w:cs="Times New Roman"/>
                <w:b/>
                <w:bCs/>
                <w:snapToGrid w:val="0"/>
                <w:color w:val="auto"/>
                <w:szCs w:val="24"/>
              </w:rPr>
              <w:fldChar w:fldCharType="separate"/>
            </w:r>
            <w:r>
              <w:rPr>
                <w:rFonts w:cs="Times New Roman"/>
                <w:b/>
                <w:bCs/>
                <w:color w:val="auto"/>
                <w:szCs w:val="24"/>
              </w:rPr>
              <w:t>①</w:t>
            </w:r>
            <w:r>
              <w:rPr>
                <w:rFonts w:cs="Times New Roman"/>
                <w:b/>
                <w:bCs/>
                <w:snapToGrid w:val="0"/>
                <w:color w:val="auto"/>
                <w:szCs w:val="24"/>
              </w:rPr>
              <w:fldChar w:fldCharType="end"/>
            </w:r>
          </w:p>
        </w:tc>
        <w:tc>
          <w:tcPr>
            <w:tcW w:w="492" w:type="pct"/>
            <w:tcMar>
              <w:left w:w="28" w:type="dxa"/>
              <w:right w:w="28" w:type="dxa"/>
            </w:tcMar>
            <w:vAlign w:val="center"/>
          </w:tcPr>
          <w:p w14:paraId="0DBCEEB2">
            <w:pPr>
              <w:spacing w:line="240" w:lineRule="auto"/>
              <w:ind w:firstLine="0" w:firstLineChars="0"/>
              <w:jc w:val="center"/>
              <w:rPr>
                <w:rFonts w:cs="Times New Roman"/>
                <w:b/>
                <w:bCs/>
                <w:snapToGrid w:val="0"/>
                <w:color w:val="auto"/>
                <w:szCs w:val="24"/>
              </w:rPr>
            </w:pPr>
            <w:r>
              <w:rPr>
                <w:rFonts w:cs="Times New Roman"/>
                <w:b/>
                <w:bCs/>
                <w:snapToGrid w:val="0"/>
                <w:color w:val="auto"/>
                <w:szCs w:val="24"/>
              </w:rPr>
              <w:t>现有工程许可排放量</w:t>
            </w:r>
            <w:r>
              <w:rPr>
                <w:rFonts w:cs="Times New Roman"/>
                <w:b/>
                <w:bCs/>
                <w:snapToGrid w:val="0"/>
                <w:color w:val="auto"/>
                <w:szCs w:val="24"/>
              </w:rPr>
              <w:fldChar w:fldCharType="begin"/>
            </w:r>
            <w:r>
              <w:rPr>
                <w:rFonts w:cs="Times New Roman"/>
                <w:b/>
                <w:bCs/>
                <w:snapToGrid w:val="0"/>
                <w:color w:val="auto"/>
                <w:szCs w:val="24"/>
              </w:rPr>
              <w:instrText xml:space="preserve"> = 2 \* GB3 \* MERGEFORMAT </w:instrText>
            </w:r>
            <w:r>
              <w:rPr>
                <w:rFonts w:cs="Times New Roman"/>
                <w:b/>
                <w:bCs/>
                <w:snapToGrid w:val="0"/>
                <w:color w:val="auto"/>
                <w:szCs w:val="24"/>
              </w:rPr>
              <w:fldChar w:fldCharType="separate"/>
            </w:r>
            <w:r>
              <w:rPr>
                <w:rFonts w:cs="Times New Roman"/>
                <w:b/>
                <w:bCs/>
                <w:snapToGrid w:val="0"/>
                <w:color w:val="auto"/>
                <w:szCs w:val="24"/>
              </w:rPr>
              <w:t>②</w:t>
            </w:r>
            <w:r>
              <w:rPr>
                <w:rFonts w:cs="Times New Roman"/>
                <w:b/>
                <w:bCs/>
                <w:snapToGrid w:val="0"/>
                <w:color w:val="auto"/>
                <w:szCs w:val="24"/>
              </w:rPr>
              <w:fldChar w:fldCharType="end"/>
            </w:r>
          </w:p>
        </w:tc>
        <w:tc>
          <w:tcPr>
            <w:tcW w:w="504" w:type="pct"/>
            <w:tcMar>
              <w:left w:w="28" w:type="dxa"/>
              <w:right w:w="28" w:type="dxa"/>
            </w:tcMar>
            <w:vAlign w:val="center"/>
          </w:tcPr>
          <w:p w14:paraId="0E9F61AD">
            <w:pPr>
              <w:spacing w:line="240" w:lineRule="auto"/>
              <w:ind w:firstLine="0" w:firstLineChars="0"/>
              <w:jc w:val="center"/>
              <w:rPr>
                <w:rFonts w:cs="Times New Roman"/>
                <w:b/>
                <w:bCs/>
                <w:snapToGrid w:val="0"/>
                <w:color w:val="auto"/>
                <w:szCs w:val="24"/>
              </w:rPr>
            </w:pPr>
            <w:r>
              <w:rPr>
                <w:rFonts w:cs="Times New Roman"/>
                <w:b/>
                <w:bCs/>
                <w:snapToGrid w:val="0"/>
                <w:color w:val="auto"/>
                <w:szCs w:val="24"/>
              </w:rPr>
              <w:t>在建工程排放量（固体废物产生量）</w:t>
            </w:r>
            <w:r>
              <w:rPr>
                <w:rFonts w:cs="Times New Roman"/>
                <w:b/>
                <w:bCs/>
                <w:snapToGrid w:val="0"/>
                <w:color w:val="auto"/>
                <w:szCs w:val="24"/>
              </w:rPr>
              <w:fldChar w:fldCharType="begin"/>
            </w:r>
            <w:r>
              <w:rPr>
                <w:rFonts w:cs="Times New Roman"/>
                <w:b/>
                <w:bCs/>
                <w:snapToGrid w:val="0"/>
                <w:color w:val="auto"/>
                <w:szCs w:val="24"/>
              </w:rPr>
              <w:instrText xml:space="preserve"> = 3 \* GB3 \* MERGEFORMAT </w:instrText>
            </w:r>
            <w:r>
              <w:rPr>
                <w:rFonts w:cs="Times New Roman"/>
                <w:b/>
                <w:bCs/>
                <w:snapToGrid w:val="0"/>
                <w:color w:val="auto"/>
                <w:szCs w:val="24"/>
              </w:rPr>
              <w:fldChar w:fldCharType="separate"/>
            </w:r>
            <w:r>
              <w:rPr>
                <w:rFonts w:cs="Times New Roman"/>
                <w:b/>
                <w:bCs/>
                <w:color w:val="auto"/>
                <w:szCs w:val="24"/>
              </w:rPr>
              <w:t>③</w:t>
            </w:r>
            <w:r>
              <w:rPr>
                <w:rFonts w:cs="Times New Roman"/>
                <w:b/>
                <w:bCs/>
                <w:snapToGrid w:val="0"/>
                <w:color w:val="auto"/>
                <w:szCs w:val="24"/>
              </w:rPr>
              <w:fldChar w:fldCharType="end"/>
            </w:r>
          </w:p>
        </w:tc>
        <w:tc>
          <w:tcPr>
            <w:tcW w:w="606" w:type="pct"/>
            <w:tcMar>
              <w:left w:w="28" w:type="dxa"/>
              <w:right w:w="28" w:type="dxa"/>
            </w:tcMar>
            <w:vAlign w:val="center"/>
          </w:tcPr>
          <w:p w14:paraId="51B81A7F">
            <w:pPr>
              <w:spacing w:line="240" w:lineRule="auto"/>
              <w:ind w:firstLine="0" w:firstLineChars="0"/>
              <w:jc w:val="center"/>
              <w:rPr>
                <w:rFonts w:cs="Times New Roman"/>
                <w:b/>
                <w:bCs/>
                <w:snapToGrid w:val="0"/>
                <w:color w:val="auto"/>
                <w:szCs w:val="24"/>
              </w:rPr>
            </w:pPr>
            <w:r>
              <w:rPr>
                <w:rFonts w:cs="Times New Roman"/>
                <w:b/>
                <w:bCs/>
                <w:snapToGrid w:val="0"/>
                <w:color w:val="auto"/>
                <w:szCs w:val="24"/>
              </w:rPr>
              <w:t>本项目排放量（固体废物产生量）</w:t>
            </w:r>
            <w:r>
              <w:rPr>
                <w:rFonts w:cs="Times New Roman"/>
                <w:b/>
                <w:bCs/>
                <w:snapToGrid w:val="0"/>
                <w:color w:val="auto"/>
                <w:szCs w:val="24"/>
              </w:rPr>
              <w:fldChar w:fldCharType="begin"/>
            </w:r>
            <w:r>
              <w:rPr>
                <w:rFonts w:cs="Times New Roman"/>
                <w:b/>
                <w:bCs/>
                <w:snapToGrid w:val="0"/>
                <w:color w:val="auto"/>
                <w:szCs w:val="24"/>
              </w:rPr>
              <w:instrText xml:space="preserve"> = 4 \* GB3 \* MERGEFORMAT </w:instrText>
            </w:r>
            <w:r>
              <w:rPr>
                <w:rFonts w:cs="Times New Roman"/>
                <w:b/>
                <w:bCs/>
                <w:snapToGrid w:val="0"/>
                <w:color w:val="auto"/>
                <w:szCs w:val="24"/>
              </w:rPr>
              <w:fldChar w:fldCharType="separate"/>
            </w:r>
            <w:r>
              <w:rPr>
                <w:rFonts w:cs="Times New Roman"/>
                <w:b/>
                <w:bCs/>
                <w:color w:val="auto"/>
                <w:szCs w:val="24"/>
              </w:rPr>
              <w:t>④</w:t>
            </w:r>
            <w:r>
              <w:rPr>
                <w:rFonts w:cs="Times New Roman"/>
                <w:b/>
                <w:bCs/>
                <w:snapToGrid w:val="0"/>
                <w:color w:val="auto"/>
                <w:szCs w:val="24"/>
              </w:rPr>
              <w:fldChar w:fldCharType="end"/>
            </w:r>
          </w:p>
        </w:tc>
        <w:tc>
          <w:tcPr>
            <w:tcW w:w="541" w:type="pct"/>
            <w:tcMar>
              <w:left w:w="28" w:type="dxa"/>
              <w:right w:w="28" w:type="dxa"/>
            </w:tcMar>
            <w:vAlign w:val="center"/>
          </w:tcPr>
          <w:p w14:paraId="377DC006">
            <w:pPr>
              <w:spacing w:line="240" w:lineRule="auto"/>
              <w:ind w:firstLine="0" w:firstLineChars="0"/>
              <w:jc w:val="center"/>
              <w:rPr>
                <w:rFonts w:cs="Times New Roman"/>
                <w:b/>
                <w:bCs/>
                <w:snapToGrid w:val="0"/>
                <w:color w:val="auto"/>
                <w:spacing w:val="-16"/>
                <w:szCs w:val="24"/>
              </w:rPr>
            </w:pPr>
            <w:r>
              <w:rPr>
                <w:rFonts w:cs="Times New Roman"/>
                <w:b/>
                <w:bCs/>
                <w:snapToGrid w:val="0"/>
                <w:color w:val="auto"/>
                <w:spacing w:val="-16"/>
                <w:szCs w:val="24"/>
              </w:rPr>
              <w:t>以新带老削减量（新建项目不填）</w:t>
            </w:r>
            <w:r>
              <w:rPr>
                <w:rFonts w:cs="Times New Roman"/>
                <w:b/>
                <w:bCs/>
                <w:snapToGrid w:val="0"/>
                <w:color w:val="auto"/>
                <w:spacing w:val="-16"/>
                <w:szCs w:val="24"/>
              </w:rPr>
              <w:fldChar w:fldCharType="begin"/>
            </w:r>
            <w:r>
              <w:rPr>
                <w:rFonts w:cs="Times New Roman"/>
                <w:b/>
                <w:bCs/>
                <w:snapToGrid w:val="0"/>
                <w:color w:val="auto"/>
                <w:spacing w:val="-16"/>
                <w:szCs w:val="24"/>
              </w:rPr>
              <w:instrText xml:space="preserve"> = 5 \* GB3 \* MERGEFORMAT </w:instrText>
            </w:r>
            <w:r>
              <w:rPr>
                <w:rFonts w:cs="Times New Roman"/>
                <w:b/>
                <w:bCs/>
                <w:snapToGrid w:val="0"/>
                <w:color w:val="auto"/>
                <w:spacing w:val="-16"/>
                <w:szCs w:val="24"/>
              </w:rPr>
              <w:fldChar w:fldCharType="separate"/>
            </w:r>
            <w:r>
              <w:rPr>
                <w:rFonts w:cs="Times New Roman"/>
                <w:b/>
                <w:bCs/>
                <w:color w:val="auto"/>
                <w:szCs w:val="24"/>
              </w:rPr>
              <w:t>⑤</w:t>
            </w:r>
            <w:r>
              <w:rPr>
                <w:rFonts w:cs="Times New Roman"/>
                <w:b/>
                <w:bCs/>
                <w:snapToGrid w:val="0"/>
                <w:color w:val="auto"/>
                <w:spacing w:val="-16"/>
                <w:szCs w:val="24"/>
              </w:rPr>
              <w:fldChar w:fldCharType="end"/>
            </w:r>
          </w:p>
        </w:tc>
        <w:tc>
          <w:tcPr>
            <w:tcW w:w="541" w:type="pct"/>
            <w:tcMar>
              <w:left w:w="28" w:type="dxa"/>
              <w:right w:w="28" w:type="dxa"/>
            </w:tcMar>
            <w:vAlign w:val="center"/>
          </w:tcPr>
          <w:p w14:paraId="53497C11">
            <w:pPr>
              <w:spacing w:line="240" w:lineRule="auto"/>
              <w:ind w:firstLine="0" w:firstLineChars="0"/>
              <w:jc w:val="center"/>
              <w:rPr>
                <w:rFonts w:cs="Times New Roman"/>
                <w:b/>
                <w:bCs/>
                <w:snapToGrid w:val="0"/>
                <w:color w:val="auto"/>
                <w:spacing w:val="-16"/>
                <w:szCs w:val="24"/>
              </w:rPr>
            </w:pPr>
            <w:r>
              <w:rPr>
                <w:rFonts w:cs="Times New Roman"/>
                <w:b/>
                <w:bCs/>
                <w:snapToGrid w:val="0"/>
                <w:color w:val="auto"/>
                <w:spacing w:val="-16"/>
                <w:szCs w:val="24"/>
              </w:rPr>
              <w:t>本项目建成后全厂排放量（固体废物产生量）</w:t>
            </w:r>
            <w:r>
              <w:rPr>
                <w:rFonts w:cs="Times New Roman"/>
                <w:b/>
                <w:bCs/>
                <w:snapToGrid w:val="0"/>
                <w:color w:val="auto"/>
                <w:spacing w:val="-16"/>
                <w:szCs w:val="24"/>
              </w:rPr>
              <w:fldChar w:fldCharType="begin"/>
            </w:r>
            <w:r>
              <w:rPr>
                <w:rFonts w:cs="Times New Roman"/>
                <w:b/>
                <w:bCs/>
                <w:snapToGrid w:val="0"/>
                <w:color w:val="auto"/>
                <w:spacing w:val="-16"/>
                <w:szCs w:val="24"/>
              </w:rPr>
              <w:instrText xml:space="preserve"> = 6 \* GB3 \* MERGEFORMAT </w:instrText>
            </w:r>
            <w:r>
              <w:rPr>
                <w:rFonts w:cs="Times New Roman"/>
                <w:b/>
                <w:bCs/>
                <w:snapToGrid w:val="0"/>
                <w:color w:val="auto"/>
                <w:spacing w:val="-16"/>
                <w:szCs w:val="24"/>
              </w:rPr>
              <w:fldChar w:fldCharType="separate"/>
            </w:r>
            <w:r>
              <w:rPr>
                <w:rFonts w:cs="Times New Roman"/>
                <w:b/>
                <w:bCs/>
                <w:color w:val="auto"/>
                <w:szCs w:val="24"/>
              </w:rPr>
              <w:t>⑥</w:t>
            </w:r>
            <w:r>
              <w:rPr>
                <w:rFonts w:cs="Times New Roman"/>
                <w:b/>
                <w:bCs/>
                <w:snapToGrid w:val="0"/>
                <w:color w:val="auto"/>
                <w:spacing w:val="-16"/>
                <w:szCs w:val="24"/>
              </w:rPr>
              <w:fldChar w:fldCharType="end"/>
            </w:r>
          </w:p>
        </w:tc>
        <w:tc>
          <w:tcPr>
            <w:tcW w:w="538" w:type="pct"/>
            <w:tcMar>
              <w:left w:w="28" w:type="dxa"/>
              <w:right w:w="28" w:type="dxa"/>
            </w:tcMar>
            <w:vAlign w:val="center"/>
          </w:tcPr>
          <w:p w14:paraId="4DF45E74">
            <w:pPr>
              <w:spacing w:line="240" w:lineRule="auto"/>
              <w:ind w:firstLine="0" w:firstLineChars="0"/>
              <w:jc w:val="center"/>
              <w:rPr>
                <w:rFonts w:cs="Times New Roman"/>
                <w:b/>
                <w:bCs/>
                <w:snapToGrid w:val="0"/>
                <w:color w:val="auto"/>
                <w:szCs w:val="24"/>
              </w:rPr>
            </w:pPr>
            <w:r>
              <w:rPr>
                <w:rFonts w:cs="Times New Roman"/>
                <w:b/>
                <w:bCs/>
                <w:snapToGrid w:val="0"/>
                <w:color w:val="auto"/>
                <w:szCs w:val="24"/>
              </w:rPr>
              <w:t>变化量</w:t>
            </w:r>
            <w:r>
              <w:rPr>
                <w:rFonts w:cs="Times New Roman"/>
                <w:b/>
                <w:bCs/>
                <w:snapToGrid w:val="0"/>
                <w:color w:val="auto"/>
                <w:szCs w:val="24"/>
              </w:rPr>
              <w:fldChar w:fldCharType="begin"/>
            </w:r>
            <w:r>
              <w:rPr>
                <w:rFonts w:cs="Times New Roman"/>
                <w:b/>
                <w:bCs/>
                <w:snapToGrid w:val="0"/>
                <w:color w:val="auto"/>
                <w:szCs w:val="24"/>
              </w:rPr>
              <w:instrText xml:space="preserve"> = 7 \* GB3 \* MERGEFORMAT </w:instrText>
            </w:r>
            <w:r>
              <w:rPr>
                <w:rFonts w:cs="Times New Roman"/>
                <w:b/>
                <w:bCs/>
                <w:snapToGrid w:val="0"/>
                <w:color w:val="auto"/>
                <w:szCs w:val="24"/>
              </w:rPr>
              <w:fldChar w:fldCharType="separate"/>
            </w:r>
            <w:r>
              <w:rPr>
                <w:rFonts w:cs="Times New Roman"/>
                <w:b/>
                <w:bCs/>
                <w:color w:val="auto"/>
                <w:szCs w:val="24"/>
              </w:rPr>
              <w:t>⑦</w:t>
            </w:r>
            <w:r>
              <w:rPr>
                <w:rFonts w:cs="Times New Roman"/>
                <w:b/>
                <w:bCs/>
                <w:snapToGrid w:val="0"/>
                <w:color w:val="auto"/>
                <w:szCs w:val="24"/>
              </w:rPr>
              <w:fldChar w:fldCharType="end"/>
            </w:r>
          </w:p>
        </w:tc>
      </w:tr>
      <w:tr w14:paraId="16B032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84" w:type="pct"/>
            <w:vMerge w:val="restart"/>
            <w:vAlign w:val="center"/>
          </w:tcPr>
          <w:p w14:paraId="66214046">
            <w:pPr>
              <w:spacing w:line="240" w:lineRule="auto"/>
              <w:ind w:firstLine="0" w:firstLineChars="0"/>
              <w:jc w:val="center"/>
              <w:rPr>
                <w:rFonts w:cs="Times New Roman"/>
                <w:snapToGrid w:val="0"/>
                <w:color w:val="auto"/>
                <w:szCs w:val="24"/>
              </w:rPr>
            </w:pPr>
            <w:r>
              <w:rPr>
                <w:rFonts w:cs="Times New Roman"/>
                <w:snapToGrid w:val="0"/>
                <w:color w:val="auto"/>
                <w:szCs w:val="24"/>
              </w:rPr>
              <w:t>废气</w:t>
            </w:r>
          </w:p>
        </w:tc>
        <w:tc>
          <w:tcPr>
            <w:tcW w:w="744" w:type="pct"/>
            <w:vAlign w:val="center"/>
          </w:tcPr>
          <w:p w14:paraId="11377B53">
            <w:pPr>
              <w:spacing w:line="240" w:lineRule="auto"/>
              <w:ind w:firstLine="0" w:firstLineChars="0"/>
              <w:jc w:val="center"/>
              <w:rPr>
                <w:rFonts w:cs="Times New Roman"/>
                <w:color w:val="auto"/>
                <w:szCs w:val="24"/>
              </w:rPr>
            </w:pPr>
            <w:r>
              <w:rPr>
                <w:rFonts w:cs="Times New Roman"/>
                <w:color w:val="auto"/>
                <w:szCs w:val="24"/>
                <w:lang w:bidi="ar"/>
              </w:rPr>
              <w:t>颗粒物</w:t>
            </w:r>
          </w:p>
        </w:tc>
        <w:tc>
          <w:tcPr>
            <w:tcW w:w="546" w:type="pct"/>
            <w:vAlign w:val="center"/>
          </w:tcPr>
          <w:p w14:paraId="2DD87D3A">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492" w:type="pct"/>
            <w:vAlign w:val="center"/>
          </w:tcPr>
          <w:p w14:paraId="16826289">
            <w:pPr>
              <w:spacing w:line="240" w:lineRule="auto"/>
              <w:ind w:firstLine="0" w:firstLineChars="0"/>
              <w:jc w:val="center"/>
              <w:rPr>
                <w:rFonts w:cs="Times New Roman"/>
                <w:snapToGrid w:val="0"/>
                <w:color w:val="auto"/>
                <w:szCs w:val="24"/>
              </w:rPr>
            </w:pPr>
            <w:r>
              <w:rPr>
                <w:rFonts w:cs="Times New Roman"/>
                <w:color w:val="auto"/>
                <w:szCs w:val="24"/>
              </w:rPr>
              <w:t>/</w:t>
            </w:r>
          </w:p>
        </w:tc>
        <w:tc>
          <w:tcPr>
            <w:tcW w:w="504" w:type="pct"/>
            <w:vAlign w:val="center"/>
          </w:tcPr>
          <w:p w14:paraId="7D0F9920">
            <w:pPr>
              <w:spacing w:line="240" w:lineRule="auto"/>
              <w:ind w:firstLine="0" w:firstLineChars="0"/>
              <w:jc w:val="center"/>
              <w:rPr>
                <w:rFonts w:cs="Times New Roman"/>
                <w:snapToGrid w:val="0"/>
                <w:color w:val="auto"/>
                <w:szCs w:val="24"/>
              </w:rPr>
            </w:pPr>
            <w:r>
              <w:rPr>
                <w:rFonts w:cs="Times New Roman"/>
                <w:color w:val="auto"/>
                <w:szCs w:val="24"/>
              </w:rPr>
              <w:t>/</w:t>
            </w:r>
          </w:p>
        </w:tc>
        <w:tc>
          <w:tcPr>
            <w:tcW w:w="606" w:type="pct"/>
            <w:vAlign w:val="center"/>
          </w:tcPr>
          <w:p w14:paraId="6CC0D8EE">
            <w:pPr>
              <w:spacing w:line="240" w:lineRule="auto"/>
              <w:ind w:firstLine="0" w:firstLineChars="0"/>
              <w:jc w:val="center"/>
              <w:rPr>
                <w:rFonts w:cs="Times New Roman"/>
                <w:snapToGrid w:val="0"/>
                <w:color w:val="auto"/>
                <w:szCs w:val="24"/>
              </w:rPr>
            </w:pPr>
            <w:r>
              <w:rPr>
                <w:rFonts w:hint="eastAsia" w:cs="Times New Roman"/>
                <w:snapToGrid w:val="0"/>
                <w:color w:val="auto"/>
                <w:szCs w:val="24"/>
                <w:lang w:val="en-US" w:eastAsia="zh-CN"/>
              </w:rPr>
              <w:t>0.018617</w:t>
            </w:r>
            <w:r>
              <w:rPr>
                <w:rFonts w:cs="Times New Roman"/>
                <w:snapToGrid w:val="0"/>
                <w:color w:val="auto"/>
                <w:szCs w:val="24"/>
              </w:rPr>
              <w:t>t/a</w:t>
            </w:r>
          </w:p>
        </w:tc>
        <w:tc>
          <w:tcPr>
            <w:tcW w:w="541" w:type="pct"/>
            <w:vAlign w:val="center"/>
          </w:tcPr>
          <w:p w14:paraId="046855B6">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541" w:type="pct"/>
            <w:vAlign w:val="center"/>
          </w:tcPr>
          <w:p w14:paraId="5931F67A">
            <w:pPr>
              <w:spacing w:line="240" w:lineRule="auto"/>
              <w:ind w:firstLine="0" w:firstLineChars="0"/>
              <w:jc w:val="center"/>
              <w:rPr>
                <w:rFonts w:cs="Times New Roman"/>
                <w:snapToGrid w:val="0"/>
                <w:color w:val="auto"/>
                <w:szCs w:val="24"/>
              </w:rPr>
            </w:pPr>
            <w:r>
              <w:rPr>
                <w:rFonts w:hint="eastAsia" w:cs="Times New Roman"/>
                <w:snapToGrid w:val="0"/>
                <w:color w:val="auto"/>
                <w:szCs w:val="24"/>
                <w:lang w:val="en-US" w:eastAsia="zh-CN"/>
              </w:rPr>
              <w:t>0.18617</w:t>
            </w:r>
            <w:r>
              <w:rPr>
                <w:rFonts w:cs="Times New Roman"/>
                <w:snapToGrid w:val="0"/>
                <w:color w:val="auto"/>
                <w:szCs w:val="24"/>
              </w:rPr>
              <w:t>t/a</w:t>
            </w:r>
          </w:p>
        </w:tc>
        <w:tc>
          <w:tcPr>
            <w:tcW w:w="538" w:type="pct"/>
            <w:vAlign w:val="center"/>
          </w:tcPr>
          <w:p w14:paraId="0C290B17">
            <w:pPr>
              <w:spacing w:line="240" w:lineRule="auto"/>
              <w:ind w:firstLine="0" w:firstLineChars="0"/>
              <w:jc w:val="center"/>
              <w:rPr>
                <w:rFonts w:cs="Times New Roman"/>
                <w:snapToGrid w:val="0"/>
                <w:color w:val="auto"/>
                <w:szCs w:val="24"/>
              </w:rPr>
            </w:pPr>
            <w:r>
              <w:rPr>
                <w:rFonts w:hint="eastAsia" w:cs="Times New Roman"/>
                <w:snapToGrid w:val="0"/>
                <w:color w:val="auto"/>
                <w:szCs w:val="24"/>
                <w:lang w:val="en-US" w:eastAsia="zh-CN"/>
              </w:rPr>
              <w:t>+0.186172</w:t>
            </w:r>
            <w:r>
              <w:rPr>
                <w:rFonts w:cs="Times New Roman"/>
                <w:snapToGrid w:val="0"/>
                <w:color w:val="auto"/>
                <w:szCs w:val="24"/>
              </w:rPr>
              <w:t>t/a</w:t>
            </w:r>
          </w:p>
        </w:tc>
      </w:tr>
      <w:tr w14:paraId="094274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4" w:type="pct"/>
            <w:vMerge w:val="continue"/>
            <w:vAlign w:val="center"/>
          </w:tcPr>
          <w:p w14:paraId="2B0CD0BD">
            <w:pPr>
              <w:spacing w:line="240" w:lineRule="auto"/>
              <w:ind w:firstLine="0" w:firstLineChars="0"/>
              <w:jc w:val="center"/>
              <w:rPr>
                <w:rFonts w:cs="Times New Roman"/>
                <w:snapToGrid w:val="0"/>
                <w:color w:val="auto"/>
                <w:szCs w:val="24"/>
              </w:rPr>
            </w:pPr>
          </w:p>
        </w:tc>
        <w:tc>
          <w:tcPr>
            <w:tcW w:w="744" w:type="pct"/>
            <w:vAlign w:val="center"/>
          </w:tcPr>
          <w:p w14:paraId="70B4900B">
            <w:pPr>
              <w:spacing w:line="240" w:lineRule="auto"/>
              <w:ind w:firstLine="0" w:firstLineChars="0"/>
              <w:jc w:val="center"/>
              <w:rPr>
                <w:rFonts w:cs="Times New Roman"/>
                <w:color w:val="auto"/>
                <w:szCs w:val="24"/>
                <w:lang w:bidi="ar"/>
              </w:rPr>
            </w:pPr>
            <w:r>
              <w:rPr>
                <w:rFonts w:cs="Times New Roman"/>
                <w:color w:val="auto"/>
                <w:szCs w:val="24"/>
                <w:lang w:bidi="ar"/>
              </w:rPr>
              <w:t>二氧化硫</w:t>
            </w:r>
          </w:p>
        </w:tc>
        <w:tc>
          <w:tcPr>
            <w:tcW w:w="546" w:type="pct"/>
            <w:vAlign w:val="center"/>
          </w:tcPr>
          <w:p w14:paraId="098DFB83">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492" w:type="pct"/>
            <w:vAlign w:val="center"/>
          </w:tcPr>
          <w:p w14:paraId="7241D303">
            <w:pPr>
              <w:spacing w:line="240" w:lineRule="auto"/>
              <w:ind w:firstLine="0" w:firstLineChars="0"/>
              <w:jc w:val="center"/>
              <w:rPr>
                <w:rFonts w:cs="Times New Roman"/>
                <w:snapToGrid w:val="0"/>
                <w:color w:val="auto"/>
                <w:szCs w:val="24"/>
              </w:rPr>
            </w:pPr>
            <w:r>
              <w:rPr>
                <w:rFonts w:cs="Times New Roman"/>
                <w:color w:val="auto"/>
                <w:szCs w:val="24"/>
              </w:rPr>
              <w:t>/</w:t>
            </w:r>
          </w:p>
        </w:tc>
        <w:tc>
          <w:tcPr>
            <w:tcW w:w="504" w:type="pct"/>
            <w:vAlign w:val="center"/>
          </w:tcPr>
          <w:p w14:paraId="75D8CE46">
            <w:pPr>
              <w:spacing w:line="240" w:lineRule="auto"/>
              <w:ind w:firstLine="0" w:firstLineChars="0"/>
              <w:jc w:val="center"/>
              <w:rPr>
                <w:rFonts w:cs="Times New Roman"/>
                <w:snapToGrid w:val="0"/>
                <w:color w:val="auto"/>
                <w:szCs w:val="24"/>
              </w:rPr>
            </w:pPr>
            <w:r>
              <w:rPr>
                <w:rFonts w:cs="Times New Roman"/>
                <w:color w:val="auto"/>
                <w:szCs w:val="24"/>
              </w:rPr>
              <w:t>/</w:t>
            </w:r>
          </w:p>
        </w:tc>
        <w:tc>
          <w:tcPr>
            <w:tcW w:w="606" w:type="pct"/>
            <w:vAlign w:val="center"/>
          </w:tcPr>
          <w:p w14:paraId="53AB14B9">
            <w:pPr>
              <w:spacing w:line="240" w:lineRule="auto"/>
              <w:ind w:firstLine="0" w:firstLineChars="0"/>
              <w:jc w:val="center"/>
              <w:rPr>
                <w:rFonts w:cs="Times New Roman"/>
                <w:snapToGrid w:val="0"/>
                <w:color w:val="auto"/>
                <w:szCs w:val="24"/>
              </w:rPr>
            </w:pPr>
            <w:r>
              <w:rPr>
                <w:rFonts w:hint="eastAsia" w:cs="Times New Roman"/>
                <w:snapToGrid w:val="0"/>
                <w:color w:val="auto"/>
                <w:szCs w:val="24"/>
                <w:lang w:val="en-US" w:eastAsia="zh-CN"/>
              </w:rPr>
              <w:t>/</w:t>
            </w:r>
          </w:p>
        </w:tc>
        <w:tc>
          <w:tcPr>
            <w:tcW w:w="541" w:type="pct"/>
            <w:vAlign w:val="center"/>
          </w:tcPr>
          <w:p w14:paraId="72F2B51C">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541" w:type="pct"/>
            <w:vAlign w:val="center"/>
          </w:tcPr>
          <w:p w14:paraId="7DDF2F27">
            <w:pPr>
              <w:spacing w:line="240" w:lineRule="auto"/>
              <w:ind w:firstLine="0" w:firstLineChars="0"/>
              <w:jc w:val="center"/>
              <w:rPr>
                <w:rFonts w:hint="eastAsia" w:eastAsia="宋体" w:cs="Times New Roman"/>
                <w:snapToGrid w:val="0"/>
                <w:color w:val="auto"/>
                <w:szCs w:val="24"/>
                <w:lang w:val="en-US" w:eastAsia="zh-CN"/>
              </w:rPr>
            </w:pPr>
            <w:r>
              <w:rPr>
                <w:rFonts w:hint="eastAsia" w:cs="Times New Roman"/>
                <w:snapToGrid w:val="0"/>
                <w:color w:val="auto"/>
                <w:szCs w:val="24"/>
                <w:lang w:val="en-US" w:eastAsia="zh-CN"/>
              </w:rPr>
              <w:t>/</w:t>
            </w:r>
          </w:p>
        </w:tc>
        <w:tc>
          <w:tcPr>
            <w:tcW w:w="538" w:type="pct"/>
            <w:vAlign w:val="center"/>
          </w:tcPr>
          <w:p w14:paraId="5A78530A">
            <w:pPr>
              <w:spacing w:line="240" w:lineRule="auto"/>
              <w:ind w:firstLine="0" w:firstLineChars="0"/>
              <w:jc w:val="center"/>
              <w:rPr>
                <w:rFonts w:hint="eastAsia" w:eastAsia="宋体" w:cs="Times New Roman"/>
                <w:snapToGrid w:val="0"/>
                <w:color w:val="auto"/>
                <w:szCs w:val="24"/>
                <w:lang w:val="en-US" w:eastAsia="zh-CN"/>
              </w:rPr>
            </w:pPr>
            <w:r>
              <w:rPr>
                <w:rFonts w:hint="eastAsia" w:cs="Times New Roman"/>
                <w:snapToGrid w:val="0"/>
                <w:color w:val="auto"/>
                <w:szCs w:val="24"/>
                <w:lang w:val="en-US" w:eastAsia="zh-CN"/>
              </w:rPr>
              <w:t>/</w:t>
            </w:r>
          </w:p>
        </w:tc>
      </w:tr>
      <w:tr w14:paraId="1F180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4" w:type="pct"/>
            <w:vMerge w:val="continue"/>
            <w:vAlign w:val="center"/>
          </w:tcPr>
          <w:p w14:paraId="72BD026A">
            <w:pPr>
              <w:spacing w:line="240" w:lineRule="auto"/>
              <w:ind w:firstLine="0" w:firstLineChars="0"/>
              <w:jc w:val="center"/>
              <w:rPr>
                <w:rFonts w:cs="Times New Roman"/>
                <w:snapToGrid w:val="0"/>
                <w:color w:val="auto"/>
                <w:szCs w:val="24"/>
              </w:rPr>
            </w:pPr>
          </w:p>
        </w:tc>
        <w:tc>
          <w:tcPr>
            <w:tcW w:w="744" w:type="pct"/>
            <w:vAlign w:val="center"/>
          </w:tcPr>
          <w:p w14:paraId="5694E1FD">
            <w:pPr>
              <w:spacing w:line="240" w:lineRule="auto"/>
              <w:ind w:firstLine="0" w:firstLineChars="0"/>
              <w:jc w:val="center"/>
              <w:rPr>
                <w:rFonts w:cs="Times New Roman"/>
                <w:color w:val="auto"/>
                <w:szCs w:val="24"/>
                <w:lang w:bidi="ar"/>
              </w:rPr>
            </w:pPr>
            <w:r>
              <w:rPr>
                <w:rFonts w:cs="Times New Roman"/>
                <w:color w:val="auto"/>
                <w:szCs w:val="24"/>
                <w:lang w:bidi="ar"/>
              </w:rPr>
              <w:t>氮氧化物</w:t>
            </w:r>
          </w:p>
        </w:tc>
        <w:tc>
          <w:tcPr>
            <w:tcW w:w="546" w:type="pct"/>
            <w:vAlign w:val="center"/>
          </w:tcPr>
          <w:p w14:paraId="6B3056DB">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492" w:type="pct"/>
            <w:vAlign w:val="center"/>
          </w:tcPr>
          <w:p w14:paraId="0494DE6B">
            <w:pPr>
              <w:spacing w:line="240" w:lineRule="auto"/>
              <w:ind w:firstLine="0" w:firstLineChars="0"/>
              <w:jc w:val="center"/>
              <w:rPr>
                <w:rFonts w:cs="Times New Roman"/>
                <w:snapToGrid w:val="0"/>
                <w:color w:val="auto"/>
                <w:szCs w:val="24"/>
              </w:rPr>
            </w:pPr>
            <w:r>
              <w:rPr>
                <w:rFonts w:cs="Times New Roman"/>
                <w:color w:val="auto"/>
                <w:szCs w:val="24"/>
              </w:rPr>
              <w:t>/</w:t>
            </w:r>
          </w:p>
        </w:tc>
        <w:tc>
          <w:tcPr>
            <w:tcW w:w="504" w:type="pct"/>
            <w:vAlign w:val="center"/>
          </w:tcPr>
          <w:p w14:paraId="05FB9EBF">
            <w:pPr>
              <w:spacing w:line="240" w:lineRule="auto"/>
              <w:ind w:firstLine="0" w:firstLineChars="0"/>
              <w:jc w:val="center"/>
              <w:rPr>
                <w:rFonts w:cs="Times New Roman"/>
                <w:snapToGrid w:val="0"/>
                <w:color w:val="auto"/>
                <w:szCs w:val="24"/>
              </w:rPr>
            </w:pPr>
            <w:r>
              <w:rPr>
                <w:rFonts w:cs="Times New Roman"/>
                <w:color w:val="auto"/>
                <w:szCs w:val="24"/>
              </w:rPr>
              <w:t>/</w:t>
            </w:r>
          </w:p>
        </w:tc>
        <w:tc>
          <w:tcPr>
            <w:tcW w:w="606" w:type="pct"/>
            <w:vAlign w:val="center"/>
          </w:tcPr>
          <w:p w14:paraId="10B4056E">
            <w:pPr>
              <w:spacing w:line="240" w:lineRule="auto"/>
              <w:ind w:firstLine="0" w:firstLineChars="0"/>
              <w:jc w:val="center"/>
              <w:rPr>
                <w:rFonts w:hint="eastAsia" w:eastAsia="宋体" w:cs="Times New Roman"/>
                <w:snapToGrid w:val="0"/>
                <w:color w:val="auto"/>
                <w:szCs w:val="24"/>
                <w:lang w:val="en-US" w:eastAsia="zh-CN"/>
              </w:rPr>
            </w:pPr>
            <w:r>
              <w:rPr>
                <w:rFonts w:hint="eastAsia" w:cs="Times New Roman"/>
                <w:snapToGrid w:val="0"/>
                <w:color w:val="auto"/>
                <w:szCs w:val="24"/>
                <w:lang w:val="en-US" w:eastAsia="zh-CN"/>
              </w:rPr>
              <w:t>/</w:t>
            </w:r>
          </w:p>
        </w:tc>
        <w:tc>
          <w:tcPr>
            <w:tcW w:w="541" w:type="pct"/>
            <w:vAlign w:val="center"/>
          </w:tcPr>
          <w:p w14:paraId="72E0E7AC">
            <w:pPr>
              <w:spacing w:line="240" w:lineRule="auto"/>
              <w:ind w:firstLine="0" w:firstLineChars="0"/>
              <w:jc w:val="center"/>
              <w:rPr>
                <w:rFonts w:hint="eastAsia" w:eastAsia="宋体" w:cs="Times New Roman"/>
                <w:snapToGrid w:val="0"/>
                <w:color w:val="auto"/>
                <w:szCs w:val="24"/>
                <w:lang w:val="en-US" w:eastAsia="zh-CN"/>
              </w:rPr>
            </w:pPr>
            <w:r>
              <w:rPr>
                <w:rFonts w:hint="eastAsia" w:cs="Times New Roman"/>
                <w:snapToGrid w:val="0"/>
                <w:color w:val="auto"/>
                <w:szCs w:val="24"/>
                <w:lang w:val="en-US" w:eastAsia="zh-CN"/>
              </w:rPr>
              <w:t>/</w:t>
            </w:r>
          </w:p>
        </w:tc>
        <w:tc>
          <w:tcPr>
            <w:tcW w:w="541" w:type="pct"/>
            <w:vAlign w:val="center"/>
          </w:tcPr>
          <w:p w14:paraId="3BFBB1F0">
            <w:pPr>
              <w:spacing w:line="240" w:lineRule="auto"/>
              <w:ind w:firstLine="0" w:firstLineChars="0"/>
              <w:jc w:val="center"/>
              <w:rPr>
                <w:rFonts w:hint="eastAsia" w:eastAsia="宋体" w:cs="Times New Roman"/>
                <w:snapToGrid w:val="0"/>
                <w:color w:val="auto"/>
                <w:szCs w:val="24"/>
                <w:lang w:val="en-US" w:eastAsia="zh-CN"/>
              </w:rPr>
            </w:pPr>
            <w:r>
              <w:rPr>
                <w:rFonts w:hint="eastAsia" w:cs="Times New Roman"/>
                <w:snapToGrid w:val="0"/>
                <w:color w:val="auto"/>
                <w:szCs w:val="24"/>
                <w:lang w:val="en-US" w:eastAsia="zh-CN"/>
              </w:rPr>
              <w:t>/</w:t>
            </w:r>
          </w:p>
        </w:tc>
        <w:tc>
          <w:tcPr>
            <w:tcW w:w="538" w:type="pct"/>
            <w:vAlign w:val="center"/>
          </w:tcPr>
          <w:p w14:paraId="09B83C6C">
            <w:pPr>
              <w:spacing w:line="240" w:lineRule="auto"/>
              <w:ind w:firstLine="0" w:firstLineChars="0"/>
              <w:jc w:val="center"/>
              <w:rPr>
                <w:rFonts w:hint="eastAsia" w:eastAsia="宋体" w:cs="Times New Roman"/>
                <w:snapToGrid w:val="0"/>
                <w:color w:val="auto"/>
                <w:szCs w:val="24"/>
                <w:lang w:val="en-US" w:eastAsia="zh-CN"/>
              </w:rPr>
            </w:pPr>
            <w:r>
              <w:rPr>
                <w:rFonts w:hint="eastAsia" w:cs="Times New Roman"/>
                <w:snapToGrid w:val="0"/>
                <w:color w:val="auto"/>
                <w:szCs w:val="24"/>
                <w:lang w:val="en-US" w:eastAsia="zh-CN"/>
              </w:rPr>
              <w:t>/</w:t>
            </w:r>
          </w:p>
        </w:tc>
      </w:tr>
      <w:tr w14:paraId="00729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4" w:type="pct"/>
            <w:vMerge w:val="restart"/>
            <w:vAlign w:val="center"/>
          </w:tcPr>
          <w:p w14:paraId="1AD3E20D">
            <w:pPr>
              <w:spacing w:line="240" w:lineRule="auto"/>
              <w:ind w:firstLine="0" w:firstLineChars="0"/>
              <w:jc w:val="center"/>
              <w:rPr>
                <w:rFonts w:cs="Times New Roman"/>
                <w:snapToGrid w:val="0"/>
                <w:color w:val="auto"/>
                <w:szCs w:val="24"/>
              </w:rPr>
            </w:pPr>
            <w:r>
              <w:rPr>
                <w:rFonts w:cs="Times New Roman"/>
                <w:snapToGrid w:val="0"/>
                <w:color w:val="auto"/>
                <w:szCs w:val="24"/>
              </w:rPr>
              <w:t>废水</w:t>
            </w:r>
          </w:p>
        </w:tc>
        <w:tc>
          <w:tcPr>
            <w:tcW w:w="744" w:type="pct"/>
            <w:vAlign w:val="center"/>
          </w:tcPr>
          <w:p w14:paraId="3ECDB809">
            <w:pPr>
              <w:spacing w:line="240" w:lineRule="auto"/>
              <w:ind w:firstLine="0" w:firstLineChars="0"/>
              <w:jc w:val="center"/>
              <w:rPr>
                <w:rFonts w:cs="Times New Roman"/>
                <w:color w:val="auto"/>
                <w:szCs w:val="24"/>
              </w:rPr>
            </w:pPr>
            <w:r>
              <w:rPr>
                <w:rFonts w:cs="Times New Roman"/>
                <w:color w:val="auto"/>
                <w:szCs w:val="24"/>
              </w:rPr>
              <w:t>废水量</w:t>
            </w:r>
          </w:p>
        </w:tc>
        <w:tc>
          <w:tcPr>
            <w:tcW w:w="546" w:type="pct"/>
            <w:vAlign w:val="center"/>
          </w:tcPr>
          <w:p w14:paraId="0AAC7739">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492" w:type="pct"/>
            <w:vAlign w:val="center"/>
          </w:tcPr>
          <w:p w14:paraId="1A938BEE">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504" w:type="pct"/>
            <w:vAlign w:val="center"/>
          </w:tcPr>
          <w:p w14:paraId="3DAB2177">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606" w:type="pct"/>
            <w:vAlign w:val="center"/>
          </w:tcPr>
          <w:p w14:paraId="05134FF2">
            <w:pPr>
              <w:spacing w:line="240" w:lineRule="auto"/>
              <w:ind w:firstLine="0" w:firstLineChars="0"/>
              <w:jc w:val="center"/>
              <w:rPr>
                <w:rFonts w:cs="Times New Roman"/>
                <w:snapToGrid w:val="0"/>
                <w:color w:val="auto"/>
                <w:szCs w:val="24"/>
              </w:rPr>
            </w:pPr>
            <w:r>
              <w:rPr>
                <w:rFonts w:hint="eastAsia" w:cs="Times New Roman"/>
                <w:color w:val="auto"/>
                <w:szCs w:val="24"/>
                <w:lang w:val="en-US" w:eastAsia="zh-CN" w:bidi="ar"/>
              </w:rPr>
              <w:t>216</w:t>
            </w:r>
            <w:r>
              <w:rPr>
                <w:rFonts w:cs="Times New Roman"/>
                <w:color w:val="auto"/>
                <w:szCs w:val="24"/>
                <w:lang w:bidi="ar"/>
              </w:rPr>
              <w:t>m</w:t>
            </w:r>
            <w:r>
              <w:rPr>
                <w:rFonts w:cs="Times New Roman"/>
                <w:color w:val="auto"/>
                <w:szCs w:val="24"/>
                <w:vertAlign w:val="superscript"/>
                <w:lang w:bidi="ar"/>
              </w:rPr>
              <w:t>3</w:t>
            </w:r>
            <w:r>
              <w:rPr>
                <w:rFonts w:cs="Times New Roman"/>
                <w:color w:val="auto"/>
                <w:szCs w:val="24"/>
                <w:lang w:bidi="ar"/>
              </w:rPr>
              <w:t>/a</w:t>
            </w:r>
          </w:p>
        </w:tc>
        <w:tc>
          <w:tcPr>
            <w:tcW w:w="541" w:type="pct"/>
            <w:vAlign w:val="center"/>
          </w:tcPr>
          <w:p w14:paraId="45B61650">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541" w:type="pct"/>
            <w:vAlign w:val="center"/>
          </w:tcPr>
          <w:p w14:paraId="50F96584">
            <w:pPr>
              <w:spacing w:line="240" w:lineRule="auto"/>
              <w:ind w:firstLine="0" w:firstLineChars="0"/>
              <w:jc w:val="center"/>
              <w:rPr>
                <w:rFonts w:cs="Times New Roman"/>
                <w:snapToGrid w:val="0"/>
                <w:color w:val="auto"/>
                <w:szCs w:val="24"/>
              </w:rPr>
            </w:pPr>
            <w:r>
              <w:rPr>
                <w:rFonts w:hint="eastAsia" w:cs="Times New Roman"/>
                <w:color w:val="auto"/>
                <w:szCs w:val="24"/>
                <w:lang w:val="en-US" w:eastAsia="zh-CN" w:bidi="ar"/>
              </w:rPr>
              <w:t>216</w:t>
            </w:r>
            <w:r>
              <w:rPr>
                <w:rFonts w:cs="Times New Roman"/>
                <w:color w:val="auto"/>
                <w:szCs w:val="24"/>
                <w:lang w:bidi="ar"/>
              </w:rPr>
              <w:t>m</w:t>
            </w:r>
            <w:r>
              <w:rPr>
                <w:rFonts w:cs="Times New Roman"/>
                <w:color w:val="auto"/>
                <w:szCs w:val="24"/>
                <w:vertAlign w:val="superscript"/>
                <w:lang w:bidi="ar"/>
              </w:rPr>
              <w:t>3</w:t>
            </w:r>
            <w:r>
              <w:rPr>
                <w:rFonts w:cs="Times New Roman"/>
                <w:color w:val="auto"/>
                <w:szCs w:val="24"/>
                <w:lang w:bidi="ar"/>
              </w:rPr>
              <w:t>/a</w:t>
            </w:r>
          </w:p>
        </w:tc>
        <w:tc>
          <w:tcPr>
            <w:tcW w:w="538" w:type="pct"/>
            <w:vAlign w:val="center"/>
          </w:tcPr>
          <w:p w14:paraId="15E58BFC">
            <w:pPr>
              <w:spacing w:line="240" w:lineRule="auto"/>
              <w:ind w:firstLine="0" w:firstLineChars="0"/>
              <w:jc w:val="center"/>
              <w:rPr>
                <w:rFonts w:cs="Times New Roman"/>
                <w:snapToGrid w:val="0"/>
                <w:color w:val="auto"/>
                <w:szCs w:val="24"/>
              </w:rPr>
            </w:pPr>
            <w:r>
              <w:rPr>
                <w:rFonts w:hint="eastAsia" w:cs="Times New Roman"/>
                <w:color w:val="auto"/>
                <w:szCs w:val="24"/>
                <w:lang w:val="en-US" w:eastAsia="zh-CN" w:bidi="ar"/>
              </w:rPr>
              <w:t>+216</w:t>
            </w:r>
            <w:r>
              <w:rPr>
                <w:rFonts w:cs="Times New Roman"/>
                <w:color w:val="auto"/>
                <w:szCs w:val="24"/>
                <w:lang w:bidi="ar"/>
              </w:rPr>
              <w:t>m</w:t>
            </w:r>
            <w:r>
              <w:rPr>
                <w:rFonts w:cs="Times New Roman"/>
                <w:color w:val="auto"/>
                <w:szCs w:val="24"/>
                <w:vertAlign w:val="superscript"/>
                <w:lang w:bidi="ar"/>
              </w:rPr>
              <w:t>3</w:t>
            </w:r>
            <w:r>
              <w:rPr>
                <w:rFonts w:cs="Times New Roman"/>
                <w:color w:val="auto"/>
                <w:szCs w:val="24"/>
                <w:lang w:bidi="ar"/>
              </w:rPr>
              <w:t>/a</w:t>
            </w:r>
          </w:p>
        </w:tc>
      </w:tr>
      <w:tr w14:paraId="335B3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4" w:type="pct"/>
            <w:vMerge w:val="continue"/>
            <w:vAlign w:val="center"/>
          </w:tcPr>
          <w:p w14:paraId="375778A6">
            <w:pPr>
              <w:spacing w:line="240" w:lineRule="auto"/>
              <w:ind w:firstLine="0" w:firstLineChars="0"/>
              <w:jc w:val="center"/>
              <w:rPr>
                <w:rFonts w:cs="Times New Roman"/>
                <w:snapToGrid w:val="0"/>
                <w:color w:val="auto"/>
                <w:szCs w:val="24"/>
              </w:rPr>
            </w:pPr>
          </w:p>
        </w:tc>
        <w:tc>
          <w:tcPr>
            <w:tcW w:w="744" w:type="pct"/>
            <w:vAlign w:val="center"/>
          </w:tcPr>
          <w:p w14:paraId="7E62E763">
            <w:pPr>
              <w:spacing w:line="240" w:lineRule="auto"/>
              <w:ind w:firstLine="0" w:firstLineChars="0"/>
              <w:jc w:val="center"/>
              <w:rPr>
                <w:rFonts w:cs="Times New Roman"/>
                <w:color w:val="auto"/>
                <w:szCs w:val="24"/>
              </w:rPr>
            </w:pPr>
            <w:r>
              <w:rPr>
                <w:rFonts w:cs="Times New Roman"/>
                <w:color w:val="auto"/>
                <w:szCs w:val="24"/>
              </w:rPr>
              <w:t>COD</w:t>
            </w:r>
          </w:p>
        </w:tc>
        <w:tc>
          <w:tcPr>
            <w:tcW w:w="546" w:type="pct"/>
            <w:vAlign w:val="center"/>
          </w:tcPr>
          <w:p w14:paraId="44A0D1C7">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492" w:type="pct"/>
            <w:vAlign w:val="center"/>
          </w:tcPr>
          <w:p w14:paraId="58951D3A">
            <w:pPr>
              <w:spacing w:line="240" w:lineRule="auto"/>
              <w:ind w:firstLine="0" w:firstLineChars="0"/>
              <w:jc w:val="center"/>
              <w:rPr>
                <w:rFonts w:cs="Times New Roman"/>
                <w:snapToGrid w:val="0"/>
                <w:color w:val="auto"/>
                <w:szCs w:val="24"/>
              </w:rPr>
            </w:pPr>
            <w:r>
              <w:rPr>
                <w:rFonts w:cs="Times New Roman"/>
                <w:color w:val="auto"/>
                <w:szCs w:val="24"/>
              </w:rPr>
              <w:t>/</w:t>
            </w:r>
          </w:p>
        </w:tc>
        <w:tc>
          <w:tcPr>
            <w:tcW w:w="504" w:type="pct"/>
            <w:vAlign w:val="center"/>
          </w:tcPr>
          <w:p w14:paraId="38A03F7F">
            <w:pPr>
              <w:spacing w:line="240" w:lineRule="auto"/>
              <w:ind w:firstLine="0" w:firstLineChars="0"/>
              <w:jc w:val="center"/>
              <w:rPr>
                <w:rFonts w:cs="Times New Roman"/>
                <w:snapToGrid w:val="0"/>
                <w:color w:val="auto"/>
                <w:szCs w:val="24"/>
              </w:rPr>
            </w:pPr>
            <w:r>
              <w:rPr>
                <w:rFonts w:cs="Times New Roman"/>
                <w:color w:val="auto"/>
                <w:szCs w:val="24"/>
              </w:rPr>
              <w:t>/</w:t>
            </w:r>
          </w:p>
        </w:tc>
        <w:tc>
          <w:tcPr>
            <w:tcW w:w="606" w:type="pct"/>
            <w:vAlign w:val="center"/>
          </w:tcPr>
          <w:p w14:paraId="44767677">
            <w:pPr>
              <w:spacing w:line="240" w:lineRule="auto"/>
              <w:ind w:firstLine="0" w:firstLineChars="0"/>
              <w:jc w:val="center"/>
              <w:rPr>
                <w:rFonts w:cs="Times New Roman"/>
                <w:color w:val="auto"/>
                <w:szCs w:val="24"/>
                <w:lang w:bidi="ar"/>
              </w:rPr>
            </w:pPr>
            <w:r>
              <w:rPr>
                <w:rFonts w:hint="eastAsia" w:cs="Times New Roman"/>
                <w:color w:val="auto"/>
                <w:szCs w:val="24"/>
                <w:lang w:val="en-US" w:eastAsia="zh-CN" w:bidi="ar"/>
              </w:rPr>
              <w:t>0.0756</w:t>
            </w:r>
            <w:r>
              <w:rPr>
                <w:rFonts w:cs="Times New Roman"/>
                <w:snapToGrid w:val="0"/>
                <w:color w:val="auto"/>
                <w:szCs w:val="24"/>
              </w:rPr>
              <w:t>t/a</w:t>
            </w:r>
          </w:p>
        </w:tc>
        <w:tc>
          <w:tcPr>
            <w:tcW w:w="541" w:type="pct"/>
            <w:vAlign w:val="center"/>
          </w:tcPr>
          <w:p w14:paraId="2F1A84B8">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541" w:type="pct"/>
            <w:vAlign w:val="center"/>
          </w:tcPr>
          <w:p w14:paraId="7D2C1A6C">
            <w:pPr>
              <w:spacing w:line="240" w:lineRule="auto"/>
              <w:ind w:firstLine="0" w:firstLineChars="0"/>
              <w:jc w:val="center"/>
              <w:rPr>
                <w:rFonts w:cs="Times New Roman"/>
                <w:snapToGrid w:val="0"/>
                <w:color w:val="auto"/>
                <w:szCs w:val="24"/>
              </w:rPr>
            </w:pPr>
            <w:r>
              <w:rPr>
                <w:rFonts w:hint="eastAsia" w:cs="Times New Roman"/>
                <w:color w:val="auto"/>
                <w:szCs w:val="24"/>
                <w:lang w:val="en-US" w:eastAsia="zh-CN" w:bidi="ar"/>
              </w:rPr>
              <w:t>0.0756</w:t>
            </w:r>
            <w:r>
              <w:rPr>
                <w:rFonts w:cs="Times New Roman"/>
                <w:snapToGrid w:val="0"/>
                <w:color w:val="auto"/>
                <w:szCs w:val="24"/>
              </w:rPr>
              <w:t>t/a</w:t>
            </w:r>
          </w:p>
        </w:tc>
        <w:tc>
          <w:tcPr>
            <w:tcW w:w="538" w:type="pct"/>
            <w:vAlign w:val="center"/>
          </w:tcPr>
          <w:p w14:paraId="1609CFFF">
            <w:pPr>
              <w:spacing w:line="240" w:lineRule="auto"/>
              <w:ind w:firstLine="0" w:firstLineChars="0"/>
              <w:jc w:val="center"/>
              <w:rPr>
                <w:rFonts w:cs="Times New Roman"/>
                <w:snapToGrid w:val="0"/>
                <w:color w:val="auto"/>
                <w:szCs w:val="24"/>
              </w:rPr>
            </w:pPr>
            <w:r>
              <w:rPr>
                <w:rFonts w:hint="eastAsia" w:cs="Times New Roman"/>
                <w:color w:val="auto"/>
                <w:szCs w:val="24"/>
                <w:lang w:val="en-US" w:eastAsia="zh-CN" w:bidi="ar"/>
              </w:rPr>
              <w:t>+0.0756</w:t>
            </w:r>
            <w:r>
              <w:rPr>
                <w:rFonts w:cs="Times New Roman"/>
                <w:snapToGrid w:val="0"/>
                <w:color w:val="auto"/>
                <w:szCs w:val="24"/>
              </w:rPr>
              <w:t>t/a</w:t>
            </w:r>
          </w:p>
        </w:tc>
      </w:tr>
      <w:tr w14:paraId="21E114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4" w:type="pct"/>
            <w:vMerge w:val="continue"/>
            <w:vAlign w:val="center"/>
          </w:tcPr>
          <w:p w14:paraId="0065CBA3">
            <w:pPr>
              <w:spacing w:line="240" w:lineRule="auto"/>
              <w:ind w:firstLine="0" w:firstLineChars="0"/>
              <w:jc w:val="center"/>
              <w:rPr>
                <w:rFonts w:cs="Times New Roman"/>
                <w:snapToGrid w:val="0"/>
                <w:color w:val="auto"/>
                <w:szCs w:val="24"/>
              </w:rPr>
            </w:pPr>
          </w:p>
        </w:tc>
        <w:tc>
          <w:tcPr>
            <w:tcW w:w="744" w:type="pct"/>
            <w:vAlign w:val="center"/>
          </w:tcPr>
          <w:p w14:paraId="2343ECCD">
            <w:pPr>
              <w:spacing w:line="240" w:lineRule="auto"/>
              <w:ind w:firstLine="0" w:firstLineChars="0"/>
              <w:jc w:val="center"/>
              <w:rPr>
                <w:rFonts w:cs="Times New Roman"/>
                <w:color w:val="auto"/>
                <w:szCs w:val="24"/>
              </w:rPr>
            </w:pPr>
            <w:r>
              <w:rPr>
                <w:rFonts w:cs="Times New Roman"/>
                <w:color w:val="auto"/>
                <w:szCs w:val="24"/>
              </w:rPr>
              <w:t>BOD</w:t>
            </w:r>
            <w:r>
              <w:rPr>
                <w:rFonts w:cs="Times New Roman"/>
                <w:color w:val="auto"/>
                <w:szCs w:val="24"/>
                <w:vertAlign w:val="subscript"/>
              </w:rPr>
              <w:t>5</w:t>
            </w:r>
          </w:p>
        </w:tc>
        <w:tc>
          <w:tcPr>
            <w:tcW w:w="546" w:type="pct"/>
            <w:vAlign w:val="center"/>
          </w:tcPr>
          <w:p w14:paraId="6DB32A1D">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492" w:type="pct"/>
            <w:vAlign w:val="center"/>
          </w:tcPr>
          <w:p w14:paraId="28AD1410">
            <w:pPr>
              <w:spacing w:line="240" w:lineRule="auto"/>
              <w:ind w:firstLine="0" w:firstLineChars="0"/>
              <w:jc w:val="center"/>
              <w:rPr>
                <w:rFonts w:cs="Times New Roman"/>
                <w:snapToGrid w:val="0"/>
                <w:color w:val="auto"/>
                <w:szCs w:val="24"/>
              </w:rPr>
            </w:pPr>
            <w:r>
              <w:rPr>
                <w:rFonts w:cs="Times New Roman"/>
                <w:color w:val="auto"/>
                <w:szCs w:val="24"/>
              </w:rPr>
              <w:t>/</w:t>
            </w:r>
          </w:p>
        </w:tc>
        <w:tc>
          <w:tcPr>
            <w:tcW w:w="504" w:type="pct"/>
            <w:vAlign w:val="center"/>
          </w:tcPr>
          <w:p w14:paraId="0640B8D8">
            <w:pPr>
              <w:spacing w:line="240" w:lineRule="auto"/>
              <w:ind w:firstLine="0" w:firstLineChars="0"/>
              <w:jc w:val="center"/>
              <w:rPr>
                <w:rFonts w:cs="Times New Roman"/>
                <w:snapToGrid w:val="0"/>
                <w:color w:val="auto"/>
                <w:szCs w:val="24"/>
              </w:rPr>
            </w:pPr>
            <w:r>
              <w:rPr>
                <w:rFonts w:cs="Times New Roman"/>
                <w:color w:val="auto"/>
                <w:szCs w:val="24"/>
              </w:rPr>
              <w:t>/</w:t>
            </w:r>
          </w:p>
        </w:tc>
        <w:tc>
          <w:tcPr>
            <w:tcW w:w="606" w:type="pct"/>
            <w:vAlign w:val="center"/>
          </w:tcPr>
          <w:p w14:paraId="2B4BC187">
            <w:pPr>
              <w:spacing w:line="240" w:lineRule="auto"/>
              <w:ind w:firstLine="0" w:firstLineChars="0"/>
              <w:jc w:val="center"/>
              <w:rPr>
                <w:rFonts w:cs="Times New Roman"/>
                <w:color w:val="auto"/>
                <w:szCs w:val="24"/>
                <w:lang w:bidi="ar"/>
              </w:rPr>
            </w:pPr>
            <w:r>
              <w:rPr>
                <w:rFonts w:hint="eastAsia" w:cs="Times New Roman"/>
                <w:color w:val="auto"/>
                <w:szCs w:val="24"/>
                <w:lang w:val="en-US" w:eastAsia="zh-CN" w:bidi="ar"/>
              </w:rPr>
              <w:t>0.05184</w:t>
            </w:r>
            <w:r>
              <w:rPr>
                <w:rFonts w:cs="Times New Roman"/>
                <w:snapToGrid w:val="0"/>
                <w:color w:val="auto"/>
                <w:szCs w:val="24"/>
              </w:rPr>
              <w:t>t/a</w:t>
            </w:r>
          </w:p>
        </w:tc>
        <w:tc>
          <w:tcPr>
            <w:tcW w:w="541" w:type="pct"/>
            <w:vAlign w:val="center"/>
          </w:tcPr>
          <w:p w14:paraId="7E5B752F">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541" w:type="pct"/>
            <w:vAlign w:val="center"/>
          </w:tcPr>
          <w:p w14:paraId="1C269FE6">
            <w:pPr>
              <w:spacing w:line="240" w:lineRule="auto"/>
              <w:ind w:firstLine="0" w:firstLineChars="0"/>
              <w:jc w:val="center"/>
              <w:rPr>
                <w:rFonts w:cs="Times New Roman"/>
                <w:snapToGrid w:val="0"/>
                <w:color w:val="auto"/>
                <w:szCs w:val="24"/>
              </w:rPr>
            </w:pPr>
            <w:r>
              <w:rPr>
                <w:rFonts w:hint="eastAsia" w:cs="Times New Roman"/>
                <w:color w:val="auto"/>
                <w:szCs w:val="24"/>
                <w:lang w:val="en-US" w:eastAsia="zh-CN" w:bidi="ar"/>
              </w:rPr>
              <w:t>0.05184</w:t>
            </w:r>
            <w:r>
              <w:rPr>
                <w:rFonts w:cs="Times New Roman"/>
                <w:snapToGrid w:val="0"/>
                <w:color w:val="auto"/>
                <w:szCs w:val="24"/>
              </w:rPr>
              <w:t>t/a</w:t>
            </w:r>
          </w:p>
        </w:tc>
        <w:tc>
          <w:tcPr>
            <w:tcW w:w="538" w:type="pct"/>
            <w:vAlign w:val="center"/>
          </w:tcPr>
          <w:p w14:paraId="155B1015">
            <w:pPr>
              <w:spacing w:line="240" w:lineRule="auto"/>
              <w:ind w:firstLine="0" w:firstLineChars="0"/>
              <w:jc w:val="center"/>
              <w:rPr>
                <w:rFonts w:cs="Times New Roman"/>
                <w:snapToGrid w:val="0"/>
                <w:color w:val="auto"/>
                <w:szCs w:val="24"/>
              </w:rPr>
            </w:pPr>
            <w:r>
              <w:rPr>
                <w:rFonts w:hint="eastAsia" w:cs="Times New Roman"/>
                <w:color w:val="auto"/>
                <w:szCs w:val="24"/>
                <w:lang w:val="en-US" w:eastAsia="zh-CN" w:bidi="ar"/>
              </w:rPr>
              <w:t>+0.05184</w:t>
            </w:r>
            <w:r>
              <w:rPr>
                <w:rFonts w:cs="Times New Roman"/>
                <w:snapToGrid w:val="0"/>
                <w:color w:val="auto"/>
                <w:szCs w:val="24"/>
              </w:rPr>
              <w:t>t/a</w:t>
            </w:r>
          </w:p>
        </w:tc>
      </w:tr>
      <w:tr w14:paraId="49CC0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4" w:type="pct"/>
            <w:vMerge w:val="continue"/>
            <w:vAlign w:val="center"/>
          </w:tcPr>
          <w:p w14:paraId="3CB2DAAC">
            <w:pPr>
              <w:spacing w:line="240" w:lineRule="auto"/>
              <w:ind w:firstLine="0" w:firstLineChars="0"/>
              <w:jc w:val="center"/>
              <w:rPr>
                <w:rFonts w:cs="Times New Roman"/>
                <w:snapToGrid w:val="0"/>
                <w:color w:val="auto"/>
                <w:szCs w:val="24"/>
              </w:rPr>
            </w:pPr>
          </w:p>
        </w:tc>
        <w:tc>
          <w:tcPr>
            <w:tcW w:w="744" w:type="pct"/>
            <w:vAlign w:val="center"/>
          </w:tcPr>
          <w:p w14:paraId="69F4AEB6">
            <w:pPr>
              <w:spacing w:line="240" w:lineRule="auto"/>
              <w:ind w:firstLine="0" w:firstLineChars="0"/>
              <w:jc w:val="center"/>
              <w:rPr>
                <w:rFonts w:cs="Times New Roman"/>
                <w:snapToGrid w:val="0"/>
                <w:color w:val="auto"/>
                <w:szCs w:val="24"/>
              </w:rPr>
            </w:pPr>
            <w:r>
              <w:rPr>
                <w:rFonts w:cs="Times New Roman"/>
                <w:snapToGrid w:val="0"/>
                <w:color w:val="auto"/>
                <w:szCs w:val="24"/>
              </w:rPr>
              <w:t>SS</w:t>
            </w:r>
          </w:p>
        </w:tc>
        <w:tc>
          <w:tcPr>
            <w:tcW w:w="546" w:type="pct"/>
            <w:vAlign w:val="center"/>
          </w:tcPr>
          <w:p w14:paraId="6730219D">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492" w:type="pct"/>
            <w:vAlign w:val="center"/>
          </w:tcPr>
          <w:p w14:paraId="2B938816">
            <w:pPr>
              <w:spacing w:line="240" w:lineRule="auto"/>
              <w:ind w:firstLine="0" w:firstLineChars="0"/>
              <w:jc w:val="center"/>
              <w:rPr>
                <w:rFonts w:cs="Times New Roman"/>
                <w:snapToGrid w:val="0"/>
                <w:color w:val="auto"/>
                <w:szCs w:val="24"/>
              </w:rPr>
            </w:pPr>
            <w:r>
              <w:rPr>
                <w:rFonts w:cs="Times New Roman"/>
                <w:color w:val="auto"/>
                <w:szCs w:val="24"/>
              </w:rPr>
              <w:t>/</w:t>
            </w:r>
          </w:p>
        </w:tc>
        <w:tc>
          <w:tcPr>
            <w:tcW w:w="504" w:type="pct"/>
            <w:vAlign w:val="center"/>
          </w:tcPr>
          <w:p w14:paraId="4B1ADF35">
            <w:pPr>
              <w:spacing w:line="240" w:lineRule="auto"/>
              <w:ind w:firstLine="0" w:firstLineChars="0"/>
              <w:jc w:val="center"/>
              <w:rPr>
                <w:rFonts w:cs="Times New Roman"/>
                <w:snapToGrid w:val="0"/>
                <w:color w:val="auto"/>
                <w:szCs w:val="24"/>
              </w:rPr>
            </w:pPr>
            <w:r>
              <w:rPr>
                <w:rFonts w:cs="Times New Roman"/>
                <w:color w:val="auto"/>
                <w:szCs w:val="24"/>
              </w:rPr>
              <w:t>/</w:t>
            </w:r>
          </w:p>
        </w:tc>
        <w:tc>
          <w:tcPr>
            <w:tcW w:w="606" w:type="pct"/>
            <w:vAlign w:val="center"/>
          </w:tcPr>
          <w:p w14:paraId="5079FBA0">
            <w:pPr>
              <w:spacing w:line="240" w:lineRule="auto"/>
              <w:ind w:firstLine="0" w:firstLineChars="0"/>
              <w:jc w:val="center"/>
              <w:rPr>
                <w:rFonts w:cs="Times New Roman"/>
                <w:color w:val="auto"/>
                <w:szCs w:val="24"/>
                <w:lang w:bidi="ar"/>
              </w:rPr>
            </w:pPr>
            <w:r>
              <w:rPr>
                <w:rFonts w:hint="eastAsia" w:cs="Times New Roman"/>
                <w:color w:val="auto"/>
                <w:szCs w:val="24"/>
                <w:lang w:val="en-US" w:eastAsia="zh-CN" w:bidi="ar"/>
              </w:rPr>
              <w:t>0.0216</w:t>
            </w:r>
            <w:r>
              <w:rPr>
                <w:rFonts w:cs="Times New Roman"/>
                <w:snapToGrid w:val="0"/>
                <w:color w:val="auto"/>
                <w:szCs w:val="24"/>
              </w:rPr>
              <w:t>t/a</w:t>
            </w:r>
          </w:p>
        </w:tc>
        <w:tc>
          <w:tcPr>
            <w:tcW w:w="541" w:type="pct"/>
            <w:vAlign w:val="center"/>
          </w:tcPr>
          <w:p w14:paraId="341C68F0">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541" w:type="pct"/>
            <w:vAlign w:val="center"/>
          </w:tcPr>
          <w:p w14:paraId="2F71D2E0">
            <w:pPr>
              <w:spacing w:line="240" w:lineRule="auto"/>
              <w:ind w:firstLine="0" w:firstLineChars="0"/>
              <w:jc w:val="center"/>
              <w:rPr>
                <w:rFonts w:cs="Times New Roman"/>
                <w:snapToGrid w:val="0"/>
                <w:color w:val="auto"/>
                <w:szCs w:val="24"/>
              </w:rPr>
            </w:pPr>
            <w:r>
              <w:rPr>
                <w:rFonts w:hint="eastAsia" w:cs="Times New Roman"/>
                <w:color w:val="auto"/>
                <w:szCs w:val="24"/>
                <w:lang w:val="en-US" w:eastAsia="zh-CN" w:bidi="ar"/>
              </w:rPr>
              <w:t>0.0216</w:t>
            </w:r>
            <w:r>
              <w:rPr>
                <w:rFonts w:cs="Times New Roman"/>
                <w:snapToGrid w:val="0"/>
                <w:color w:val="auto"/>
                <w:szCs w:val="24"/>
              </w:rPr>
              <w:t>t/a</w:t>
            </w:r>
          </w:p>
        </w:tc>
        <w:tc>
          <w:tcPr>
            <w:tcW w:w="538" w:type="pct"/>
            <w:vAlign w:val="center"/>
          </w:tcPr>
          <w:p w14:paraId="0F1C27F7">
            <w:pPr>
              <w:spacing w:line="240" w:lineRule="auto"/>
              <w:ind w:firstLine="0" w:firstLineChars="0"/>
              <w:jc w:val="center"/>
              <w:rPr>
                <w:rFonts w:cs="Times New Roman"/>
                <w:snapToGrid w:val="0"/>
                <w:color w:val="auto"/>
                <w:szCs w:val="24"/>
              </w:rPr>
            </w:pPr>
            <w:r>
              <w:rPr>
                <w:rFonts w:hint="eastAsia" w:cs="Times New Roman"/>
                <w:color w:val="auto"/>
                <w:szCs w:val="24"/>
                <w:lang w:val="en-US" w:eastAsia="zh-CN" w:bidi="ar"/>
              </w:rPr>
              <w:t>+0.0216</w:t>
            </w:r>
            <w:r>
              <w:rPr>
                <w:rFonts w:cs="Times New Roman"/>
                <w:snapToGrid w:val="0"/>
                <w:color w:val="auto"/>
                <w:szCs w:val="24"/>
              </w:rPr>
              <w:t>t/a</w:t>
            </w:r>
          </w:p>
        </w:tc>
      </w:tr>
      <w:tr w14:paraId="535829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4" w:type="pct"/>
            <w:vMerge w:val="continue"/>
            <w:vAlign w:val="center"/>
          </w:tcPr>
          <w:p w14:paraId="05E059C2">
            <w:pPr>
              <w:spacing w:line="240" w:lineRule="auto"/>
              <w:ind w:firstLine="0" w:firstLineChars="0"/>
              <w:jc w:val="center"/>
              <w:rPr>
                <w:rFonts w:cs="Times New Roman"/>
                <w:snapToGrid w:val="0"/>
                <w:color w:val="auto"/>
                <w:szCs w:val="24"/>
              </w:rPr>
            </w:pPr>
          </w:p>
        </w:tc>
        <w:tc>
          <w:tcPr>
            <w:tcW w:w="744" w:type="pct"/>
            <w:vAlign w:val="center"/>
          </w:tcPr>
          <w:p w14:paraId="6D8E0EA8">
            <w:pPr>
              <w:spacing w:line="240" w:lineRule="auto"/>
              <w:ind w:firstLine="0" w:firstLineChars="0"/>
              <w:jc w:val="center"/>
              <w:rPr>
                <w:rFonts w:cs="Times New Roman"/>
                <w:snapToGrid w:val="0"/>
                <w:color w:val="auto"/>
                <w:szCs w:val="24"/>
              </w:rPr>
            </w:pPr>
            <w:r>
              <w:rPr>
                <w:rFonts w:cs="Times New Roman"/>
                <w:snapToGrid w:val="0"/>
                <w:color w:val="auto"/>
                <w:szCs w:val="24"/>
              </w:rPr>
              <w:t>NH</w:t>
            </w:r>
            <w:r>
              <w:rPr>
                <w:rFonts w:cs="Times New Roman"/>
                <w:snapToGrid w:val="0"/>
                <w:color w:val="auto"/>
                <w:szCs w:val="24"/>
                <w:vertAlign w:val="subscript"/>
              </w:rPr>
              <w:t>3</w:t>
            </w:r>
            <w:r>
              <w:rPr>
                <w:rFonts w:cs="Times New Roman"/>
                <w:snapToGrid w:val="0"/>
                <w:color w:val="auto"/>
                <w:szCs w:val="24"/>
              </w:rPr>
              <w:t>-N</w:t>
            </w:r>
          </w:p>
        </w:tc>
        <w:tc>
          <w:tcPr>
            <w:tcW w:w="546" w:type="pct"/>
            <w:vAlign w:val="center"/>
          </w:tcPr>
          <w:p w14:paraId="726A3124">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492" w:type="pct"/>
            <w:vAlign w:val="center"/>
          </w:tcPr>
          <w:p w14:paraId="105E43BA">
            <w:pPr>
              <w:spacing w:line="240" w:lineRule="auto"/>
              <w:ind w:firstLine="0" w:firstLineChars="0"/>
              <w:jc w:val="center"/>
              <w:rPr>
                <w:rFonts w:cs="Times New Roman"/>
                <w:snapToGrid w:val="0"/>
                <w:color w:val="auto"/>
                <w:szCs w:val="24"/>
              </w:rPr>
            </w:pPr>
            <w:r>
              <w:rPr>
                <w:rFonts w:cs="Times New Roman"/>
                <w:color w:val="auto"/>
                <w:szCs w:val="24"/>
              </w:rPr>
              <w:t>/</w:t>
            </w:r>
          </w:p>
        </w:tc>
        <w:tc>
          <w:tcPr>
            <w:tcW w:w="504" w:type="pct"/>
            <w:vAlign w:val="center"/>
          </w:tcPr>
          <w:p w14:paraId="538FBA14">
            <w:pPr>
              <w:spacing w:line="240" w:lineRule="auto"/>
              <w:ind w:firstLine="0" w:firstLineChars="0"/>
              <w:jc w:val="center"/>
              <w:rPr>
                <w:rFonts w:cs="Times New Roman"/>
                <w:snapToGrid w:val="0"/>
                <w:color w:val="auto"/>
                <w:szCs w:val="24"/>
              </w:rPr>
            </w:pPr>
            <w:r>
              <w:rPr>
                <w:rFonts w:cs="Times New Roman"/>
                <w:color w:val="auto"/>
                <w:szCs w:val="24"/>
              </w:rPr>
              <w:t>/</w:t>
            </w:r>
          </w:p>
        </w:tc>
        <w:tc>
          <w:tcPr>
            <w:tcW w:w="606" w:type="pct"/>
            <w:vAlign w:val="center"/>
          </w:tcPr>
          <w:p w14:paraId="28078EFB">
            <w:pPr>
              <w:spacing w:line="240" w:lineRule="auto"/>
              <w:ind w:firstLine="0" w:firstLineChars="0"/>
              <w:jc w:val="center"/>
              <w:rPr>
                <w:rFonts w:cs="Times New Roman"/>
                <w:color w:val="auto"/>
                <w:szCs w:val="24"/>
                <w:lang w:bidi="ar"/>
              </w:rPr>
            </w:pPr>
            <w:r>
              <w:rPr>
                <w:rFonts w:hint="eastAsia" w:cs="Times New Roman"/>
                <w:color w:val="auto"/>
                <w:szCs w:val="24"/>
                <w:lang w:val="en-US" w:eastAsia="zh-CN" w:bidi="ar"/>
              </w:rPr>
              <w:t>0.00756</w:t>
            </w:r>
            <w:r>
              <w:rPr>
                <w:rFonts w:cs="Times New Roman"/>
                <w:snapToGrid w:val="0"/>
                <w:color w:val="auto"/>
                <w:szCs w:val="24"/>
              </w:rPr>
              <w:t>t/a</w:t>
            </w:r>
          </w:p>
        </w:tc>
        <w:tc>
          <w:tcPr>
            <w:tcW w:w="541" w:type="pct"/>
            <w:vAlign w:val="center"/>
          </w:tcPr>
          <w:p w14:paraId="6951DA1D">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541" w:type="pct"/>
            <w:vAlign w:val="center"/>
          </w:tcPr>
          <w:p w14:paraId="7C077ED9">
            <w:pPr>
              <w:spacing w:line="240" w:lineRule="auto"/>
              <w:ind w:firstLine="0" w:firstLineChars="0"/>
              <w:jc w:val="center"/>
              <w:rPr>
                <w:rFonts w:cs="Times New Roman"/>
                <w:snapToGrid w:val="0"/>
                <w:color w:val="auto"/>
                <w:szCs w:val="24"/>
              </w:rPr>
            </w:pPr>
            <w:r>
              <w:rPr>
                <w:rFonts w:hint="eastAsia" w:cs="Times New Roman"/>
                <w:color w:val="auto"/>
                <w:szCs w:val="24"/>
                <w:lang w:val="en-US" w:eastAsia="zh-CN" w:bidi="ar"/>
              </w:rPr>
              <w:t>0.00756</w:t>
            </w:r>
            <w:r>
              <w:rPr>
                <w:rFonts w:cs="Times New Roman"/>
                <w:snapToGrid w:val="0"/>
                <w:color w:val="auto"/>
                <w:szCs w:val="24"/>
              </w:rPr>
              <w:t>t/a</w:t>
            </w:r>
          </w:p>
        </w:tc>
        <w:tc>
          <w:tcPr>
            <w:tcW w:w="538" w:type="pct"/>
            <w:vAlign w:val="center"/>
          </w:tcPr>
          <w:p w14:paraId="5ACCB028">
            <w:pPr>
              <w:spacing w:line="240" w:lineRule="auto"/>
              <w:ind w:firstLine="0" w:firstLineChars="0"/>
              <w:jc w:val="center"/>
              <w:rPr>
                <w:rFonts w:cs="Times New Roman"/>
                <w:snapToGrid w:val="0"/>
                <w:color w:val="auto"/>
                <w:szCs w:val="24"/>
              </w:rPr>
            </w:pPr>
            <w:r>
              <w:rPr>
                <w:rFonts w:hint="eastAsia" w:cs="Times New Roman"/>
                <w:color w:val="auto"/>
                <w:szCs w:val="24"/>
                <w:lang w:val="en-US" w:eastAsia="zh-CN" w:bidi="ar"/>
              </w:rPr>
              <w:t>+0.00756</w:t>
            </w:r>
            <w:r>
              <w:rPr>
                <w:rFonts w:cs="Times New Roman"/>
                <w:snapToGrid w:val="0"/>
                <w:color w:val="auto"/>
                <w:szCs w:val="24"/>
              </w:rPr>
              <w:t>t/a</w:t>
            </w:r>
          </w:p>
        </w:tc>
      </w:tr>
      <w:tr w14:paraId="3BBE0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4" w:type="pct"/>
            <w:vMerge w:val="restart"/>
            <w:vAlign w:val="center"/>
          </w:tcPr>
          <w:p w14:paraId="71841639">
            <w:pPr>
              <w:spacing w:line="240" w:lineRule="auto"/>
              <w:ind w:firstLine="0" w:firstLineChars="0"/>
              <w:jc w:val="center"/>
              <w:rPr>
                <w:rFonts w:cs="Times New Roman"/>
                <w:snapToGrid w:val="0"/>
                <w:color w:val="auto"/>
                <w:szCs w:val="24"/>
              </w:rPr>
            </w:pPr>
            <w:r>
              <w:rPr>
                <w:rFonts w:cs="Times New Roman"/>
                <w:snapToGrid w:val="0"/>
                <w:color w:val="auto"/>
                <w:szCs w:val="24"/>
              </w:rPr>
              <w:t>一般工业</w:t>
            </w:r>
          </w:p>
          <w:p w14:paraId="058A52DE">
            <w:pPr>
              <w:spacing w:line="240" w:lineRule="auto"/>
              <w:ind w:firstLine="0" w:firstLineChars="0"/>
              <w:jc w:val="center"/>
              <w:rPr>
                <w:rFonts w:cs="Times New Roman"/>
                <w:snapToGrid w:val="0"/>
                <w:color w:val="auto"/>
                <w:szCs w:val="24"/>
              </w:rPr>
            </w:pPr>
            <w:r>
              <w:rPr>
                <w:rFonts w:cs="Times New Roman"/>
                <w:snapToGrid w:val="0"/>
                <w:color w:val="auto"/>
                <w:szCs w:val="24"/>
              </w:rPr>
              <w:t>固体废物</w:t>
            </w:r>
          </w:p>
        </w:tc>
        <w:tc>
          <w:tcPr>
            <w:tcW w:w="744" w:type="pct"/>
            <w:vAlign w:val="center"/>
          </w:tcPr>
          <w:p w14:paraId="0771F2DF">
            <w:pPr>
              <w:spacing w:line="240" w:lineRule="auto"/>
              <w:ind w:firstLine="0" w:firstLineChars="0"/>
              <w:jc w:val="center"/>
              <w:rPr>
                <w:rFonts w:cs="Times New Roman"/>
                <w:snapToGrid w:val="0"/>
                <w:color w:val="auto"/>
                <w:szCs w:val="24"/>
              </w:rPr>
            </w:pPr>
            <w:r>
              <w:rPr>
                <w:rFonts w:cs="Times New Roman"/>
                <w:snapToGrid w:val="0"/>
                <w:color w:val="auto"/>
                <w:szCs w:val="24"/>
              </w:rPr>
              <w:t>成品残次品</w:t>
            </w:r>
          </w:p>
        </w:tc>
        <w:tc>
          <w:tcPr>
            <w:tcW w:w="546" w:type="pct"/>
            <w:vAlign w:val="center"/>
          </w:tcPr>
          <w:p w14:paraId="52EA80DD">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492" w:type="pct"/>
            <w:vAlign w:val="center"/>
          </w:tcPr>
          <w:p w14:paraId="7AF867DE">
            <w:pPr>
              <w:spacing w:line="240" w:lineRule="auto"/>
              <w:ind w:firstLine="0" w:firstLineChars="0"/>
              <w:jc w:val="center"/>
              <w:rPr>
                <w:rFonts w:cs="Times New Roman"/>
                <w:snapToGrid w:val="0"/>
                <w:color w:val="auto"/>
                <w:szCs w:val="24"/>
              </w:rPr>
            </w:pPr>
            <w:r>
              <w:rPr>
                <w:rFonts w:cs="Times New Roman"/>
                <w:color w:val="auto"/>
                <w:szCs w:val="24"/>
              </w:rPr>
              <w:t>/</w:t>
            </w:r>
          </w:p>
        </w:tc>
        <w:tc>
          <w:tcPr>
            <w:tcW w:w="504" w:type="pct"/>
            <w:vAlign w:val="center"/>
          </w:tcPr>
          <w:p w14:paraId="7E38C9C8">
            <w:pPr>
              <w:spacing w:line="240" w:lineRule="auto"/>
              <w:ind w:firstLine="0" w:firstLineChars="0"/>
              <w:jc w:val="center"/>
              <w:rPr>
                <w:rFonts w:cs="Times New Roman"/>
                <w:snapToGrid w:val="0"/>
                <w:color w:val="auto"/>
                <w:szCs w:val="24"/>
              </w:rPr>
            </w:pPr>
            <w:r>
              <w:rPr>
                <w:rFonts w:cs="Times New Roman"/>
                <w:color w:val="auto"/>
                <w:szCs w:val="24"/>
              </w:rPr>
              <w:t>/</w:t>
            </w:r>
          </w:p>
        </w:tc>
        <w:tc>
          <w:tcPr>
            <w:tcW w:w="606" w:type="pct"/>
            <w:vAlign w:val="center"/>
          </w:tcPr>
          <w:p w14:paraId="4C2ABA2A">
            <w:pPr>
              <w:spacing w:line="240" w:lineRule="auto"/>
              <w:ind w:firstLine="0" w:firstLineChars="0"/>
              <w:jc w:val="center"/>
              <w:rPr>
                <w:rFonts w:cs="Times New Roman"/>
                <w:snapToGrid w:val="0"/>
                <w:color w:val="auto"/>
                <w:szCs w:val="24"/>
              </w:rPr>
            </w:pPr>
            <w:r>
              <w:rPr>
                <w:rFonts w:hint="eastAsia" w:cs="Times New Roman"/>
                <w:snapToGrid w:val="0"/>
                <w:color w:val="auto"/>
                <w:szCs w:val="24"/>
                <w:lang w:val="en-US" w:eastAsia="zh-CN"/>
              </w:rPr>
              <w:t>90</w:t>
            </w:r>
            <w:r>
              <w:rPr>
                <w:rFonts w:cs="Times New Roman"/>
                <w:snapToGrid w:val="0"/>
                <w:color w:val="auto"/>
                <w:szCs w:val="24"/>
              </w:rPr>
              <w:t>t/a</w:t>
            </w:r>
          </w:p>
        </w:tc>
        <w:tc>
          <w:tcPr>
            <w:tcW w:w="541" w:type="pct"/>
            <w:vAlign w:val="center"/>
          </w:tcPr>
          <w:p w14:paraId="1E04E398">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541" w:type="pct"/>
            <w:vAlign w:val="center"/>
          </w:tcPr>
          <w:p w14:paraId="16D2B354">
            <w:pPr>
              <w:spacing w:line="240" w:lineRule="auto"/>
              <w:ind w:firstLine="0" w:firstLineChars="0"/>
              <w:jc w:val="center"/>
              <w:rPr>
                <w:rFonts w:cs="Times New Roman"/>
                <w:snapToGrid w:val="0"/>
                <w:color w:val="auto"/>
                <w:szCs w:val="24"/>
              </w:rPr>
            </w:pPr>
            <w:r>
              <w:rPr>
                <w:rFonts w:hint="eastAsia" w:cs="Times New Roman"/>
                <w:snapToGrid w:val="0"/>
                <w:color w:val="auto"/>
                <w:szCs w:val="24"/>
                <w:lang w:val="en-US" w:eastAsia="zh-CN"/>
              </w:rPr>
              <w:t>90</w:t>
            </w:r>
            <w:r>
              <w:rPr>
                <w:rFonts w:cs="Times New Roman"/>
                <w:snapToGrid w:val="0"/>
                <w:color w:val="auto"/>
                <w:szCs w:val="24"/>
              </w:rPr>
              <w:t>t/a</w:t>
            </w:r>
          </w:p>
        </w:tc>
        <w:tc>
          <w:tcPr>
            <w:tcW w:w="538" w:type="pct"/>
            <w:vAlign w:val="center"/>
          </w:tcPr>
          <w:p w14:paraId="7A0BAEC0">
            <w:pPr>
              <w:spacing w:line="240" w:lineRule="auto"/>
              <w:ind w:firstLine="0" w:firstLineChars="0"/>
              <w:jc w:val="center"/>
              <w:rPr>
                <w:rFonts w:cs="Times New Roman"/>
                <w:snapToGrid w:val="0"/>
                <w:color w:val="auto"/>
                <w:szCs w:val="24"/>
              </w:rPr>
            </w:pPr>
            <w:r>
              <w:rPr>
                <w:rFonts w:hint="eastAsia" w:cs="Times New Roman"/>
                <w:snapToGrid w:val="0"/>
                <w:color w:val="auto"/>
                <w:szCs w:val="24"/>
                <w:lang w:val="en-US" w:eastAsia="zh-CN"/>
              </w:rPr>
              <w:t>+90</w:t>
            </w:r>
            <w:r>
              <w:rPr>
                <w:rFonts w:cs="Times New Roman"/>
                <w:snapToGrid w:val="0"/>
                <w:color w:val="auto"/>
                <w:szCs w:val="24"/>
              </w:rPr>
              <w:t>t/a</w:t>
            </w:r>
          </w:p>
        </w:tc>
      </w:tr>
      <w:tr w14:paraId="4D4DD8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4" w:type="pct"/>
            <w:vMerge w:val="continue"/>
            <w:vAlign w:val="center"/>
          </w:tcPr>
          <w:p w14:paraId="0C57EF19">
            <w:pPr>
              <w:spacing w:line="240" w:lineRule="auto"/>
              <w:ind w:firstLine="0" w:firstLineChars="0"/>
              <w:jc w:val="center"/>
              <w:rPr>
                <w:rFonts w:cs="Times New Roman"/>
                <w:color w:val="auto"/>
                <w:szCs w:val="24"/>
              </w:rPr>
            </w:pPr>
          </w:p>
        </w:tc>
        <w:tc>
          <w:tcPr>
            <w:tcW w:w="744" w:type="pct"/>
            <w:vAlign w:val="center"/>
          </w:tcPr>
          <w:p w14:paraId="77C01B0C">
            <w:pPr>
              <w:spacing w:line="240" w:lineRule="auto"/>
              <w:ind w:firstLine="0" w:firstLineChars="0"/>
              <w:jc w:val="center"/>
              <w:rPr>
                <w:rFonts w:cs="Times New Roman"/>
                <w:snapToGrid w:val="0"/>
                <w:color w:val="auto"/>
                <w:szCs w:val="24"/>
              </w:rPr>
            </w:pPr>
            <w:r>
              <w:rPr>
                <w:rFonts w:cs="Times New Roman"/>
                <w:snapToGrid w:val="0"/>
                <w:color w:val="auto"/>
                <w:szCs w:val="24"/>
              </w:rPr>
              <w:t>金属边角料</w:t>
            </w:r>
          </w:p>
        </w:tc>
        <w:tc>
          <w:tcPr>
            <w:tcW w:w="546" w:type="pct"/>
            <w:vAlign w:val="center"/>
          </w:tcPr>
          <w:p w14:paraId="591D10E1">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492" w:type="pct"/>
            <w:vAlign w:val="center"/>
          </w:tcPr>
          <w:p w14:paraId="67CBB059">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504" w:type="pct"/>
            <w:vAlign w:val="center"/>
          </w:tcPr>
          <w:p w14:paraId="4CFCDEA4">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606" w:type="pct"/>
            <w:vAlign w:val="center"/>
          </w:tcPr>
          <w:p w14:paraId="7A327A7A">
            <w:pPr>
              <w:spacing w:line="240" w:lineRule="auto"/>
              <w:ind w:firstLine="0" w:firstLineChars="0"/>
              <w:jc w:val="center"/>
              <w:rPr>
                <w:rFonts w:cs="Times New Roman"/>
                <w:snapToGrid w:val="0"/>
                <w:color w:val="auto"/>
                <w:szCs w:val="24"/>
              </w:rPr>
            </w:pPr>
            <w:r>
              <w:rPr>
                <w:rFonts w:hint="eastAsia" w:cs="Times New Roman"/>
                <w:snapToGrid w:val="0"/>
                <w:color w:val="auto"/>
                <w:szCs w:val="24"/>
                <w:lang w:val="en-US" w:eastAsia="zh-CN"/>
              </w:rPr>
              <w:t>0.03</w:t>
            </w:r>
            <w:r>
              <w:rPr>
                <w:rFonts w:cs="Times New Roman"/>
                <w:snapToGrid w:val="0"/>
                <w:color w:val="auto"/>
                <w:szCs w:val="24"/>
              </w:rPr>
              <w:t>t/a</w:t>
            </w:r>
          </w:p>
        </w:tc>
        <w:tc>
          <w:tcPr>
            <w:tcW w:w="541" w:type="pct"/>
            <w:vAlign w:val="center"/>
          </w:tcPr>
          <w:p w14:paraId="55A28E0A">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541" w:type="pct"/>
            <w:vAlign w:val="center"/>
          </w:tcPr>
          <w:p w14:paraId="6C3896FE">
            <w:pPr>
              <w:spacing w:line="240" w:lineRule="auto"/>
              <w:ind w:firstLine="0" w:firstLineChars="0"/>
              <w:jc w:val="center"/>
              <w:rPr>
                <w:rFonts w:cs="Times New Roman"/>
                <w:snapToGrid w:val="0"/>
                <w:color w:val="auto"/>
                <w:szCs w:val="24"/>
              </w:rPr>
            </w:pPr>
            <w:r>
              <w:rPr>
                <w:rFonts w:hint="eastAsia" w:cs="Times New Roman"/>
                <w:snapToGrid w:val="0"/>
                <w:color w:val="auto"/>
                <w:szCs w:val="24"/>
                <w:lang w:val="en-US" w:eastAsia="zh-CN"/>
              </w:rPr>
              <w:t>0.03</w:t>
            </w:r>
            <w:r>
              <w:rPr>
                <w:rFonts w:cs="Times New Roman"/>
                <w:snapToGrid w:val="0"/>
                <w:color w:val="auto"/>
                <w:szCs w:val="24"/>
              </w:rPr>
              <w:t>t/a</w:t>
            </w:r>
          </w:p>
        </w:tc>
        <w:tc>
          <w:tcPr>
            <w:tcW w:w="538" w:type="pct"/>
            <w:vAlign w:val="center"/>
          </w:tcPr>
          <w:p w14:paraId="0D005E86">
            <w:pPr>
              <w:spacing w:line="240" w:lineRule="auto"/>
              <w:ind w:firstLine="0" w:firstLineChars="0"/>
              <w:jc w:val="center"/>
              <w:rPr>
                <w:rFonts w:cs="Times New Roman"/>
                <w:snapToGrid w:val="0"/>
                <w:color w:val="auto"/>
                <w:szCs w:val="24"/>
              </w:rPr>
            </w:pPr>
            <w:r>
              <w:rPr>
                <w:rFonts w:hint="eastAsia" w:cs="Times New Roman"/>
                <w:snapToGrid w:val="0"/>
                <w:color w:val="auto"/>
                <w:szCs w:val="24"/>
                <w:lang w:val="en-US" w:eastAsia="zh-CN"/>
              </w:rPr>
              <w:t>+0.03</w:t>
            </w:r>
            <w:r>
              <w:rPr>
                <w:rFonts w:cs="Times New Roman"/>
                <w:snapToGrid w:val="0"/>
                <w:color w:val="auto"/>
                <w:szCs w:val="24"/>
              </w:rPr>
              <w:t>t/a</w:t>
            </w:r>
          </w:p>
        </w:tc>
      </w:tr>
      <w:tr w14:paraId="2B34E6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4" w:type="pct"/>
            <w:vMerge w:val="continue"/>
            <w:vAlign w:val="center"/>
          </w:tcPr>
          <w:p w14:paraId="1C269A9F">
            <w:pPr>
              <w:spacing w:line="240" w:lineRule="auto"/>
              <w:ind w:firstLine="0" w:firstLineChars="0"/>
              <w:jc w:val="center"/>
              <w:rPr>
                <w:rFonts w:cs="Times New Roman"/>
                <w:snapToGrid w:val="0"/>
                <w:color w:val="auto"/>
                <w:szCs w:val="24"/>
              </w:rPr>
            </w:pPr>
          </w:p>
        </w:tc>
        <w:tc>
          <w:tcPr>
            <w:tcW w:w="744" w:type="pct"/>
            <w:vAlign w:val="center"/>
          </w:tcPr>
          <w:p w14:paraId="3E9EFA6E">
            <w:pPr>
              <w:spacing w:line="240" w:lineRule="auto"/>
              <w:ind w:firstLine="0" w:firstLineChars="0"/>
              <w:jc w:val="center"/>
              <w:rPr>
                <w:rFonts w:cs="Times New Roman"/>
                <w:color w:val="auto"/>
                <w:szCs w:val="24"/>
              </w:rPr>
            </w:pPr>
            <w:r>
              <w:rPr>
                <w:rFonts w:cs="Times New Roman"/>
                <w:color w:val="auto"/>
                <w:szCs w:val="24"/>
              </w:rPr>
              <w:t>废包装袋</w:t>
            </w:r>
          </w:p>
        </w:tc>
        <w:tc>
          <w:tcPr>
            <w:tcW w:w="546" w:type="pct"/>
            <w:vAlign w:val="center"/>
          </w:tcPr>
          <w:p w14:paraId="62A45388">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492" w:type="pct"/>
            <w:vAlign w:val="center"/>
          </w:tcPr>
          <w:p w14:paraId="4CEB7CF8">
            <w:pPr>
              <w:spacing w:line="240" w:lineRule="auto"/>
              <w:ind w:firstLine="0" w:firstLineChars="0"/>
              <w:jc w:val="center"/>
              <w:rPr>
                <w:rFonts w:cs="Times New Roman"/>
                <w:snapToGrid w:val="0"/>
                <w:color w:val="auto"/>
                <w:szCs w:val="24"/>
              </w:rPr>
            </w:pPr>
            <w:r>
              <w:rPr>
                <w:rFonts w:cs="Times New Roman"/>
                <w:color w:val="auto"/>
                <w:szCs w:val="24"/>
              </w:rPr>
              <w:t>/</w:t>
            </w:r>
          </w:p>
        </w:tc>
        <w:tc>
          <w:tcPr>
            <w:tcW w:w="504" w:type="pct"/>
            <w:vAlign w:val="center"/>
          </w:tcPr>
          <w:p w14:paraId="2AB16A54">
            <w:pPr>
              <w:spacing w:line="240" w:lineRule="auto"/>
              <w:ind w:firstLine="0" w:firstLineChars="0"/>
              <w:jc w:val="center"/>
              <w:rPr>
                <w:rFonts w:cs="Times New Roman"/>
                <w:snapToGrid w:val="0"/>
                <w:color w:val="auto"/>
                <w:szCs w:val="24"/>
              </w:rPr>
            </w:pPr>
            <w:r>
              <w:rPr>
                <w:rFonts w:cs="Times New Roman"/>
                <w:color w:val="auto"/>
                <w:szCs w:val="24"/>
              </w:rPr>
              <w:t>/</w:t>
            </w:r>
          </w:p>
        </w:tc>
        <w:tc>
          <w:tcPr>
            <w:tcW w:w="606" w:type="pct"/>
            <w:vAlign w:val="center"/>
          </w:tcPr>
          <w:p w14:paraId="0A7CC699">
            <w:pPr>
              <w:spacing w:line="240" w:lineRule="auto"/>
              <w:ind w:firstLine="0" w:firstLineChars="0"/>
              <w:jc w:val="center"/>
              <w:rPr>
                <w:rFonts w:cs="Times New Roman"/>
                <w:snapToGrid w:val="0"/>
                <w:color w:val="auto"/>
                <w:szCs w:val="24"/>
              </w:rPr>
            </w:pPr>
            <w:r>
              <w:rPr>
                <w:rFonts w:cs="Times New Roman"/>
                <w:snapToGrid w:val="0"/>
                <w:color w:val="auto"/>
                <w:szCs w:val="24"/>
              </w:rPr>
              <w:t>0.01t/a</w:t>
            </w:r>
          </w:p>
        </w:tc>
        <w:tc>
          <w:tcPr>
            <w:tcW w:w="541" w:type="pct"/>
            <w:vAlign w:val="center"/>
          </w:tcPr>
          <w:p w14:paraId="09CB4932">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541" w:type="pct"/>
            <w:vAlign w:val="center"/>
          </w:tcPr>
          <w:p w14:paraId="2C433E1D">
            <w:pPr>
              <w:spacing w:line="240" w:lineRule="auto"/>
              <w:ind w:firstLine="0" w:firstLineChars="0"/>
              <w:jc w:val="center"/>
              <w:rPr>
                <w:rFonts w:cs="Times New Roman"/>
                <w:snapToGrid w:val="0"/>
                <w:color w:val="auto"/>
                <w:szCs w:val="24"/>
              </w:rPr>
            </w:pPr>
            <w:r>
              <w:rPr>
                <w:rFonts w:cs="Times New Roman"/>
                <w:snapToGrid w:val="0"/>
                <w:color w:val="auto"/>
                <w:szCs w:val="24"/>
              </w:rPr>
              <w:t>0.01t/a</w:t>
            </w:r>
          </w:p>
        </w:tc>
        <w:tc>
          <w:tcPr>
            <w:tcW w:w="538" w:type="pct"/>
            <w:vAlign w:val="center"/>
          </w:tcPr>
          <w:p w14:paraId="56B50A13">
            <w:pPr>
              <w:spacing w:line="240" w:lineRule="auto"/>
              <w:ind w:firstLine="0" w:firstLineChars="0"/>
              <w:jc w:val="center"/>
              <w:rPr>
                <w:rFonts w:cs="Times New Roman"/>
                <w:snapToGrid w:val="0"/>
                <w:color w:val="auto"/>
                <w:szCs w:val="24"/>
              </w:rPr>
            </w:pPr>
            <w:r>
              <w:rPr>
                <w:rFonts w:hint="eastAsia" w:cs="Times New Roman"/>
                <w:snapToGrid w:val="0"/>
                <w:color w:val="auto"/>
                <w:szCs w:val="24"/>
                <w:lang w:val="en-US" w:eastAsia="zh-CN"/>
              </w:rPr>
              <w:t>+</w:t>
            </w:r>
            <w:r>
              <w:rPr>
                <w:rFonts w:cs="Times New Roman"/>
                <w:snapToGrid w:val="0"/>
                <w:color w:val="auto"/>
                <w:szCs w:val="24"/>
              </w:rPr>
              <w:t>0.01t/a</w:t>
            </w:r>
          </w:p>
        </w:tc>
      </w:tr>
      <w:tr w14:paraId="7895E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4" w:type="pct"/>
            <w:vMerge w:val="continue"/>
            <w:vAlign w:val="center"/>
          </w:tcPr>
          <w:p w14:paraId="0121C0DF">
            <w:pPr>
              <w:spacing w:line="240" w:lineRule="auto"/>
              <w:ind w:firstLine="0" w:firstLineChars="0"/>
              <w:jc w:val="center"/>
              <w:rPr>
                <w:rFonts w:cs="Times New Roman"/>
                <w:snapToGrid w:val="0"/>
                <w:color w:val="auto"/>
                <w:szCs w:val="24"/>
              </w:rPr>
            </w:pPr>
          </w:p>
        </w:tc>
        <w:tc>
          <w:tcPr>
            <w:tcW w:w="744" w:type="pct"/>
            <w:vAlign w:val="center"/>
          </w:tcPr>
          <w:p w14:paraId="7F0E16BA">
            <w:pPr>
              <w:spacing w:line="240" w:lineRule="auto"/>
              <w:ind w:firstLine="0" w:firstLineChars="0"/>
              <w:jc w:val="center"/>
              <w:rPr>
                <w:rFonts w:cs="Times New Roman"/>
                <w:color w:val="auto"/>
                <w:szCs w:val="24"/>
              </w:rPr>
            </w:pPr>
            <w:r>
              <w:rPr>
                <w:rFonts w:cs="Times New Roman"/>
                <w:color w:val="auto"/>
                <w:szCs w:val="24"/>
              </w:rPr>
              <w:t>废包装桶</w:t>
            </w:r>
          </w:p>
        </w:tc>
        <w:tc>
          <w:tcPr>
            <w:tcW w:w="546" w:type="pct"/>
            <w:vAlign w:val="center"/>
          </w:tcPr>
          <w:p w14:paraId="4E8A639E">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492" w:type="pct"/>
            <w:vAlign w:val="center"/>
          </w:tcPr>
          <w:p w14:paraId="64707D5B">
            <w:pPr>
              <w:spacing w:line="240" w:lineRule="auto"/>
              <w:ind w:firstLine="0" w:firstLineChars="0"/>
              <w:jc w:val="center"/>
              <w:rPr>
                <w:rFonts w:cs="Times New Roman"/>
                <w:snapToGrid w:val="0"/>
                <w:color w:val="auto"/>
                <w:szCs w:val="24"/>
              </w:rPr>
            </w:pPr>
            <w:r>
              <w:rPr>
                <w:rFonts w:cs="Times New Roman"/>
                <w:color w:val="auto"/>
                <w:szCs w:val="24"/>
              </w:rPr>
              <w:t>/</w:t>
            </w:r>
          </w:p>
        </w:tc>
        <w:tc>
          <w:tcPr>
            <w:tcW w:w="504" w:type="pct"/>
            <w:vAlign w:val="center"/>
          </w:tcPr>
          <w:p w14:paraId="36EB4CCA">
            <w:pPr>
              <w:spacing w:line="240" w:lineRule="auto"/>
              <w:ind w:firstLine="0" w:firstLineChars="0"/>
              <w:jc w:val="center"/>
              <w:rPr>
                <w:rFonts w:cs="Times New Roman"/>
                <w:snapToGrid w:val="0"/>
                <w:color w:val="auto"/>
                <w:szCs w:val="24"/>
              </w:rPr>
            </w:pPr>
            <w:r>
              <w:rPr>
                <w:rFonts w:cs="Times New Roman"/>
                <w:color w:val="auto"/>
                <w:szCs w:val="24"/>
              </w:rPr>
              <w:t>/</w:t>
            </w:r>
          </w:p>
        </w:tc>
        <w:tc>
          <w:tcPr>
            <w:tcW w:w="606" w:type="pct"/>
            <w:vAlign w:val="center"/>
          </w:tcPr>
          <w:p w14:paraId="2D80B167">
            <w:pPr>
              <w:spacing w:line="240" w:lineRule="auto"/>
              <w:ind w:firstLine="0" w:firstLineChars="0"/>
              <w:jc w:val="center"/>
              <w:rPr>
                <w:rFonts w:cs="Times New Roman"/>
                <w:snapToGrid w:val="0"/>
                <w:color w:val="auto"/>
                <w:szCs w:val="24"/>
              </w:rPr>
            </w:pPr>
            <w:r>
              <w:rPr>
                <w:rFonts w:cs="Times New Roman"/>
                <w:snapToGrid w:val="0"/>
                <w:color w:val="auto"/>
                <w:szCs w:val="24"/>
              </w:rPr>
              <w:t>0.5t/a</w:t>
            </w:r>
          </w:p>
        </w:tc>
        <w:tc>
          <w:tcPr>
            <w:tcW w:w="541" w:type="pct"/>
            <w:vAlign w:val="center"/>
          </w:tcPr>
          <w:p w14:paraId="4B4708DD">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541" w:type="pct"/>
            <w:vAlign w:val="center"/>
          </w:tcPr>
          <w:p w14:paraId="5A2AFCA5">
            <w:pPr>
              <w:spacing w:line="240" w:lineRule="auto"/>
              <w:ind w:firstLine="0" w:firstLineChars="0"/>
              <w:jc w:val="center"/>
              <w:rPr>
                <w:rFonts w:cs="Times New Roman"/>
                <w:snapToGrid w:val="0"/>
                <w:color w:val="auto"/>
                <w:szCs w:val="24"/>
              </w:rPr>
            </w:pPr>
            <w:r>
              <w:rPr>
                <w:rFonts w:cs="Times New Roman"/>
                <w:snapToGrid w:val="0"/>
                <w:color w:val="auto"/>
                <w:szCs w:val="24"/>
              </w:rPr>
              <w:t>0.5t/a</w:t>
            </w:r>
          </w:p>
        </w:tc>
        <w:tc>
          <w:tcPr>
            <w:tcW w:w="538" w:type="pct"/>
            <w:vAlign w:val="center"/>
          </w:tcPr>
          <w:p w14:paraId="6B3F08F6">
            <w:pPr>
              <w:spacing w:line="240" w:lineRule="auto"/>
              <w:ind w:firstLine="0" w:firstLineChars="0"/>
              <w:jc w:val="center"/>
              <w:rPr>
                <w:rFonts w:cs="Times New Roman"/>
                <w:snapToGrid w:val="0"/>
                <w:color w:val="auto"/>
                <w:szCs w:val="24"/>
              </w:rPr>
            </w:pPr>
            <w:r>
              <w:rPr>
                <w:rFonts w:hint="eastAsia" w:cs="Times New Roman"/>
                <w:snapToGrid w:val="0"/>
                <w:color w:val="auto"/>
                <w:szCs w:val="24"/>
                <w:lang w:val="en-US" w:eastAsia="zh-CN"/>
              </w:rPr>
              <w:t>+</w:t>
            </w:r>
            <w:r>
              <w:rPr>
                <w:rFonts w:cs="Times New Roman"/>
                <w:snapToGrid w:val="0"/>
                <w:color w:val="auto"/>
                <w:szCs w:val="24"/>
              </w:rPr>
              <w:t>0.5t/a</w:t>
            </w:r>
          </w:p>
        </w:tc>
      </w:tr>
      <w:tr w14:paraId="6A13F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4" w:type="pct"/>
            <w:vMerge w:val="continue"/>
            <w:vAlign w:val="center"/>
          </w:tcPr>
          <w:p w14:paraId="72E6D24D">
            <w:pPr>
              <w:spacing w:line="240" w:lineRule="auto"/>
              <w:ind w:firstLine="0" w:firstLineChars="0"/>
              <w:jc w:val="center"/>
              <w:rPr>
                <w:rFonts w:cs="Times New Roman"/>
                <w:snapToGrid w:val="0"/>
                <w:color w:val="auto"/>
                <w:szCs w:val="24"/>
              </w:rPr>
            </w:pPr>
          </w:p>
        </w:tc>
        <w:tc>
          <w:tcPr>
            <w:tcW w:w="744" w:type="pct"/>
            <w:vAlign w:val="center"/>
          </w:tcPr>
          <w:p w14:paraId="6B10F205">
            <w:pPr>
              <w:spacing w:line="240" w:lineRule="auto"/>
              <w:ind w:firstLine="0" w:firstLineChars="0"/>
              <w:jc w:val="center"/>
              <w:rPr>
                <w:rFonts w:cs="Times New Roman"/>
                <w:color w:val="auto"/>
                <w:szCs w:val="24"/>
              </w:rPr>
            </w:pPr>
            <w:r>
              <w:rPr>
                <w:rFonts w:cs="Times New Roman"/>
                <w:color w:val="auto"/>
                <w:szCs w:val="24"/>
              </w:rPr>
              <w:t>生活垃圾</w:t>
            </w:r>
          </w:p>
        </w:tc>
        <w:tc>
          <w:tcPr>
            <w:tcW w:w="546" w:type="pct"/>
            <w:vAlign w:val="center"/>
          </w:tcPr>
          <w:p w14:paraId="12BF6728">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492" w:type="pct"/>
            <w:vAlign w:val="center"/>
          </w:tcPr>
          <w:p w14:paraId="27267FBC">
            <w:pPr>
              <w:spacing w:line="240" w:lineRule="auto"/>
              <w:ind w:firstLine="0" w:firstLineChars="0"/>
              <w:jc w:val="center"/>
              <w:rPr>
                <w:rFonts w:cs="Times New Roman"/>
                <w:snapToGrid w:val="0"/>
                <w:color w:val="auto"/>
                <w:szCs w:val="24"/>
              </w:rPr>
            </w:pPr>
            <w:r>
              <w:rPr>
                <w:rFonts w:cs="Times New Roman"/>
                <w:color w:val="auto"/>
                <w:szCs w:val="24"/>
              </w:rPr>
              <w:t>/</w:t>
            </w:r>
          </w:p>
        </w:tc>
        <w:tc>
          <w:tcPr>
            <w:tcW w:w="504" w:type="pct"/>
            <w:vAlign w:val="center"/>
          </w:tcPr>
          <w:p w14:paraId="6C7EB59E">
            <w:pPr>
              <w:spacing w:line="240" w:lineRule="auto"/>
              <w:ind w:firstLine="0" w:firstLineChars="0"/>
              <w:jc w:val="center"/>
              <w:rPr>
                <w:rFonts w:cs="Times New Roman"/>
                <w:snapToGrid w:val="0"/>
                <w:color w:val="auto"/>
                <w:szCs w:val="24"/>
              </w:rPr>
            </w:pPr>
            <w:r>
              <w:rPr>
                <w:rFonts w:cs="Times New Roman"/>
                <w:color w:val="auto"/>
                <w:szCs w:val="24"/>
              </w:rPr>
              <w:t>/</w:t>
            </w:r>
          </w:p>
        </w:tc>
        <w:tc>
          <w:tcPr>
            <w:tcW w:w="606" w:type="pct"/>
            <w:vAlign w:val="center"/>
          </w:tcPr>
          <w:p w14:paraId="69C4DCFE">
            <w:pPr>
              <w:spacing w:line="240" w:lineRule="auto"/>
              <w:ind w:firstLine="0" w:firstLineChars="0"/>
              <w:jc w:val="center"/>
              <w:rPr>
                <w:rFonts w:cs="Times New Roman"/>
                <w:snapToGrid w:val="0"/>
                <w:color w:val="auto"/>
                <w:szCs w:val="24"/>
              </w:rPr>
            </w:pPr>
            <w:r>
              <w:rPr>
                <w:rFonts w:hint="eastAsia" w:cs="Times New Roman"/>
                <w:snapToGrid w:val="0"/>
                <w:color w:val="auto"/>
                <w:szCs w:val="24"/>
                <w:lang w:val="en-US" w:eastAsia="zh-CN"/>
              </w:rPr>
              <w:t>2.25</w:t>
            </w:r>
            <w:r>
              <w:rPr>
                <w:rFonts w:cs="Times New Roman"/>
                <w:snapToGrid w:val="0"/>
                <w:color w:val="auto"/>
                <w:szCs w:val="24"/>
              </w:rPr>
              <w:t>t/a</w:t>
            </w:r>
          </w:p>
        </w:tc>
        <w:tc>
          <w:tcPr>
            <w:tcW w:w="541" w:type="pct"/>
            <w:vAlign w:val="center"/>
          </w:tcPr>
          <w:p w14:paraId="3734225F">
            <w:pPr>
              <w:spacing w:line="240" w:lineRule="auto"/>
              <w:ind w:firstLine="0" w:firstLineChars="0"/>
              <w:jc w:val="center"/>
              <w:rPr>
                <w:rFonts w:cs="Times New Roman"/>
                <w:snapToGrid w:val="0"/>
                <w:color w:val="auto"/>
                <w:szCs w:val="24"/>
              </w:rPr>
            </w:pPr>
            <w:r>
              <w:rPr>
                <w:rFonts w:cs="Times New Roman"/>
                <w:snapToGrid w:val="0"/>
                <w:color w:val="auto"/>
                <w:szCs w:val="24"/>
              </w:rPr>
              <w:t>/</w:t>
            </w:r>
          </w:p>
        </w:tc>
        <w:tc>
          <w:tcPr>
            <w:tcW w:w="541" w:type="pct"/>
            <w:vAlign w:val="center"/>
          </w:tcPr>
          <w:p w14:paraId="7E6D362D">
            <w:pPr>
              <w:spacing w:line="240" w:lineRule="auto"/>
              <w:ind w:firstLine="0" w:firstLineChars="0"/>
              <w:jc w:val="center"/>
              <w:rPr>
                <w:rFonts w:cs="Times New Roman"/>
                <w:snapToGrid w:val="0"/>
                <w:color w:val="auto"/>
                <w:szCs w:val="24"/>
              </w:rPr>
            </w:pPr>
            <w:r>
              <w:rPr>
                <w:rFonts w:hint="eastAsia" w:cs="Times New Roman"/>
                <w:snapToGrid w:val="0"/>
                <w:color w:val="auto"/>
                <w:szCs w:val="24"/>
                <w:lang w:val="en-US" w:eastAsia="zh-CN"/>
              </w:rPr>
              <w:t>2.25</w:t>
            </w:r>
            <w:r>
              <w:rPr>
                <w:rFonts w:cs="Times New Roman"/>
                <w:snapToGrid w:val="0"/>
                <w:color w:val="auto"/>
                <w:szCs w:val="24"/>
              </w:rPr>
              <w:t>t/a</w:t>
            </w:r>
          </w:p>
        </w:tc>
        <w:tc>
          <w:tcPr>
            <w:tcW w:w="538" w:type="pct"/>
            <w:vAlign w:val="center"/>
          </w:tcPr>
          <w:p w14:paraId="2C32C645">
            <w:pPr>
              <w:spacing w:line="240" w:lineRule="auto"/>
              <w:ind w:firstLine="0" w:firstLineChars="0"/>
              <w:jc w:val="center"/>
              <w:rPr>
                <w:rFonts w:cs="Times New Roman"/>
                <w:snapToGrid w:val="0"/>
                <w:color w:val="auto"/>
                <w:szCs w:val="24"/>
              </w:rPr>
            </w:pPr>
            <w:r>
              <w:rPr>
                <w:rFonts w:hint="eastAsia" w:cs="Times New Roman"/>
                <w:snapToGrid w:val="0"/>
                <w:color w:val="auto"/>
                <w:szCs w:val="24"/>
                <w:lang w:val="en-US" w:eastAsia="zh-CN"/>
              </w:rPr>
              <w:t>+2.25</w:t>
            </w:r>
            <w:r>
              <w:rPr>
                <w:rFonts w:cs="Times New Roman"/>
                <w:snapToGrid w:val="0"/>
                <w:color w:val="auto"/>
                <w:szCs w:val="24"/>
              </w:rPr>
              <w:t>t/a</w:t>
            </w:r>
          </w:p>
        </w:tc>
      </w:tr>
      <w:tr w14:paraId="0117E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84" w:type="pct"/>
            <w:vMerge w:val="restart"/>
            <w:vAlign w:val="center"/>
          </w:tcPr>
          <w:p w14:paraId="1BFD9382">
            <w:pPr>
              <w:spacing w:line="240" w:lineRule="auto"/>
              <w:ind w:firstLine="0" w:firstLineChars="0"/>
              <w:jc w:val="center"/>
              <w:rPr>
                <w:rFonts w:cs="Times New Roman"/>
                <w:snapToGrid w:val="0"/>
                <w:color w:val="auto"/>
                <w:szCs w:val="24"/>
              </w:rPr>
            </w:pPr>
            <w:r>
              <w:rPr>
                <w:rFonts w:cs="Times New Roman"/>
                <w:snapToGrid w:val="0"/>
                <w:color w:val="auto"/>
                <w:szCs w:val="24"/>
              </w:rPr>
              <w:t>危险废物</w:t>
            </w:r>
          </w:p>
        </w:tc>
        <w:tc>
          <w:tcPr>
            <w:tcW w:w="744" w:type="pct"/>
            <w:vAlign w:val="center"/>
          </w:tcPr>
          <w:p w14:paraId="4F7D0BCF">
            <w:pPr>
              <w:spacing w:line="240" w:lineRule="auto"/>
              <w:ind w:firstLine="0" w:firstLineChars="0"/>
              <w:jc w:val="center"/>
              <w:rPr>
                <w:rFonts w:cs="Times New Roman"/>
                <w:color w:val="auto"/>
                <w:szCs w:val="24"/>
              </w:rPr>
            </w:pPr>
            <w:r>
              <w:rPr>
                <w:rFonts w:cs="Times New Roman"/>
                <w:color w:val="auto"/>
                <w:szCs w:val="24"/>
              </w:rPr>
              <w:t>废机油</w:t>
            </w:r>
          </w:p>
        </w:tc>
        <w:tc>
          <w:tcPr>
            <w:tcW w:w="546" w:type="pct"/>
            <w:vAlign w:val="center"/>
          </w:tcPr>
          <w:p w14:paraId="2F944A1A">
            <w:pPr>
              <w:spacing w:line="240" w:lineRule="auto"/>
              <w:ind w:firstLine="0" w:firstLineChars="0"/>
              <w:jc w:val="center"/>
              <w:rPr>
                <w:rFonts w:cs="Times New Roman"/>
                <w:color w:val="auto"/>
                <w:szCs w:val="24"/>
              </w:rPr>
            </w:pPr>
            <w:r>
              <w:rPr>
                <w:rFonts w:cs="Times New Roman"/>
                <w:snapToGrid w:val="0"/>
                <w:color w:val="auto"/>
                <w:szCs w:val="24"/>
              </w:rPr>
              <w:t>/</w:t>
            </w:r>
          </w:p>
        </w:tc>
        <w:tc>
          <w:tcPr>
            <w:tcW w:w="492" w:type="pct"/>
            <w:vAlign w:val="center"/>
          </w:tcPr>
          <w:p w14:paraId="0BE3B89C">
            <w:pPr>
              <w:spacing w:line="240" w:lineRule="auto"/>
              <w:ind w:firstLine="0" w:firstLineChars="0"/>
              <w:jc w:val="center"/>
              <w:rPr>
                <w:rFonts w:cs="Times New Roman"/>
                <w:color w:val="auto"/>
                <w:szCs w:val="24"/>
              </w:rPr>
            </w:pPr>
            <w:r>
              <w:rPr>
                <w:rFonts w:cs="Times New Roman"/>
                <w:snapToGrid w:val="0"/>
                <w:color w:val="auto"/>
                <w:szCs w:val="24"/>
              </w:rPr>
              <w:t>/</w:t>
            </w:r>
          </w:p>
        </w:tc>
        <w:tc>
          <w:tcPr>
            <w:tcW w:w="504" w:type="pct"/>
            <w:vAlign w:val="center"/>
          </w:tcPr>
          <w:p w14:paraId="1AF14FE6">
            <w:pPr>
              <w:spacing w:line="240" w:lineRule="auto"/>
              <w:ind w:firstLine="0" w:firstLineChars="0"/>
              <w:jc w:val="center"/>
              <w:rPr>
                <w:rFonts w:cs="Times New Roman"/>
                <w:color w:val="auto"/>
                <w:szCs w:val="24"/>
              </w:rPr>
            </w:pPr>
            <w:r>
              <w:rPr>
                <w:rFonts w:cs="Times New Roman"/>
                <w:snapToGrid w:val="0"/>
                <w:color w:val="auto"/>
                <w:szCs w:val="24"/>
              </w:rPr>
              <w:t>/</w:t>
            </w:r>
          </w:p>
        </w:tc>
        <w:tc>
          <w:tcPr>
            <w:tcW w:w="606" w:type="pct"/>
            <w:vAlign w:val="center"/>
          </w:tcPr>
          <w:p w14:paraId="1419A6C2">
            <w:pPr>
              <w:spacing w:line="240" w:lineRule="auto"/>
              <w:ind w:firstLine="0" w:firstLineChars="0"/>
              <w:jc w:val="center"/>
              <w:rPr>
                <w:rFonts w:cs="Times New Roman"/>
                <w:color w:val="auto"/>
                <w:szCs w:val="24"/>
              </w:rPr>
            </w:pPr>
            <w:r>
              <w:rPr>
                <w:rFonts w:cs="Times New Roman"/>
                <w:color w:val="auto"/>
                <w:szCs w:val="24"/>
              </w:rPr>
              <w:t>1.2</w:t>
            </w:r>
            <w:r>
              <w:rPr>
                <w:rFonts w:cs="Times New Roman"/>
                <w:snapToGrid w:val="0"/>
                <w:color w:val="auto"/>
                <w:szCs w:val="24"/>
              </w:rPr>
              <w:t>t/a</w:t>
            </w:r>
          </w:p>
        </w:tc>
        <w:tc>
          <w:tcPr>
            <w:tcW w:w="541" w:type="pct"/>
            <w:vAlign w:val="center"/>
          </w:tcPr>
          <w:p w14:paraId="49D8225A">
            <w:pPr>
              <w:spacing w:line="240" w:lineRule="auto"/>
              <w:ind w:firstLine="0" w:firstLineChars="0"/>
              <w:jc w:val="center"/>
              <w:rPr>
                <w:rFonts w:cs="Times New Roman"/>
                <w:color w:val="auto"/>
                <w:szCs w:val="24"/>
              </w:rPr>
            </w:pPr>
            <w:r>
              <w:rPr>
                <w:rFonts w:cs="Times New Roman"/>
                <w:snapToGrid w:val="0"/>
                <w:color w:val="auto"/>
                <w:szCs w:val="24"/>
              </w:rPr>
              <w:t>/</w:t>
            </w:r>
          </w:p>
        </w:tc>
        <w:tc>
          <w:tcPr>
            <w:tcW w:w="541" w:type="pct"/>
            <w:vAlign w:val="center"/>
          </w:tcPr>
          <w:p w14:paraId="2BE2EE9D">
            <w:pPr>
              <w:spacing w:line="240" w:lineRule="auto"/>
              <w:ind w:firstLine="0" w:firstLineChars="0"/>
              <w:jc w:val="center"/>
              <w:rPr>
                <w:rFonts w:cs="Times New Roman"/>
                <w:color w:val="auto"/>
                <w:szCs w:val="24"/>
              </w:rPr>
            </w:pPr>
            <w:r>
              <w:rPr>
                <w:rFonts w:cs="Times New Roman"/>
                <w:color w:val="auto"/>
                <w:szCs w:val="24"/>
              </w:rPr>
              <w:t>1.2</w:t>
            </w:r>
            <w:r>
              <w:rPr>
                <w:rFonts w:cs="Times New Roman"/>
                <w:snapToGrid w:val="0"/>
                <w:color w:val="auto"/>
                <w:szCs w:val="24"/>
              </w:rPr>
              <w:t>t/a</w:t>
            </w:r>
          </w:p>
        </w:tc>
        <w:tc>
          <w:tcPr>
            <w:tcW w:w="538" w:type="pct"/>
            <w:vAlign w:val="center"/>
          </w:tcPr>
          <w:p w14:paraId="33B6A471">
            <w:pPr>
              <w:spacing w:line="240" w:lineRule="auto"/>
              <w:ind w:firstLine="0" w:firstLineChars="0"/>
              <w:jc w:val="center"/>
              <w:rPr>
                <w:rFonts w:cs="Times New Roman"/>
                <w:color w:val="auto"/>
                <w:szCs w:val="24"/>
              </w:rPr>
            </w:pPr>
            <w:r>
              <w:rPr>
                <w:rFonts w:cs="Times New Roman"/>
                <w:color w:val="auto"/>
                <w:szCs w:val="24"/>
              </w:rPr>
              <w:t>+1.2</w:t>
            </w:r>
            <w:r>
              <w:rPr>
                <w:rFonts w:cs="Times New Roman"/>
                <w:snapToGrid w:val="0"/>
                <w:color w:val="auto"/>
                <w:szCs w:val="24"/>
              </w:rPr>
              <w:t>t/a</w:t>
            </w:r>
          </w:p>
        </w:tc>
      </w:tr>
      <w:tr w14:paraId="268DD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84" w:type="pct"/>
            <w:vMerge w:val="continue"/>
            <w:vAlign w:val="center"/>
          </w:tcPr>
          <w:p w14:paraId="32DEB167">
            <w:pPr>
              <w:spacing w:line="240" w:lineRule="auto"/>
              <w:ind w:firstLine="0" w:firstLineChars="0"/>
              <w:jc w:val="center"/>
              <w:rPr>
                <w:rFonts w:cs="Times New Roman"/>
                <w:snapToGrid w:val="0"/>
                <w:color w:val="auto"/>
                <w:szCs w:val="24"/>
              </w:rPr>
            </w:pPr>
          </w:p>
        </w:tc>
        <w:tc>
          <w:tcPr>
            <w:tcW w:w="744" w:type="pct"/>
            <w:vAlign w:val="center"/>
          </w:tcPr>
          <w:p w14:paraId="52F912DC">
            <w:pPr>
              <w:spacing w:line="240" w:lineRule="auto"/>
              <w:ind w:firstLine="0" w:firstLineChars="0"/>
              <w:jc w:val="center"/>
              <w:rPr>
                <w:rFonts w:cs="Times New Roman"/>
                <w:color w:val="auto"/>
                <w:szCs w:val="24"/>
              </w:rPr>
            </w:pPr>
            <w:r>
              <w:rPr>
                <w:rFonts w:cs="Times New Roman"/>
                <w:color w:val="auto"/>
                <w:szCs w:val="24"/>
              </w:rPr>
              <w:t>废含油抹布</w:t>
            </w:r>
          </w:p>
        </w:tc>
        <w:tc>
          <w:tcPr>
            <w:tcW w:w="546" w:type="pct"/>
            <w:vAlign w:val="center"/>
          </w:tcPr>
          <w:p w14:paraId="25206C7E">
            <w:pPr>
              <w:spacing w:line="240" w:lineRule="auto"/>
              <w:ind w:firstLine="0" w:firstLineChars="0"/>
              <w:jc w:val="center"/>
              <w:rPr>
                <w:rFonts w:hint="eastAsia" w:eastAsia="宋体" w:cs="Times New Roman"/>
                <w:snapToGrid w:val="0"/>
                <w:color w:val="auto"/>
                <w:szCs w:val="24"/>
                <w:lang w:val="en-US" w:eastAsia="zh-CN"/>
              </w:rPr>
            </w:pPr>
            <w:r>
              <w:rPr>
                <w:rFonts w:hint="eastAsia" w:cs="Times New Roman"/>
                <w:snapToGrid w:val="0"/>
                <w:color w:val="auto"/>
                <w:szCs w:val="24"/>
                <w:lang w:val="en-US" w:eastAsia="zh-CN"/>
              </w:rPr>
              <w:t>/</w:t>
            </w:r>
          </w:p>
        </w:tc>
        <w:tc>
          <w:tcPr>
            <w:tcW w:w="492" w:type="pct"/>
            <w:vAlign w:val="center"/>
          </w:tcPr>
          <w:p w14:paraId="7DE2C667">
            <w:pPr>
              <w:spacing w:line="240" w:lineRule="auto"/>
              <w:ind w:firstLine="0" w:firstLineChars="0"/>
              <w:jc w:val="center"/>
              <w:rPr>
                <w:rFonts w:hint="eastAsia" w:eastAsia="宋体" w:cs="Times New Roman"/>
                <w:snapToGrid w:val="0"/>
                <w:color w:val="auto"/>
                <w:szCs w:val="24"/>
                <w:lang w:val="en-US" w:eastAsia="zh-CN"/>
              </w:rPr>
            </w:pPr>
            <w:r>
              <w:rPr>
                <w:rFonts w:hint="eastAsia" w:cs="Times New Roman"/>
                <w:snapToGrid w:val="0"/>
                <w:color w:val="auto"/>
                <w:szCs w:val="24"/>
                <w:lang w:val="en-US" w:eastAsia="zh-CN"/>
              </w:rPr>
              <w:t>/</w:t>
            </w:r>
          </w:p>
        </w:tc>
        <w:tc>
          <w:tcPr>
            <w:tcW w:w="504" w:type="pct"/>
            <w:vAlign w:val="center"/>
          </w:tcPr>
          <w:p w14:paraId="69D4B0C0">
            <w:pPr>
              <w:spacing w:line="240" w:lineRule="auto"/>
              <w:ind w:firstLine="0" w:firstLineChars="0"/>
              <w:jc w:val="center"/>
              <w:rPr>
                <w:rFonts w:hint="eastAsia" w:eastAsia="宋体" w:cs="Times New Roman"/>
                <w:snapToGrid w:val="0"/>
                <w:color w:val="auto"/>
                <w:szCs w:val="24"/>
                <w:lang w:val="en-US" w:eastAsia="zh-CN"/>
              </w:rPr>
            </w:pPr>
            <w:r>
              <w:rPr>
                <w:rFonts w:hint="eastAsia" w:cs="Times New Roman"/>
                <w:snapToGrid w:val="0"/>
                <w:color w:val="auto"/>
                <w:szCs w:val="24"/>
                <w:lang w:val="en-US" w:eastAsia="zh-CN"/>
              </w:rPr>
              <w:t>/</w:t>
            </w:r>
          </w:p>
        </w:tc>
        <w:tc>
          <w:tcPr>
            <w:tcW w:w="606" w:type="pct"/>
            <w:shd w:val="clear" w:color="auto" w:fill="auto"/>
            <w:vAlign w:val="center"/>
          </w:tcPr>
          <w:p w14:paraId="780187AE">
            <w:pPr>
              <w:spacing w:line="240" w:lineRule="auto"/>
              <w:ind w:firstLine="0" w:firstLineChars="0"/>
              <w:jc w:val="center"/>
              <w:rPr>
                <w:rFonts w:ascii="Times New Roman" w:hAnsi="Times New Roman" w:eastAsia="宋体" w:cs="Times New Roman"/>
                <w:snapToGrid w:val="0"/>
                <w:color w:val="auto"/>
                <w:sz w:val="24"/>
                <w:szCs w:val="24"/>
                <w:lang w:val="en-US" w:eastAsia="zh-CN" w:bidi="ar-SA"/>
              </w:rPr>
            </w:pPr>
            <w:r>
              <w:rPr>
                <w:rFonts w:cs="Times New Roman"/>
                <w:snapToGrid w:val="0"/>
                <w:color w:val="auto"/>
                <w:szCs w:val="24"/>
              </w:rPr>
              <w:t>0.02t/a</w:t>
            </w:r>
          </w:p>
        </w:tc>
        <w:tc>
          <w:tcPr>
            <w:tcW w:w="541" w:type="pct"/>
            <w:shd w:val="clear" w:color="auto" w:fill="auto"/>
            <w:vAlign w:val="center"/>
          </w:tcPr>
          <w:p w14:paraId="063C7D5A">
            <w:pPr>
              <w:spacing w:line="240" w:lineRule="auto"/>
              <w:ind w:firstLine="0" w:firstLineChars="0"/>
              <w:jc w:val="center"/>
              <w:rPr>
                <w:rFonts w:ascii="Times New Roman" w:hAnsi="Times New Roman" w:eastAsia="宋体" w:cs="Times New Roman"/>
                <w:snapToGrid w:val="0"/>
                <w:color w:val="auto"/>
                <w:sz w:val="24"/>
                <w:szCs w:val="24"/>
                <w:lang w:val="en-US" w:eastAsia="zh-CN" w:bidi="ar-SA"/>
              </w:rPr>
            </w:pPr>
            <w:r>
              <w:rPr>
                <w:rFonts w:cs="Times New Roman"/>
                <w:snapToGrid w:val="0"/>
                <w:color w:val="auto"/>
                <w:szCs w:val="24"/>
              </w:rPr>
              <w:t>/</w:t>
            </w:r>
          </w:p>
        </w:tc>
        <w:tc>
          <w:tcPr>
            <w:tcW w:w="541" w:type="pct"/>
            <w:shd w:val="clear" w:color="auto" w:fill="auto"/>
            <w:vAlign w:val="center"/>
          </w:tcPr>
          <w:p w14:paraId="41E1D030">
            <w:pPr>
              <w:spacing w:line="240" w:lineRule="auto"/>
              <w:ind w:firstLine="0" w:firstLineChars="0"/>
              <w:jc w:val="center"/>
              <w:rPr>
                <w:rFonts w:ascii="Times New Roman" w:hAnsi="Times New Roman" w:eastAsia="宋体" w:cs="Times New Roman"/>
                <w:snapToGrid w:val="0"/>
                <w:color w:val="auto"/>
                <w:sz w:val="24"/>
                <w:szCs w:val="24"/>
                <w:lang w:val="en-US" w:eastAsia="zh-CN" w:bidi="ar-SA"/>
              </w:rPr>
            </w:pPr>
            <w:r>
              <w:rPr>
                <w:rFonts w:cs="Times New Roman"/>
                <w:snapToGrid w:val="0"/>
                <w:color w:val="auto"/>
                <w:szCs w:val="24"/>
              </w:rPr>
              <w:t>0.02t/a</w:t>
            </w:r>
          </w:p>
        </w:tc>
        <w:tc>
          <w:tcPr>
            <w:tcW w:w="538" w:type="pct"/>
            <w:shd w:val="clear" w:color="auto" w:fill="auto"/>
            <w:vAlign w:val="center"/>
          </w:tcPr>
          <w:p w14:paraId="5BC67A79">
            <w:pPr>
              <w:spacing w:line="240" w:lineRule="auto"/>
              <w:ind w:firstLine="0" w:firstLineChars="0"/>
              <w:jc w:val="center"/>
              <w:rPr>
                <w:rFonts w:ascii="Times New Roman" w:hAnsi="Times New Roman" w:eastAsia="宋体" w:cs="Times New Roman"/>
                <w:snapToGrid w:val="0"/>
                <w:color w:val="auto"/>
                <w:sz w:val="24"/>
                <w:szCs w:val="24"/>
                <w:lang w:val="en-US" w:eastAsia="zh-CN" w:bidi="ar-SA"/>
              </w:rPr>
            </w:pPr>
            <w:r>
              <w:rPr>
                <w:rFonts w:hint="eastAsia" w:cs="Times New Roman"/>
                <w:snapToGrid w:val="0"/>
                <w:color w:val="auto"/>
                <w:szCs w:val="24"/>
                <w:lang w:val="en-US" w:eastAsia="zh-CN"/>
              </w:rPr>
              <w:t>+</w:t>
            </w:r>
            <w:r>
              <w:rPr>
                <w:rFonts w:cs="Times New Roman"/>
                <w:snapToGrid w:val="0"/>
                <w:color w:val="auto"/>
                <w:szCs w:val="24"/>
              </w:rPr>
              <w:t>0.02t/a</w:t>
            </w:r>
          </w:p>
        </w:tc>
      </w:tr>
    </w:tbl>
    <w:p w14:paraId="4A80BD98">
      <w:pPr>
        <w:spacing w:line="259" w:lineRule="auto"/>
        <w:ind w:firstLine="480"/>
        <w:rPr>
          <w:rFonts w:cs="Times New Roman"/>
          <w:bCs/>
          <w:color w:val="auto"/>
        </w:rPr>
      </w:pPr>
      <w:r>
        <w:rPr>
          <w:rFonts w:cs="Times New Roman"/>
          <w:snapToGrid w:val="0"/>
          <w:color w:val="auto"/>
          <w:kern w:val="21"/>
          <w:szCs w:val="21"/>
        </w:rPr>
        <w:t>注：</w:t>
      </w:r>
      <w:r>
        <w:rPr>
          <w:rFonts w:cs="Times New Roman"/>
          <w:snapToGrid w:val="0"/>
          <w:color w:val="auto"/>
          <w:spacing w:val="-16"/>
          <w:kern w:val="21"/>
          <w:szCs w:val="21"/>
        </w:rPr>
        <w:fldChar w:fldCharType="begin"/>
      </w:r>
      <w:r>
        <w:rPr>
          <w:rFonts w:cs="Times New Roman"/>
          <w:snapToGrid w:val="0"/>
          <w:color w:val="auto"/>
          <w:spacing w:val="-16"/>
          <w:kern w:val="21"/>
          <w:szCs w:val="21"/>
        </w:rPr>
        <w:instrText xml:space="preserve"> = 6 \* GB3 \* MERGEFORMAT </w:instrText>
      </w:r>
      <w:r>
        <w:rPr>
          <w:rFonts w:cs="Times New Roman"/>
          <w:snapToGrid w:val="0"/>
          <w:color w:val="auto"/>
          <w:spacing w:val="-16"/>
          <w:kern w:val="21"/>
          <w:szCs w:val="21"/>
        </w:rPr>
        <w:fldChar w:fldCharType="separate"/>
      </w:r>
      <w:r>
        <w:rPr>
          <w:rFonts w:cs="Times New Roman"/>
          <w:color w:val="auto"/>
          <w:szCs w:val="21"/>
        </w:rPr>
        <w:t>⑥</w:t>
      </w:r>
      <w:r>
        <w:rPr>
          <w:rFonts w:cs="Times New Roman"/>
          <w:snapToGrid w:val="0"/>
          <w:color w:val="auto"/>
          <w:spacing w:val="-16"/>
          <w:kern w:val="21"/>
          <w:szCs w:val="21"/>
        </w:rPr>
        <w:fldChar w:fldCharType="end"/>
      </w:r>
      <w:r>
        <w:rPr>
          <w:rFonts w:cs="Times New Roman"/>
          <w:snapToGrid w:val="0"/>
          <w:color w:val="auto"/>
          <w:spacing w:val="-16"/>
          <w:kern w:val="21"/>
          <w:szCs w:val="21"/>
        </w:rPr>
        <w:t>=</w:t>
      </w:r>
      <w:r>
        <w:rPr>
          <w:rFonts w:cs="Times New Roman"/>
          <w:snapToGrid w:val="0"/>
          <w:color w:val="auto"/>
          <w:spacing w:val="-6"/>
          <w:kern w:val="21"/>
          <w:szCs w:val="21"/>
        </w:rPr>
        <w:fldChar w:fldCharType="begin"/>
      </w:r>
      <w:r>
        <w:rPr>
          <w:rFonts w:cs="Times New Roman"/>
          <w:snapToGrid w:val="0"/>
          <w:color w:val="auto"/>
          <w:spacing w:val="-6"/>
          <w:kern w:val="21"/>
          <w:szCs w:val="21"/>
        </w:rPr>
        <w:instrText xml:space="preserve"> = 1 \* GB3 \* MERGEFORMAT </w:instrText>
      </w:r>
      <w:r>
        <w:rPr>
          <w:rFonts w:cs="Times New Roman"/>
          <w:snapToGrid w:val="0"/>
          <w:color w:val="auto"/>
          <w:spacing w:val="-6"/>
          <w:kern w:val="21"/>
          <w:szCs w:val="21"/>
        </w:rPr>
        <w:fldChar w:fldCharType="separate"/>
      </w:r>
      <w:r>
        <w:rPr>
          <w:rFonts w:cs="Times New Roman"/>
          <w:color w:val="auto"/>
          <w:szCs w:val="21"/>
        </w:rPr>
        <w:t>①</w:t>
      </w:r>
      <w:r>
        <w:rPr>
          <w:rFonts w:cs="Times New Roman"/>
          <w:snapToGrid w:val="0"/>
          <w:color w:val="auto"/>
          <w:spacing w:val="-6"/>
          <w:kern w:val="21"/>
          <w:szCs w:val="21"/>
        </w:rPr>
        <w:fldChar w:fldCharType="end"/>
      </w:r>
      <w:r>
        <w:rPr>
          <w:rFonts w:cs="Times New Roman"/>
          <w:snapToGrid w:val="0"/>
          <w:color w:val="auto"/>
          <w:spacing w:val="-6"/>
          <w:kern w:val="21"/>
          <w:szCs w:val="21"/>
        </w:rPr>
        <w:t>+</w:t>
      </w:r>
      <w:r>
        <w:rPr>
          <w:rFonts w:cs="Times New Roman"/>
          <w:snapToGrid w:val="0"/>
          <w:color w:val="auto"/>
          <w:spacing w:val="-6"/>
          <w:kern w:val="21"/>
          <w:szCs w:val="21"/>
        </w:rPr>
        <w:fldChar w:fldCharType="begin"/>
      </w:r>
      <w:r>
        <w:rPr>
          <w:rFonts w:cs="Times New Roman"/>
          <w:snapToGrid w:val="0"/>
          <w:color w:val="auto"/>
          <w:spacing w:val="-6"/>
          <w:kern w:val="21"/>
          <w:szCs w:val="21"/>
        </w:rPr>
        <w:instrText xml:space="preserve"> = 3 \* GB3 \* MERGEFORMAT </w:instrText>
      </w:r>
      <w:r>
        <w:rPr>
          <w:rFonts w:cs="Times New Roman"/>
          <w:snapToGrid w:val="0"/>
          <w:color w:val="auto"/>
          <w:spacing w:val="-6"/>
          <w:kern w:val="21"/>
          <w:szCs w:val="21"/>
        </w:rPr>
        <w:fldChar w:fldCharType="separate"/>
      </w:r>
      <w:r>
        <w:rPr>
          <w:rFonts w:cs="Times New Roman"/>
          <w:color w:val="auto"/>
          <w:szCs w:val="21"/>
        </w:rPr>
        <w:t>③</w:t>
      </w:r>
      <w:r>
        <w:rPr>
          <w:rFonts w:cs="Times New Roman"/>
          <w:snapToGrid w:val="0"/>
          <w:color w:val="auto"/>
          <w:spacing w:val="-6"/>
          <w:kern w:val="21"/>
          <w:szCs w:val="21"/>
        </w:rPr>
        <w:fldChar w:fldCharType="end"/>
      </w:r>
      <w:r>
        <w:rPr>
          <w:rFonts w:cs="Times New Roman"/>
          <w:snapToGrid w:val="0"/>
          <w:color w:val="auto"/>
          <w:spacing w:val="-6"/>
          <w:kern w:val="21"/>
          <w:szCs w:val="21"/>
        </w:rPr>
        <w:t>+</w:t>
      </w:r>
      <w:r>
        <w:rPr>
          <w:rFonts w:cs="Times New Roman"/>
          <w:snapToGrid w:val="0"/>
          <w:color w:val="auto"/>
          <w:spacing w:val="-6"/>
          <w:kern w:val="21"/>
          <w:szCs w:val="21"/>
        </w:rPr>
        <w:fldChar w:fldCharType="begin"/>
      </w:r>
      <w:r>
        <w:rPr>
          <w:rFonts w:cs="Times New Roman"/>
          <w:snapToGrid w:val="0"/>
          <w:color w:val="auto"/>
          <w:spacing w:val="-6"/>
          <w:kern w:val="21"/>
          <w:szCs w:val="21"/>
        </w:rPr>
        <w:instrText xml:space="preserve"> = 4 \* GB3 \* MERGEFORMAT </w:instrText>
      </w:r>
      <w:r>
        <w:rPr>
          <w:rFonts w:cs="Times New Roman"/>
          <w:snapToGrid w:val="0"/>
          <w:color w:val="auto"/>
          <w:spacing w:val="-6"/>
          <w:kern w:val="21"/>
          <w:szCs w:val="21"/>
        </w:rPr>
        <w:fldChar w:fldCharType="separate"/>
      </w:r>
      <w:r>
        <w:rPr>
          <w:rFonts w:cs="Times New Roman"/>
          <w:color w:val="auto"/>
          <w:szCs w:val="21"/>
        </w:rPr>
        <w:t>④</w:t>
      </w:r>
      <w:r>
        <w:rPr>
          <w:rFonts w:cs="Times New Roman"/>
          <w:snapToGrid w:val="0"/>
          <w:color w:val="auto"/>
          <w:spacing w:val="-6"/>
          <w:kern w:val="21"/>
          <w:szCs w:val="21"/>
        </w:rPr>
        <w:fldChar w:fldCharType="end"/>
      </w:r>
      <w:r>
        <w:rPr>
          <w:rFonts w:cs="Times New Roman"/>
          <w:snapToGrid w:val="0"/>
          <w:color w:val="auto"/>
          <w:spacing w:val="-6"/>
          <w:kern w:val="21"/>
          <w:szCs w:val="21"/>
        </w:rPr>
        <w:t>-</w:t>
      </w:r>
      <w:r>
        <w:rPr>
          <w:rFonts w:cs="Times New Roman"/>
          <w:snapToGrid w:val="0"/>
          <w:color w:val="auto"/>
          <w:spacing w:val="-16"/>
          <w:kern w:val="21"/>
          <w:szCs w:val="21"/>
        </w:rPr>
        <w:fldChar w:fldCharType="begin"/>
      </w:r>
      <w:r>
        <w:rPr>
          <w:rFonts w:cs="Times New Roman"/>
          <w:snapToGrid w:val="0"/>
          <w:color w:val="auto"/>
          <w:spacing w:val="-16"/>
          <w:kern w:val="21"/>
          <w:szCs w:val="21"/>
        </w:rPr>
        <w:instrText xml:space="preserve"> = 5 \* GB3 \* MERGEFORMAT </w:instrText>
      </w:r>
      <w:r>
        <w:rPr>
          <w:rFonts w:cs="Times New Roman"/>
          <w:snapToGrid w:val="0"/>
          <w:color w:val="auto"/>
          <w:spacing w:val="-16"/>
          <w:kern w:val="21"/>
          <w:szCs w:val="21"/>
        </w:rPr>
        <w:fldChar w:fldCharType="separate"/>
      </w:r>
      <w:r>
        <w:rPr>
          <w:rFonts w:cs="Times New Roman"/>
          <w:color w:val="auto"/>
          <w:szCs w:val="21"/>
        </w:rPr>
        <w:t>⑤</w:t>
      </w:r>
      <w:r>
        <w:rPr>
          <w:rFonts w:cs="Times New Roman"/>
          <w:snapToGrid w:val="0"/>
          <w:color w:val="auto"/>
          <w:spacing w:val="-16"/>
          <w:kern w:val="21"/>
          <w:szCs w:val="21"/>
        </w:rPr>
        <w:fldChar w:fldCharType="end"/>
      </w:r>
      <w:r>
        <w:rPr>
          <w:rFonts w:cs="Times New Roman"/>
          <w:snapToGrid w:val="0"/>
          <w:color w:val="auto"/>
          <w:spacing w:val="-16"/>
          <w:kern w:val="21"/>
          <w:szCs w:val="21"/>
        </w:rPr>
        <w:t>；</w:t>
      </w:r>
      <w:r>
        <w:rPr>
          <w:rFonts w:cs="Times New Roman"/>
          <w:snapToGrid w:val="0"/>
          <w:color w:val="auto"/>
          <w:spacing w:val="-6"/>
          <w:kern w:val="21"/>
          <w:szCs w:val="21"/>
        </w:rPr>
        <w:fldChar w:fldCharType="begin"/>
      </w:r>
      <w:r>
        <w:rPr>
          <w:rFonts w:cs="Times New Roman"/>
          <w:snapToGrid w:val="0"/>
          <w:color w:val="auto"/>
          <w:spacing w:val="-6"/>
          <w:kern w:val="21"/>
          <w:szCs w:val="21"/>
        </w:rPr>
        <w:instrText xml:space="preserve"> = 7 \* GB3 \* MERGEFORMAT </w:instrText>
      </w:r>
      <w:r>
        <w:rPr>
          <w:rFonts w:cs="Times New Roman"/>
          <w:snapToGrid w:val="0"/>
          <w:color w:val="auto"/>
          <w:spacing w:val="-6"/>
          <w:kern w:val="21"/>
          <w:szCs w:val="21"/>
        </w:rPr>
        <w:fldChar w:fldCharType="separate"/>
      </w:r>
      <w:r>
        <w:rPr>
          <w:rFonts w:cs="Times New Roman"/>
          <w:color w:val="auto"/>
          <w:szCs w:val="21"/>
        </w:rPr>
        <w:t>⑦</w:t>
      </w:r>
      <w:r>
        <w:rPr>
          <w:rFonts w:cs="Times New Roman"/>
          <w:snapToGrid w:val="0"/>
          <w:color w:val="auto"/>
          <w:spacing w:val="-6"/>
          <w:kern w:val="21"/>
          <w:szCs w:val="21"/>
        </w:rPr>
        <w:fldChar w:fldCharType="end"/>
      </w:r>
      <w:r>
        <w:rPr>
          <w:rFonts w:cs="Times New Roman"/>
          <w:snapToGrid w:val="0"/>
          <w:color w:val="auto"/>
          <w:spacing w:val="-6"/>
          <w:kern w:val="21"/>
          <w:szCs w:val="21"/>
        </w:rPr>
        <w:t>=</w:t>
      </w:r>
      <w:r>
        <w:rPr>
          <w:rFonts w:cs="Times New Roman"/>
          <w:snapToGrid w:val="0"/>
          <w:color w:val="auto"/>
          <w:spacing w:val="-16"/>
          <w:kern w:val="21"/>
          <w:szCs w:val="21"/>
        </w:rPr>
        <w:fldChar w:fldCharType="begin"/>
      </w:r>
      <w:r>
        <w:rPr>
          <w:rFonts w:cs="Times New Roman"/>
          <w:snapToGrid w:val="0"/>
          <w:color w:val="auto"/>
          <w:spacing w:val="-16"/>
          <w:kern w:val="21"/>
          <w:szCs w:val="21"/>
        </w:rPr>
        <w:instrText xml:space="preserve"> = 6 \* GB3 \* MERGEFORMAT </w:instrText>
      </w:r>
      <w:r>
        <w:rPr>
          <w:rFonts w:cs="Times New Roman"/>
          <w:snapToGrid w:val="0"/>
          <w:color w:val="auto"/>
          <w:spacing w:val="-16"/>
          <w:kern w:val="21"/>
          <w:szCs w:val="21"/>
        </w:rPr>
        <w:fldChar w:fldCharType="separate"/>
      </w:r>
      <w:r>
        <w:rPr>
          <w:rFonts w:cs="Times New Roman"/>
          <w:color w:val="auto"/>
          <w:szCs w:val="21"/>
        </w:rPr>
        <w:t>⑥</w:t>
      </w:r>
      <w:r>
        <w:rPr>
          <w:rFonts w:cs="Times New Roman"/>
          <w:snapToGrid w:val="0"/>
          <w:color w:val="auto"/>
          <w:spacing w:val="-16"/>
          <w:kern w:val="21"/>
          <w:szCs w:val="21"/>
        </w:rPr>
        <w:fldChar w:fldCharType="end"/>
      </w:r>
      <w:r>
        <w:rPr>
          <w:rFonts w:cs="Times New Roman"/>
          <w:snapToGrid w:val="0"/>
          <w:color w:val="auto"/>
          <w:spacing w:val="-16"/>
          <w:kern w:val="21"/>
          <w:szCs w:val="21"/>
        </w:rPr>
        <w:t>-</w:t>
      </w:r>
      <w:r>
        <w:rPr>
          <w:rFonts w:cs="Times New Roman"/>
          <w:snapToGrid w:val="0"/>
          <w:color w:val="auto"/>
          <w:spacing w:val="-6"/>
          <w:kern w:val="21"/>
          <w:szCs w:val="21"/>
        </w:rPr>
        <w:fldChar w:fldCharType="begin"/>
      </w:r>
      <w:r>
        <w:rPr>
          <w:rFonts w:cs="Times New Roman"/>
          <w:snapToGrid w:val="0"/>
          <w:color w:val="auto"/>
          <w:spacing w:val="-6"/>
          <w:kern w:val="21"/>
          <w:szCs w:val="21"/>
        </w:rPr>
        <w:instrText xml:space="preserve"> = 1 \* GB3 \* MERGEFORMAT </w:instrText>
      </w:r>
      <w:r>
        <w:rPr>
          <w:rFonts w:cs="Times New Roman"/>
          <w:snapToGrid w:val="0"/>
          <w:color w:val="auto"/>
          <w:spacing w:val="-6"/>
          <w:kern w:val="21"/>
          <w:szCs w:val="21"/>
        </w:rPr>
        <w:fldChar w:fldCharType="separate"/>
      </w:r>
      <w:r>
        <w:rPr>
          <w:rFonts w:cs="Times New Roman"/>
          <w:color w:val="auto"/>
          <w:szCs w:val="21"/>
        </w:rPr>
        <w:t>①</w:t>
      </w:r>
      <w:r>
        <w:rPr>
          <w:rFonts w:cs="Times New Roman"/>
          <w:snapToGrid w:val="0"/>
          <w:color w:val="auto"/>
          <w:spacing w:val="-6"/>
          <w:kern w:val="21"/>
          <w:szCs w:val="21"/>
        </w:rPr>
        <w:fldChar w:fldCharType="end"/>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0829519"/>
    </w:sdtPr>
    <w:sdtContent>
      <w:p w14:paraId="11E5B7B3">
        <w:pPr>
          <w:pStyle w:val="19"/>
          <w:ind w:firstLine="360"/>
          <w:jc w:val="center"/>
        </w:pPr>
        <w:r>
          <w:fldChar w:fldCharType="begin"/>
        </w:r>
        <w:r>
          <w:instrText xml:space="preserve">PAGE   \* MERGEFORMAT</w:instrText>
        </w:r>
        <w:r>
          <w:fldChar w:fldCharType="separate"/>
        </w:r>
        <w:r>
          <w:rPr>
            <w:lang w:val="zh-CN"/>
          </w:rPr>
          <w:t>71</w:t>
        </w:r>
        <w:r>
          <w:rPr>
            <w:lang w:val="zh-CN"/>
          </w:rPr>
          <w:fldChar w:fldCharType="end"/>
        </w:r>
      </w:p>
    </w:sdtContent>
  </w:sdt>
  <w:p w14:paraId="261B7891">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98DA8">
    <w:pPr>
      <w:pStyle w:val="20"/>
      <w:pBdr>
        <w:bottom w:val="none" w:color="auto" w:sz="0" w:space="0"/>
      </w:pBdr>
      <w:spacing w:line="240" w:lineRule="auto"/>
      <w:ind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94D6F"/>
    <w:multiLevelType w:val="singleLevel"/>
    <w:tmpl w:val="EAF94D6F"/>
    <w:lvl w:ilvl="0" w:tentative="0">
      <w:start w:val="1"/>
      <w:numFmt w:val="bullet"/>
      <w:pStyle w:val="1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wZDRiYjQyZmZhOTgxYjMzZTA3MWZhYzkzODlmMWUifQ=="/>
    <w:docVar w:name="KSO_WPS_MARK_KEY" w:val="1e1acf0e-aba4-4d04-b4d8-147d45b5fe4f"/>
  </w:docVars>
  <w:rsids>
    <w:rsidRoot w:val="00252C8D"/>
    <w:rsid w:val="00000A9A"/>
    <w:rsid w:val="00002B44"/>
    <w:rsid w:val="00005DEA"/>
    <w:rsid w:val="000071ED"/>
    <w:rsid w:val="00007BA4"/>
    <w:rsid w:val="00007BDE"/>
    <w:rsid w:val="00007E1B"/>
    <w:rsid w:val="00007F98"/>
    <w:rsid w:val="00011290"/>
    <w:rsid w:val="00011DDC"/>
    <w:rsid w:val="00016A35"/>
    <w:rsid w:val="00017533"/>
    <w:rsid w:val="00017C9A"/>
    <w:rsid w:val="00021F58"/>
    <w:rsid w:val="000224C6"/>
    <w:rsid w:val="00024D1A"/>
    <w:rsid w:val="0002538D"/>
    <w:rsid w:val="0002590E"/>
    <w:rsid w:val="000260A9"/>
    <w:rsid w:val="000268C1"/>
    <w:rsid w:val="000272F4"/>
    <w:rsid w:val="000305B4"/>
    <w:rsid w:val="0003187C"/>
    <w:rsid w:val="0003357C"/>
    <w:rsid w:val="00042379"/>
    <w:rsid w:val="00042EB9"/>
    <w:rsid w:val="00044F38"/>
    <w:rsid w:val="00045BF9"/>
    <w:rsid w:val="00050370"/>
    <w:rsid w:val="00050499"/>
    <w:rsid w:val="000529EA"/>
    <w:rsid w:val="00053BC9"/>
    <w:rsid w:val="00054C05"/>
    <w:rsid w:val="000563D7"/>
    <w:rsid w:val="00056A8F"/>
    <w:rsid w:val="00056E0B"/>
    <w:rsid w:val="00060CD0"/>
    <w:rsid w:val="000636FC"/>
    <w:rsid w:val="0006455A"/>
    <w:rsid w:val="000646CA"/>
    <w:rsid w:val="0006547D"/>
    <w:rsid w:val="00065A65"/>
    <w:rsid w:val="000662EA"/>
    <w:rsid w:val="000669B4"/>
    <w:rsid w:val="000669EF"/>
    <w:rsid w:val="00070E76"/>
    <w:rsid w:val="000712BF"/>
    <w:rsid w:val="00072A17"/>
    <w:rsid w:val="00073CBE"/>
    <w:rsid w:val="000748DC"/>
    <w:rsid w:val="00075CFA"/>
    <w:rsid w:val="000761C2"/>
    <w:rsid w:val="000777AE"/>
    <w:rsid w:val="00077D7A"/>
    <w:rsid w:val="00082251"/>
    <w:rsid w:val="00087D33"/>
    <w:rsid w:val="00092F24"/>
    <w:rsid w:val="000941FE"/>
    <w:rsid w:val="000963B5"/>
    <w:rsid w:val="0009695D"/>
    <w:rsid w:val="00097F73"/>
    <w:rsid w:val="000A0623"/>
    <w:rsid w:val="000A1638"/>
    <w:rsid w:val="000A4706"/>
    <w:rsid w:val="000A71F0"/>
    <w:rsid w:val="000A75EB"/>
    <w:rsid w:val="000B0179"/>
    <w:rsid w:val="000B35ED"/>
    <w:rsid w:val="000B3A4A"/>
    <w:rsid w:val="000B4216"/>
    <w:rsid w:val="000B4BC7"/>
    <w:rsid w:val="000B7640"/>
    <w:rsid w:val="000C127B"/>
    <w:rsid w:val="000C1292"/>
    <w:rsid w:val="000C1406"/>
    <w:rsid w:val="000C2254"/>
    <w:rsid w:val="000C316A"/>
    <w:rsid w:val="000C479D"/>
    <w:rsid w:val="000C4CEC"/>
    <w:rsid w:val="000C5940"/>
    <w:rsid w:val="000C6471"/>
    <w:rsid w:val="000C77C2"/>
    <w:rsid w:val="000C7A73"/>
    <w:rsid w:val="000C7E95"/>
    <w:rsid w:val="000D2FB6"/>
    <w:rsid w:val="000D390D"/>
    <w:rsid w:val="000D3E59"/>
    <w:rsid w:val="000D4318"/>
    <w:rsid w:val="000D4CDA"/>
    <w:rsid w:val="000D4DDB"/>
    <w:rsid w:val="000D5C4B"/>
    <w:rsid w:val="000D61FE"/>
    <w:rsid w:val="000D6371"/>
    <w:rsid w:val="000E414E"/>
    <w:rsid w:val="000E69CB"/>
    <w:rsid w:val="000E73B6"/>
    <w:rsid w:val="000E7684"/>
    <w:rsid w:val="000F101F"/>
    <w:rsid w:val="000F1E7D"/>
    <w:rsid w:val="000F2F45"/>
    <w:rsid w:val="000F37AF"/>
    <w:rsid w:val="000F5075"/>
    <w:rsid w:val="000F68FB"/>
    <w:rsid w:val="001010F4"/>
    <w:rsid w:val="00101FB5"/>
    <w:rsid w:val="00102138"/>
    <w:rsid w:val="00102944"/>
    <w:rsid w:val="00103C44"/>
    <w:rsid w:val="0011065F"/>
    <w:rsid w:val="00113412"/>
    <w:rsid w:val="001146C8"/>
    <w:rsid w:val="001154CB"/>
    <w:rsid w:val="001164DA"/>
    <w:rsid w:val="00116B37"/>
    <w:rsid w:val="001171B9"/>
    <w:rsid w:val="00117571"/>
    <w:rsid w:val="00117799"/>
    <w:rsid w:val="00117A43"/>
    <w:rsid w:val="00117EC0"/>
    <w:rsid w:val="0012000A"/>
    <w:rsid w:val="00120BAF"/>
    <w:rsid w:val="00120E58"/>
    <w:rsid w:val="001216B9"/>
    <w:rsid w:val="00122327"/>
    <w:rsid w:val="001223CF"/>
    <w:rsid w:val="00122ABB"/>
    <w:rsid w:val="001230C3"/>
    <w:rsid w:val="00124087"/>
    <w:rsid w:val="001240E7"/>
    <w:rsid w:val="00124B13"/>
    <w:rsid w:val="00125563"/>
    <w:rsid w:val="001270A1"/>
    <w:rsid w:val="0013280F"/>
    <w:rsid w:val="00132E8D"/>
    <w:rsid w:val="001330C8"/>
    <w:rsid w:val="00133BB7"/>
    <w:rsid w:val="001353D8"/>
    <w:rsid w:val="001379B0"/>
    <w:rsid w:val="00140C7C"/>
    <w:rsid w:val="001410A2"/>
    <w:rsid w:val="00141FFC"/>
    <w:rsid w:val="00142788"/>
    <w:rsid w:val="00145303"/>
    <w:rsid w:val="00146AB1"/>
    <w:rsid w:val="00150A1D"/>
    <w:rsid w:val="0015306A"/>
    <w:rsid w:val="001542C9"/>
    <w:rsid w:val="001557A9"/>
    <w:rsid w:val="00155C6F"/>
    <w:rsid w:val="00161ED4"/>
    <w:rsid w:val="00162013"/>
    <w:rsid w:val="00165BBC"/>
    <w:rsid w:val="00167601"/>
    <w:rsid w:val="00167C85"/>
    <w:rsid w:val="00171003"/>
    <w:rsid w:val="00171473"/>
    <w:rsid w:val="00173D60"/>
    <w:rsid w:val="00174517"/>
    <w:rsid w:val="00174E39"/>
    <w:rsid w:val="001767A6"/>
    <w:rsid w:val="001767E3"/>
    <w:rsid w:val="0017729A"/>
    <w:rsid w:val="0018059B"/>
    <w:rsid w:val="001809F9"/>
    <w:rsid w:val="001834FA"/>
    <w:rsid w:val="0018402A"/>
    <w:rsid w:val="001843ED"/>
    <w:rsid w:val="001861A5"/>
    <w:rsid w:val="00186AEC"/>
    <w:rsid w:val="00190230"/>
    <w:rsid w:val="001925C0"/>
    <w:rsid w:val="00192FC1"/>
    <w:rsid w:val="0019395C"/>
    <w:rsid w:val="00193B8D"/>
    <w:rsid w:val="001954D3"/>
    <w:rsid w:val="00195E16"/>
    <w:rsid w:val="00195FBF"/>
    <w:rsid w:val="00196309"/>
    <w:rsid w:val="00196A1F"/>
    <w:rsid w:val="001A135F"/>
    <w:rsid w:val="001A31D6"/>
    <w:rsid w:val="001A5365"/>
    <w:rsid w:val="001A6152"/>
    <w:rsid w:val="001A6162"/>
    <w:rsid w:val="001A6D71"/>
    <w:rsid w:val="001B1AEA"/>
    <w:rsid w:val="001B2F70"/>
    <w:rsid w:val="001B3CF2"/>
    <w:rsid w:val="001B47BE"/>
    <w:rsid w:val="001B57D1"/>
    <w:rsid w:val="001B6643"/>
    <w:rsid w:val="001C28A6"/>
    <w:rsid w:val="001C50B1"/>
    <w:rsid w:val="001C7A56"/>
    <w:rsid w:val="001D18B9"/>
    <w:rsid w:val="001D1BB8"/>
    <w:rsid w:val="001D37B9"/>
    <w:rsid w:val="001D5084"/>
    <w:rsid w:val="001D5F11"/>
    <w:rsid w:val="001D6614"/>
    <w:rsid w:val="001D7915"/>
    <w:rsid w:val="001E0F51"/>
    <w:rsid w:val="001E1982"/>
    <w:rsid w:val="001E314D"/>
    <w:rsid w:val="001E4786"/>
    <w:rsid w:val="001E5F09"/>
    <w:rsid w:val="001E6560"/>
    <w:rsid w:val="001F0015"/>
    <w:rsid w:val="001F0468"/>
    <w:rsid w:val="001F0A43"/>
    <w:rsid w:val="001F0E6A"/>
    <w:rsid w:val="001F0E70"/>
    <w:rsid w:val="001F1040"/>
    <w:rsid w:val="001F1221"/>
    <w:rsid w:val="001F2449"/>
    <w:rsid w:val="001F2AF2"/>
    <w:rsid w:val="001F524A"/>
    <w:rsid w:val="001F6671"/>
    <w:rsid w:val="00200281"/>
    <w:rsid w:val="00201103"/>
    <w:rsid w:val="00202ACD"/>
    <w:rsid w:val="002038D0"/>
    <w:rsid w:val="00203A16"/>
    <w:rsid w:val="00204394"/>
    <w:rsid w:val="00204AAF"/>
    <w:rsid w:val="002108E5"/>
    <w:rsid w:val="0021180B"/>
    <w:rsid w:val="00212DE0"/>
    <w:rsid w:val="00213106"/>
    <w:rsid w:val="0021420D"/>
    <w:rsid w:val="002151C7"/>
    <w:rsid w:val="00216B81"/>
    <w:rsid w:val="00220EF4"/>
    <w:rsid w:val="0022137F"/>
    <w:rsid w:val="0022250F"/>
    <w:rsid w:val="00223EF9"/>
    <w:rsid w:val="00227E0C"/>
    <w:rsid w:val="002311C9"/>
    <w:rsid w:val="002335C6"/>
    <w:rsid w:val="00233E8F"/>
    <w:rsid w:val="00234698"/>
    <w:rsid w:val="00235C83"/>
    <w:rsid w:val="002360D1"/>
    <w:rsid w:val="0023638E"/>
    <w:rsid w:val="00236861"/>
    <w:rsid w:val="00237F38"/>
    <w:rsid w:val="00240A80"/>
    <w:rsid w:val="00240DAA"/>
    <w:rsid w:val="00244090"/>
    <w:rsid w:val="002441E2"/>
    <w:rsid w:val="00246EAC"/>
    <w:rsid w:val="002505C5"/>
    <w:rsid w:val="00252515"/>
    <w:rsid w:val="00252C8D"/>
    <w:rsid w:val="0025638C"/>
    <w:rsid w:val="00256C01"/>
    <w:rsid w:val="002576BE"/>
    <w:rsid w:val="00257AE5"/>
    <w:rsid w:val="00261296"/>
    <w:rsid w:val="00262A62"/>
    <w:rsid w:val="00263EB6"/>
    <w:rsid w:val="002644DF"/>
    <w:rsid w:val="00266051"/>
    <w:rsid w:val="00270669"/>
    <w:rsid w:val="00270AC3"/>
    <w:rsid w:val="0027157C"/>
    <w:rsid w:val="00272048"/>
    <w:rsid w:val="00273869"/>
    <w:rsid w:val="002744BD"/>
    <w:rsid w:val="002744CF"/>
    <w:rsid w:val="00275BF9"/>
    <w:rsid w:val="00281603"/>
    <w:rsid w:val="00283F94"/>
    <w:rsid w:val="00290B18"/>
    <w:rsid w:val="00291E8F"/>
    <w:rsid w:val="00292639"/>
    <w:rsid w:val="00297C36"/>
    <w:rsid w:val="002A2507"/>
    <w:rsid w:val="002A5D91"/>
    <w:rsid w:val="002A61AB"/>
    <w:rsid w:val="002A627C"/>
    <w:rsid w:val="002B2A69"/>
    <w:rsid w:val="002B3935"/>
    <w:rsid w:val="002C06ED"/>
    <w:rsid w:val="002C1552"/>
    <w:rsid w:val="002C18DD"/>
    <w:rsid w:val="002C2DDD"/>
    <w:rsid w:val="002C33BE"/>
    <w:rsid w:val="002C534C"/>
    <w:rsid w:val="002C61EF"/>
    <w:rsid w:val="002C7BE1"/>
    <w:rsid w:val="002D02B6"/>
    <w:rsid w:val="002D097E"/>
    <w:rsid w:val="002D0AFB"/>
    <w:rsid w:val="002D18F3"/>
    <w:rsid w:val="002D239B"/>
    <w:rsid w:val="002D29E4"/>
    <w:rsid w:val="002D2A46"/>
    <w:rsid w:val="002D5579"/>
    <w:rsid w:val="002D6CB6"/>
    <w:rsid w:val="002E098B"/>
    <w:rsid w:val="002E13C4"/>
    <w:rsid w:val="002E1C55"/>
    <w:rsid w:val="002E23E1"/>
    <w:rsid w:val="002E3219"/>
    <w:rsid w:val="002E5896"/>
    <w:rsid w:val="002E60F6"/>
    <w:rsid w:val="002F25E1"/>
    <w:rsid w:val="002F2973"/>
    <w:rsid w:val="002F4024"/>
    <w:rsid w:val="002F4700"/>
    <w:rsid w:val="002F64F0"/>
    <w:rsid w:val="003002F9"/>
    <w:rsid w:val="003025AC"/>
    <w:rsid w:val="0030262B"/>
    <w:rsid w:val="00302BBC"/>
    <w:rsid w:val="00302C95"/>
    <w:rsid w:val="00303F9D"/>
    <w:rsid w:val="00304C0A"/>
    <w:rsid w:val="003062FC"/>
    <w:rsid w:val="00306BAD"/>
    <w:rsid w:val="00307660"/>
    <w:rsid w:val="00310089"/>
    <w:rsid w:val="00311299"/>
    <w:rsid w:val="003117EA"/>
    <w:rsid w:val="00311C6E"/>
    <w:rsid w:val="00312180"/>
    <w:rsid w:val="003128EB"/>
    <w:rsid w:val="00312B0B"/>
    <w:rsid w:val="00316843"/>
    <w:rsid w:val="0031774B"/>
    <w:rsid w:val="0031784B"/>
    <w:rsid w:val="0032082B"/>
    <w:rsid w:val="00322CDA"/>
    <w:rsid w:val="00323283"/>
    <w:rsid w:val="00324253"/>
    <w:rsid w:val="003265E6"/>
    <w:rsid w:val="00326CEC"/>
    <w:rsid w:val="003276FE"/>
    <w:rsid w:val="00330DC3"/>
    <w:rsid w:val="00332498"/>
    <w:rsid w:val="0033353C"/>
    <w:rsid w:val="003346AD"/>
    <w:rsid w:val="003354D1"/>
    <w:rsid w:val="00337020"/>
    <w:rsid w:val="003421BA"/>
    <w:rsid w:val="0034298E"/>
    <w:rsid w:val="003429DA"/>
    <w:rsid w:val="003507E8"/>
    <w:rsid w:val="003522D2"/>
    <w:rsid w:val="00353AEA"/>
    <w:rsid w:val="003555E2"/>
    <w:rsid w:val="0035570B"/>
    <w:rsid w:val="00355849"/>
    <w:rsid w:val="00360D18"/>
    <w:rsid w:val="00360E5B"/>
    <w:rsid w:val="00361B9E"/>
    <w:rsid w:val="003631FD"/>
    <w:rsid w:val="00363324"/>
    <w:rsid w:val="00367F58"/>
    <w:rsid w:val="0037118B"/>
    <w:rsid w:val="00372B4B"/>
    <w:rsid w:val="00374586"/>
    <w:rsid w:val="00374EEB"/>
    <w:rsid w:val="0037653C"/>
    <w:rsid w:val="0037662F"/>
    <w:rsid w:val="00380C67"/>
    <w:rsid w:val="00381A9F"/>
    <w:rsid w:val="00381FCE"/>
    <w:rsid w:val="00382633"/>
    <w:rsid w:val="003854EF"/>
    <w:rsid w:val="00385522"/>
    <w:rsid w:val="00386019"/>
    <w:rsid w:val="00386E5A"/>
    <w:rsid w:val="00386F2C"/>
    <w:rsid w:val="003914DA"/>
    <w:rsid w:val="00391871"/>
    <w:rsid w:val="003936D1"/>
    <w:rsid w:val="00393C4B"/>
    <w:rsid w:val="00394A90"/>
    <w:rsid w:val="003956A3"/>
    <w:rsid w:val="00396EFB"/>
    <w:rsid w:val="003970CD"/>
    <w:rsid w:val="003975A5"/>
    <w:rsid w:val="003A03D9"/>
    <w:rsid w:val="003A0914"/>
    <w:rsid w:val="003A6164"/>
    <w:rsid w:val="003A718D"/>
    <w:rsid w:val="003A7F72"/>
    <w:rsid w:val="003B2662"/>
    <w:rsid w:val="003B2C77"/>
    <w:rsid w:val="003B4237"/>
    <w:rsid w:val="003B6D12"/>
    <w:rsid w:val="003B6FF0"/>
    <w:rsid w:val="003C0695"/>
    <w:rsid w:val="003C1E06"/>
    <w:rsid w:val="003C31C6"/>
    <w:rsid w:val="003C4A95"/>
    <w:rsid w:val="003C4F4E"/>
    <w:rsid w:val="003C622A"/>
    <w:rsid w:val="003C7E46"/>
    <w:rsid w:val="003D07CA"/>
    <w:rsid w:val="003D19EF"/>
    <w:rsid w:val="003D3A4D"/>
    <w:rsid w:val="003D43C5"/>
    <w:rsid w:val="003D59F7"/>
    <w:rsid w:val="003D7023"/>
    <w:rsid w:val="003E0445"/>
    <w:rsid w:val="003E0CF1"/>
    <w:rsid w:val="003E159B"/>
    <w:rsid w:val="003E5002"/>
    <w:rsid w:val="003F0F40"/>
    <w:rsid w:val="003F2176"/>
    <w:rsid w:val="003F25AD"/>
    <w:rsid w:val="003F3065"/>
    <w:rsid w:val="003F5613"/>
    <w:rsid w:val="003F6892"/>
    <w:rsid w:val="00400348"/>
    <w:rsid w:val="004004A3"/>
    <w:rsid w:val="00401C3E"/>
    <w:rsid w:val="00403618"/>
    <w:rsid w:val="004040A2"/>
    <w:rsid w:val="00405E42"/>
    <w:rsid w:val="00406D35"/>
    <w:rsid w:val="00410220"/>
    <w:rsid w:val="00411CA3"/>
    <w:rsid w:val="00412276"/>
    <w:rsid w:val="004125B0"/>
    <w:rsid w:val="0041444D"/>
    <w:rsid w:val="00415B61"/>
    <w:rsid w:val="00415C77"/>
    <w:rsid w:val="00416708"/>
    <w:rsid w:val="00417D52"/>
    <w:rsid w:val="004203B4"/>
    <w:rsid w:val="00420844"/>
    <w:rsid w:val="004220D2"/>
    <w:rsid w:val="004224CB"/>
    <w:rsid w:val="00423209"/>
    <w:rsid w:val="00423FD5"/>
    <w:rsid w:val="00425430"/>
    <w:rsid w:val="00425AAB"/>
    <w:rsid w:val="00425EA4"/>
    <w:rsid w:val="00426DB5"/>
    <w:rsid w:val="00430921"/>
    <w:rsid w:val="0043223A"/>
    <w:rsid w:val="00432603"/>
    <w:rsid w:val="004328DB"/>
    <w:rsid w:val="00433201"/>
    <w:rsid w:val="004341A1"/>
    <w:rsid w:val="00434A42"/>
    <w:rsid w:val="004356AA"/>
    <w:rsid w:val="00436A60"/>
    <w:rsid w:val="00436E0A"/>
    <w:rsid w:val="00441C10"/>
    <w:rsid w:val="00443354"/>
    <w:rsid w:val="00445407"/>
    <w:rsid w:val="00445A3E"/>
    <w:rsid w:val="004460CA"/>
    <w:rsid w:val="00450117"/>
    <w:rsid w:val="00453405"/>
    <w:rsid w:val="00455887"/>
    <w:rsid w:val="004558C2"/>
    <w:rsid w:val="00456786"/>
    <w:rsid w:val="0046046B"/>
    <w:rsid w:val="00463662"/>
    <w:rsid w:val="00463791"/>
    <w:rsid w:val="00467447"/>
    <w:rsid w:val="004677B9"/>
    <w:rsid w:val="004742D3"/>
    <w:rsid w:val="00476268"/>
    <w:rsid w:val="00480361"/>
    <w:rsid w:val="00481630"/>
    <w:rsid w:val="004829C9"/>
    <w:rsid w:val="0048390B"/>
    <w:rsid w:val="0048414F"/>
    <w:rsid w:val="0048451A"/>
    <w:rsid w:val="00486D20"/>
    <w:rsid w:val="0049053F"/>
    <w:rsid w:val="00493381"/>
    <w:rsid w:val="004943DE"/>
    <w:rsid w:val="00495F31"/>
    <w:rsid w:val="004977A2"/>
    <w:rsid w:val="004979EB"/>
    <w:rsid w:val="004A0E6D"/>
    <w:rsid w:val="004A115A"/>
    <w:rsid w:val="004A1E24"/>
    <w:rsid w:val="004A242D"/>
    <w:rsid w:val="004A2C7F"/>
    <w:rsid w:val="004A59CF"/>
    <w:rsid w:val="004A6B63"/>
    <w:rsid w:val="004B0E6E"/>
    <w:rsid w:val="004B1333"/>
    <w:rsid w:val="004B2B69"/>
    <w:rsid w:val="004B5921"/>
    <w:rsid w:val="004B5FCD"/>
    <w:rsid w:val="004B68DF"/>
    <w:rsid w:val="004B707F"/>
    <w:rsid w:val="004B7215"/>
    <w:rsid w:val="004B78A0"/>
    <w:rsid w:val="004C0B01"/>
    <w:rsid w:val="004C231E"/>
    <w:rsid w:val="004C393E"/>
    <w:rsid w:val="004C4204"/>
    <w:rsid w:val="004C517A"/>
    <w:rsid w:val="004C5B67"/>
    <w:rsid w:val="004C71B9"/>
    <w:rsid w:val="004D112C"/>
    <w:rsid w:val="004D1C2E"/>
    <w:rsid w:val="004D4425"/>
    <w:rsid w:val="004E0E8F"/>
    <w:rsid w:val="004E3810"/>
    <w:rsid w:val="004E4441"/>
    <w:rsid w:val="004E6CC2"/>
    <w:rsid w:val="004F0B6C"/>
    <w:rsid w:val="004F1EC3"/>
    <w:rsid w:val="004F2084"/>
    <w:rsid w:val="004F297F"/>
    <w:rsid w:val="004F3718"/>
    <w:rsid w:val="004F4748"/>
    <w:rsid w:val="004F4895"/>
    <w:rsid w:val="004F6095"/>
    <w:rsid w:val="004F62C1"/>
    <w:rsid w:val="004F6502"/>
    <w:rsid w:val="005003E3"/>
    <w:rsid w:val="00500AB0"/>
    <w:rsid w:val="00501AC3"/>
    <w:rsid w:val="00503A87"/>
    <w:rsid w:val="00504D73"/>
    <w:rsid w:val="0050523A"/>
    <w:rsid w:val="005069D9"/>
    <w:rsid w:val="0050762B"/>
    <w:rsid w:val="00510643"/>
    <w:rsid w:val="0051089F"/>
    <w:rsid w:val="0051212E"/>
    <w:rsid w:val="00513D5D"/>
    <w:rsid w:val="005143E7"/>
    <w:rsid w:val="00517F48"/>
    <w:rsid w:val="0052147F"/>
    <w:rsid w:val="0052148E"/>
    <w:rsid w:val="005231F1"/>
    <w:rsid w:val="00523ED3"/>
    <w:rsid w:val="005244FF"/>
    <w:rsid w:val="00527A1D"/>
    <w:rsid w:val="005303D7"/>
    <w:rsid w:val="00530CDB"/>
    <w:rsid w:val="00533647"/>
    <w:rsid w:val="0053439F"/>
    <w:rsid w:val="00534BD4"/>
    <w:rsid w:val="00535088"/>
    <w:rsid w:val="00536018"/>
    <w:rsid w:val="00540FD3"/>
    <w:rsid w:val="00541354"/>
    <w:rsid w:val="005449E4"/>
    <w:rsid w:val="00552682"/>
    <w:rsid w:val="005537FD"/>
    <w:rsid w:val="00553DBA"/>
    <w:rsid w:val="00555428"/>
    <w:rsid w:val="005559DD"/>
    <w:rsid w:val="00555CFC"/>
    <w:rsid w:val="00560788"/>
    <w:rsid w:val="0056206B"/>
    <w:rsid w:val="0056329B"/>
    <w:rsid w:val="00566869"/>
    <w:rsid w:val="005708A0"/>
    <w:rsid w:val="00570C6B"/>
    <w:rsid w:val="00572042"/>
    <w:rsid w:val="005720FC"/>
    <w:rsid w:val="005722CE"/>
    <w:rsid w:val="005727CB"/>
    <w:rsid w:val="005728C1"/>
    <w:rsid w:val="00572D52"/>
    <w:rsid w:val="0057623A"/>
    <w:rsid w:val="00576D0B"/>
    <w:rsid w:val="00577798"/>
    <w:rsid w:val="005817E2"/>
    <w:rsid w:val="0058346C"/>
    <w:rsid w:val="00587B49"/>
    <w:rsid w:val="00590430"/>
    <w:rsid w:val="00591672"/>
    <w:rsid w:val="005919F0"/>
    <w:rsid w:val="00591C04"/>
    <w:rsid w:val="00593076"/>
    <w:rsid w:val="005937C7"/>
    <w:rsid w:val="0059473C"/>
    <w:rsid w:val="005956E8"/>
    <w:rsid w:val="00595CF9"/>
    <w:rsid w:val="005A0786"/>
    <w:rsid w:val="005A14B9"/>
    <w:rsid w:val="005A2A11"/>
    <w:rsid w:val="005A4103"/>
    <w:rsid w:val="005A50F4"/>
    <w:rsid w:val="005A5A00"/>
    <w:rsid w:val="005A5AD5"/>
    <w:rsid w:val="005A6110"/>
    <w:rsid w:val="005B0214"/>
    <w:rsid w:val="005B084C"/>
    <w:rsid w:val="005B1C5B"/>
    <w:rsid w:val="005B1E21"/>
    <w:rsid w:val="005B366A"/>
    <w:rsid w:val="005B5BED"/>
    <w:rsid w:val="005B5C30"/>
    <w:rsid w:val="005B5D4D"/>
    <w:rsid w:val="005C035F"/>
    <w:rsid w:val="005C19C2"/>
    <w:rsid w:val="005C282C"/>
    <w:rsid w:val="005C670C"/>
    <w:rsid w:val="005D0544"/>
    <w:rsid w:val="005D1924"/>
    <w:rsid w:val="005D1C3F"/>
    <w:rsid w:val="005D1FCC"/>
    <w:rsid w:val="005D6260"/>
    <w:rsid w:val="005D6B5A"/>
    <w:rsid w:val="005D7B31"/>
    <w:rsid w:val="005E03D8"/>
    <w:rsid w:val="005E171B"/>
    <w:rsid w:val="005E1916"/>
    <w:rsid w:val="005E1E2D"/>
    <w:rsid w:val="005E2194"/>
    <w:rsid w:val="005E322E"/>
    <w:rsid w:val="005E3B87"/>
    <w:rsid w:val="005E5879"/>
    <w:rsid w:val="005F071D"/>
    <w:rsid w:val="005F149B"/>
    <w:rsid w:val="005F18E9"/>
    <w:rsid w:val="005F1C75"/>
    <w:rsid w:val="005F1D30"/>
    <w:rsid w:val="005F362E"/>
    <w:rsid w:val="005F648E"/>
    <w:rsid w:val="005F6E3E"/>
    <w:rsid w:val="006004B3"/>
    <w:rsid w:val="00601BDA"/>
    <w:rsid w:val="00603DB7"/>
    <w:rsid w:val="00604A4D"/>
    <w:rsid w:val="006055AF"/>
    <w:rsid w:val="00606360"/>
    <w:rsid w:val="00607B07"/>
    <w:rsid w:val="00610196"/>
    <w:rsid w:val="006142C2"/>
    <w:rsid w:val="00615106"/>
    <w:rsid w:val="00615F4B"/>
    <w:rsid w:val="006177A1"/>
    <w:rsid w:val="006205C7"/>
    <w:rsid w:val="00621718"/>
    <w:rsid w:val="00621D21"/>
    <w:rsid w:val="0062218C"/>
    <w:rsid w:val="0062285B"/>
    <w:rsid w:val="00623743"/>
    <w:rsid w:val="00625965"/>
    <w:rsid w:val="00626277"/>
    <w:rsid w:val="006322C0"/>
    <w:rsid w:val="00633BFB"/>
    <w:rsid w:val="006348D3"/>
    <w:rsid w:val="00635943"/>
    <w:rsid w:val="00635E1B"/>
    <w:rsid w:val="00637DD8"/>
    <w:rsid w:val="006422A0"/>
    <w:rsid w:val="006429EA"/>
    <w:rsid w:val="00645F8E"/>
    <w:rsid w:val="00650BB0"/>
    <w:rsid w:val="0065176E"/>
    <w:rsid w:val="00651D02"/>
    <w:rsid w:val="00652EB7"/>
    <w:rsid w:val="006535AC"/>
    <w:rsid w:val="00654565"/>
    <w:rsid w:val="0065524F"/>
    <w:rsid w:val="006554A4"/>
    <w:rsid w:val="006559DE"/>
    <w:rsid w:val="00655D5A"/>
    <w:rsid w:val="00655E20"/>
    <w:rsid w:val="00660CDF"/>
    <w:rsid w:val="0066188D"/>
    <w:rsid w:val="00662DF2"/>
    <w:rsid w:val="0066373A"/>
    <w:rsid w:val="00664EE1"/>
    <w:rsid w:val="00666AF5"/>
    <w:rsid w:val="00670D16"/>
    <w:rsid w:val="00673376"/>
    <w:rsid w:val="0067356F"/>
    <w:rsid w:val="006737DC"/>
    <w:rsid w:val="00673CB0"/>
    <w:rsid w:val="00673D54"/>
    <w:rsid w:val="00674DCA"/>
    <w:rsid w:val="00674FF0"/>
    <w:rsid w:val="00675DB6"/>
    <w:rsid w:val="00675F4D"/>
    <w:rsid w:val="006763F9"/>
    <w:rsid w:val="00677CA3"/>
    <w:rsid w:val="006809E3"/>
    <w:rsid w:val="00681DBD"/>
    <w:rsid w:val="00684F97"/>
    <w:rsid w:val="006858C3"/>
    <w:rsid w:val="00685BB3"/>
    <w:rsid w:val="006874AF"/>
    <w:rsid w:val="00690598"/>
    <w:rsid w:val="00692395"/>
    <w:rsid w:val="00692E8A"/>
    <w:rsid w:val="006946EF"/>
    <w:rsid w:val="006948C7"/>
    <w:rsid w:val="00694C58"/>
    <w:rsid w:val="006A003E"/>
    <w:rsid w:val="006A0E2F"/>
    <w:rsid w:val="006A30E0"/>
    <w:rsid w:val="006A46FC"/>
    <w:rsid w:val="006A75E3"/>
    <w:rsid w:val="006A7E07"/>
    <w:rsid w:val="006B03CB"/>
    <w:rsid w:val="006B094F"/>
    <w:rsid w:val="006B098B"/>
    <w:rsid w:val="006B21B8"/>
    <w:rsid w:val="006B2D9B"/>
    <w:rsid w:val="006B2F57"/>
    <w:rsid w:val="006B48C5"/>
    <w:rsid w:val="006B51FA"/>
    <w:rsid w:val="006C2392"/>
    <w:rsid w:val="006C3C19"/>
    <w:rsid w:val="006C5EF2"/>
    <w:rsid w:val="006D0681"/>
    <w:rsid w:val="006D18D8"/>
    <w:rsid w:val="006D1C5B"/>
    <w:rsid w:val="006D20AF"/>
    <w:rsid w:val="006D3A7F"/>
    <w:rsid w:val="006D3B4E"/>
    <w:rsid w:val="006D4A78"/>
    <w:rsid w:val="006D4BEA"/>
    <w:rsid w:val="006D561A"/>
    <w:rsid w:val="006D6C3C"/>
    <w:rsid w:val="006D728B"/>
    <w:rsid w:val="006D761C"/>
    <w:rsid w:val="006D7B2F"/>
    <w:rsid w:val="006E07AF"/>
    <w:rsid w:val="006E0B24"/>
    <w:rsid w:val="006E0D45"/>
    <w:rsid w:val="006E0EED"/>
    <w:rsid w:val="006E5C75"/>
    <w:rsid w:val="006E6AAE"/>
    <w:rsid w:val="006E743E"/>
    <w:rsid w:val="006F0A32"/>
    <w:rsid w:val="006F128E"/>
    <w:rsid w:val="006F1587"/>
    <w:rsid w:val="006F17F3"/>
    <w:rsid w:val="006F23B8"/>
    <w:rsid w:val="006F2CB9"/>
    <w:rsid w:val="006F39E0"/>
    <w:rsid w:val="006F4192"/>
    <w:rsid w:val="006F5B55"/>
    <w:rsid w:val="006F5EAA"/>
    <w:rsid w:val="006F7099"/>
    <w:rsid w:val="006F7356"/>
    <w:rsid w:val="007022D0"/>
    <w:rsid w:val="00702F49"/>
    <w:rsid w:val="0070736A"/>
    <w:rsid w:val="00707B4E"/>
    <w:rsid w:val="00707FF8"/>
    <w:rsid w:val="00710DC1"/>
    <w:rsid w:val="00711C81"/>
    <w:rsid w:val="0071449A"/>
    <w:rsid w:val="00714F69"/>
    <w:rsid w:val="00715154"/>
    <w:rsid w:val="00715E5A"/>
    <w:rsid w:val="00716D02"/>
    <w:rsid w:val="007177D0"/>
    <w:rsid w:val="00717878"/>
    <w:rsid w:val="007221CE"/>
    <w:rsid w:val="0072272B"/>
    <w:rsid w:val="007235FB"/>
    <w:rsid w:val="007266AA"/>
    <w:rsid w:val="00727442"/>
    <w:rsid w:val="00731433"/>
    <w:rsid w:val="00731D3A"/>
    <w:rsid w:val="0073475A"/>
    <w:rsid w:val="00736E5F"/>
    <w:rsid w:val="00744729"/>
    <w:rsid w:val="00745B0B"/>
    <w:rsid w:val="0074669C"/>
    <w:rsid w:val="00750C87"/>
    <w:rsid w:val="007514DB"/>
    <w:rsid w:val="007524F3"/>
    <w:rsid w:val="0075258C"/>
    <w:rsid w:val="00753223"/>
    <w:rsid w:val="007550FB"/>
    <w:rsid w:val="00755972"/>
    <w:rsid w:val="00757500"/>
    <w:rsid w:val="00757B3A"/>
    <w:rsid w:val="00757F09"/>
    <w:rsid w:val="0076155C"/>
    <w:rsid w:val="00763895"/>
    <w:rsid w:val="0076427E"/>
    <w:rsid w:val="0076484F"/>
    <w:rsid w:val="00765FAC"/>
    <w:rsid w:val="00766862"/>
    <w:rsid w:val="00767FA2"/>
    <w:rsid w:val="0077113E"/>
    <w:rsid w:val="00771CEA"/>
    <w:rsid w:val="00772A33"/>
    <w:rsid w:val="0077755A"/>
    <w:rsid w:val="00780EF8"/>
    <w:rsid w:val="00781A9A"/>
    <w:rsid w:val="00781BDC"/>
    <w:rsid w:val="00782CD4"/>
    <w:rsid w:val="00784707"/>
    <w:rsid w:val="007851B6"/>
    <w:rsid w:val="00786FDF"/>
    <w:rsid w:val="00787972"/>
    <w:rsid w:val="00791844"/>
    <w:rsid w:val="007939BF"/>
    <w:rsid w:val="00794DD2"/>
    <w:rsid w:val="007973C1"/>
    <w:rsid w:val="00797914"/>
    <w:rsid w:val="00797E89"/>
    <w:rsid w:val="007A2981"/>
    <w:rsid w:val="007A2C52"/>
    <w:rsid w:val="007A3547"/>
    <w:rsid w:val="007A4B0A"/>
    <w:rsid w:val="007A4B53"/>
    <w:rsid w:val="007A6062"/>
    <w:rsid w:val="007A6AB9"/>
    <w:rsid w:val="007B010F"/>
    <w:rsid w:val="007B0DAC"/>
    <w:rsid w:val="007B1FD1"/>
    <w:rsid w:val="007B2AA2"/>
    <w:rsid w:val="007B2B61"/>
    <w:rsid w:val="007B4EBD"/>
    <w:rsid w:val="007B530E"/>
    <w:rsid w:val="007B61FB"/>
    <w:rsid w:val="007B6E12"/>
    <w:rsid w:val="007C0759"/>
    <w:rsid w:val="007C1324"/>
    <w:rsid w:val="007C36A1"/>
    <w:rsid w:val="007C3972"/>
    <w:rsid w:val="007C3EC5"/>
    <w:rsid w:val="007C4346"/>
    <w:rsid w:val="007C49F2"/>
    <w:rsid w:val="007C50F3"/>
    <w:rsid w:val="007D09BD"/>
    <w:rsid w:val="007D179B"/>
    <w:rsid w:val="007D3539"/>
    <w:rsid w:val="007D3973"/>
    <w:rsid w:val="007D4081"/>
    <w:rsid w:val="007D6AB8"/>
    <w:rsid w:val="007D7861"/>
    <w:rsid w:val="007E0493"/>
    <w:rsid w:val="007E16DB"/>
    <w:rsid w:val="007E1B93"/>
    <w:rsid w:val="007E2000"/>
    <w:rsid w:val="007E3CDC"/>
    <w:rsid w:val="007E484C"/>
    <w:rsid w:val="007E6044"/>
    <w:rsid w:val="007E661A"/>
    <w:rsid w:val="007E7EA0"/>
    <w:rsid w:val="007F0281"/>
    <w:rsid w:val="007F0283"/>
    <w:rsid w:val="007F0401"/>
    <w:rsid w:val="007F1DCA"/>
    <w:rsid w:val="007F26FC"/>
    <w:rsid w:val="007F2D07"/>
    <w:rsid w:val="007F34BD"/>
    <w:rsid w:val="007F3A33"/>
    <w:rsid w:val="007F3B2D"/>
    <w:rsid w:val="007F3C93"/>
    <w:rsid w:val="007F4139"/>
    <w:rsid w:val="007F5293"/>
    <w:rsid w:val="007F66CA"/>
    <w:rsid w:val="007F7F74"/>
    <w:rsid w:val="008009BD"/>
    <w:rsid w:val="00801E8C"/>
    <w:rsid w:val="00802528"/>
    <w:rsid w:val="00802B4C"/>
    <w:rsid w:val="00803EB5"/>
    <w:rsid w:val="00804D18"/>
    <w:rsid w:val="008050A5"/>
    <w:rsid w:val="0080515C"/>
    <w:rsid w:val="00805578"/>
    <w:rsid w:val="00806DD5"/>
    <w:rsid w:val="00807F97"/>
    <w:rsid w:val="00810114"/>
    <w:rsid w:val="008101D0"/>
    <w:rsid w:val="00810A94"/>
    <w:rsid w:val="00810C82"/>
    <w:rsid w:val="008117FC"/>
    <w:rsid w:val="008144E6"/>
    <w:rsid w:val="008145CE"/>
    <w:rsid w:val="0081542C"/>
    <w:rsid w:val="00815AEE"/>
    <w:rsid w:val="00815E93"/>
    <w:rsid w:val="00816028"/>
    <w:rsid w:val="00817BBD"/>
    <w:rsid w:val="00821C67"/>
    <w:rsid w:val="00821DBB"/>
    <w:rsid w:val="00822A0F"/>
    <w:rsid w:val="00823F31"/>
    <w:rsid w:val="00824D41"/>
    <w:rsid w:val="008257DB"/>
    <w:rsid w:val="00831D7B"/>
    <w:rsid w:val="008344DC"/>
    <w:rsid w:val="008346C1"/>
    <w:rsid w:val="0083480D"/>
    <w:rsid w:val="00834CFF"/>
    <w:rsid w:val="00836C92"/>
    <w:rsid w:val="0084237E"/>
    <w:rsid w:val="00844DB3"/>
    <w:rsid w:val="008461C1"/>
    <w:rsid w:val="00847FB1"/>
    <w:rsid w:val="00852353"/>
    <w:rsid w:val="00854594"/>
    <w:rsid w:val="008551EF"/>
    <w:rsid w:val="00856CCB"/>
    <w:rsid w:val="00856E75"/>
    <w:rsid w:val="008572E8"/>
    <w:rsid w:val="00857DF6"/>
    <w:rsid w:val="00857E54"/>
    <w:rsid w:val="00860400"/>
    <w:rsid w:val="00861543"/>
    <w:rsid w:val="0086613C"/>
    <w:rsid w:val="00866621"/>
    <w:rsid w:val="00870FA5"/>
    <w:rsid w:val="008719A4"/>
    <w:rsid w:val="00872105"/>
    <w:rsid w:val="00875696"/>
    <w:rsid w:val="00885488"/>
    <w:rsid w:val="00885919"/>
    <w:rsid w:val="00885C56"/>
    <w:rsid w:val="00886F36"/>
    <w:rsid w:val="00886FD8"/>
    <w:rsid w:val="008874D1"/>
    <w:rsid w:val="008903C3"/>
    <w:rsid w:val="00891028"/>
    <w:rsid w:val="0089193B"/>
    <w:rsid w:val="008927C3"/>
    <w:rsid w:val="008948A1"/>
    <w:rsid w:val="00894CF9"/>
    <w:rsid w:val="008972A7"/>
    <w:rsid w:val="00897C12"/>
    <w:rsid w:val="008A1B09"/>
    <w:rsid w:val="008A2C46"/>
    <w:rsid w:val="008A32C8"/>
    <w:rsid w:val="008A5D4D"/>
    <w:rsid w:val="008A652F"/>
    <w:rsid w:val="008B3446"/>
    <w:rsid w:val="008B4173"/>
    <w:rsid w:val="008B54C2"/>
    <w:rsid w:val="008B56BA"/>
    <w:rsid w:val="008B5B66"/>
    <w:rsid w:val="008B637A"/>
    <w:rsid w:val="008B6A23"/>
    <w:rsid w:val="008B7676"/>
    <w:rsid w:val="008C0AE1"/>
    <w:rsid w:val="008C134D"/>
    <w:rsid w:val="008C4B41"/>
    <w:rsid w:val="008C6F77"/>
    <w:rsid w:val="008D0A0B"/>
    <w:rsid w:val="008D0F71"/>
    <w:rsid w:val="008D32EE"/>
    <w:rsid w:val="008D6724"/>
    <w:rsid w:val="008D7396"/>
    <w:rsid w:val="008E1E6D"/>
    <w:rsid w:val="008E1FE9"/>
    <w:rsid w:val="008E2549"/>
    <w:rsid w:val="008E3FA7"/>
    <w:rsid w:val="008E400C"/>
    <w:rsid w:val="008E44EE"/>
    <w:rsid w:val="008E6DE2"/>
    <w:rsid w:val="008E6FD8"/>
    <w:rsid w:val="008E7F36"/>
    <w:rsid w:val="008F1C82"/>
    <w:rsid w:val="008F24E6"/>
    <w:rsid w:val="008F3E33"/>
    <w:rsid w:val="008F53DB"/>
    <w:rsid w:val="008F5745"/>
    <w:rsid w:val="008F5A9E"/>
    <w:rsid w:val="008F6929"/>
    <w:rsid w:val="008F6C87"/>
    <w:rsid w:val="008F7C2B"/>
    <w:rsid w:val="00901478"/>
    <w:rsid w:val="00902BA2"/>
    <w:rsid w:val="00903DF7"/>
    <w:rsid w:val="00904309"/>
    <w:rsid w:val="00904CFE"/>
    <w:rsid w:val="00912131"/>
    <w:rsid w:val="009123CE"/>
    <w:rsid w:val="00912414"/>
    <w:rsid w:val="0091600F"/>
    <w:rsid w:val="00917CFF"/>
    <w:rsid w:val="00921B12"/>
    <w:rsid w:val="0092378E"/>
    <w:rsid w:val="009239E4"/>
    <w:rsid w:val="00924347"/>
    <w:rsid w:val="00924B43"/>
    <w:rsid w:val="009255F0"/>
    <w:rsid w:val="00925F83"/>
    <w:rsid w:val="00926304"/>
    <w:rsid w:val="0093095F"/>
    <w:rsid w:val="00931808"/>
    <w:rsid w:val="00932456"/>
    <w:rsid w:val="00934522"/>
    <w:rsid w:val="00934772"/>
    <w:rsid w:val="00936C4E"/>
    <w:rsid w:val="00937040"/>
    <w:rsid w:val="00937DAA"/>
    <w:rsid w:val="009410D7"/>
    <w:rsid w:val="0094142D"/>
    <w:rsid w:val="00941D2A"/>
    <w:rsid w:val="00942424"/>
    <w:rsid w:val="00942571"/>
    <w:rsid w:val="00951134"/>
    <w:rsid w:val="0095431D"/>
    <w:rsid w:val="00954E2D"/>
    <w:rsid w:val="00957FC7"/>
    <w:rsid w:val="009600C5"/>
    <w:rsid w:val="009644B7"/>
    <w:rsid w:val="0096515E"/>
    <w:rsid w:val="00966158"/>
    <w:rsid w:val="00967594"/>
    <w:rsid w:val="00967AD6"/>
    <w:rsid w:val="00967CEB"/>
    <w:rsid w:val="00971458"/>
    <w:rsid w:val="00971AC0"/>
    <w:rsid w:val="009744CD"/>
    <w:rsid w:val="009746CD"/>
    <w:rsid w:val="00974CC8"/>
    <w:rsid w:val="00975ADE"/>
    <w:rsid w:val="0098279B"/>
    <w:rsid w:val="00985720"/>
    <w:rsid w:val="00985E3C"/>
    <w:rsid w:val="009879F7"/>
    <w:rsid w:val="00993377"/>
    <w:rsid w:val="00995D1B"/>
    <w:rsid w:val="009A05DB"/>
    <w:rsid w:val="009A308D"/>
    <w:rsid w:val="009A405D"/>
    <w:rsid w:val="009A4AD7"/>
    <w:rsid w:val="009A4C9C"/>
    <w:rsid w:val="009A645F"/>
    <w:rsid w:val="009A66C3"/>
    <w:rsid w:val="009B13FD"/>
    <w:rsid w:val="009B2B57"/>
    <w:rsid w:val="009B3466"/>
    <w:rsid w:val="009B534E"/>
    <w:rsid w:val="009C163D"/>
    <w:rsid w:val="009C1FCA"/>
    <w:rsid w:val="009C3E8F"/>
    <w:rsid w:val="009C550F"/>
    <w:rsid w:val="009C641F"/>
    <w:rsid w:val="009C6944"/>
    <w:rsid w:val="009D0487"/>
    <w:rsid w:val="009D0765"/>
    <w:rsid w:val="009D10AA"/>
    <w:rsid w:val="009D222B"/>
    <w:rsid w:val="009D267F"/>
    <w:rsid w:val="009D49F1"/>
    <w:rsid w:val="009D60DA"/>
    <w:rsid w:val="009D725A"/>
    <w:rsid w:val="009D759F"/>
    <w:rsid w:val="009D77E5"/>
    <w:rsid w:val="009D798D"/>
    <w:rsid w:val="009E05E1"/>
    <w:rsid w:val="009E09B1"/>
    <w:rsid w:val="009E0AD9"/>
    <w:rsid w:val="009E0D7A"/>
    <w:rsid w:val="009E27E6"/>
    <w:rsid w:val="009E2B3C"/>
    <w:rsid w:val="009E3206"/>
    <w:rsid w:val="009E4CC3"/>
    <w:rsid w:val="009E76FB"/>
    <w:rsid w:val="009F0B87"/>
    <w:rsid w:val="009F250F"/>
    <w:rsid w:val="009F3A3E"/>
    <w:rsid w:val="009F3EC2"/>
    <w:rsid w:val="009F5702"/>
    <w:rsid w:val="009F5BE1"/>
    <w:rsid w:val="009F6679"/>
    <w:rsid w:val="009F74A0"/>
    <w:rsid w:val="00A0295D"/>
    <w:rsid w:val="00A02BEC"/>
    <w:rsid w:val="00A03563"/>
    <w:rsid w:val="00A0440F"/>
    <w:rsid w:val="00A05D6E"/>
    <w:rsid w:val="00A06189"/>
    <w:rsid w:val="00A122BF"/>
    <w:rsid w:val="00A12CE4"/>
    <w:rsid w:val="00A135C6"/>
    <w:rsid w:val="00A13CC9"/>
    <w:rsid w:val="00A15AD4"/>
    <w:rsid w:val="00A16C7E"/>
    <w:rsid w:val="00A17C62"/>
    <w:rsid w:val="00A20278"/>
    <w:rsid w:val="00A205F8"/>
    <w:rsid w:val="00A23221"/>
    <w:rsid w:val="00A24C80"/>
    <w:rsid w:val="00A25B44"/>
    <w:rsid w:val="00A25CBD"/>
    <w:rsid w:val="00A2699A"/>
    <w:rsid w:val="00A31C0E"/>
    <w:rsid w:val="00A3450A"/>
    <w:rsid w:val="00A4066C"/>
    <w:rsid w:val="00A42238"/>
    <w:rsid w:val="00A422D4"/>
    <w:rsid w:val="00A459D0"/>
    <w:rsid w:val="00A460DC"/>
    <w:rsid w:val="00A4625D"/>
    <w:rsid w:val="00A4778D"/>
    <w:rsid w:val="00A4790D"/>
    <w:rsid w:val="00A53BD8"/>
    <w:rsid w:val="00A53C46"/>
    <w:rsid w:val="00A53FD9"/>
    <w:rsid w:val="00A56D3D"/>
    <w:rsid w:val="00A6076B"/>
    <w:rsid w:val="00A61235"/>
    <w:rsid w:val="00A65946"/>
    <w:rsid w:val="00A701D4"/>
    <w:rsid w:val="00A71A3A"/>
    <w:rsid w:val="00A73F27"/>
    <w:rsid w:val="00A74AB0"/>
    <w:rsid w:val="00A74B48"/>
    <w:rsid w:val="00A75CCC"/>
    <w:rsid w:val="00A76D69"/>
    <w:rsid w:val="00A800FD"/>
    <w:rsid w:val="00A818D1"/>
    <w:rsid w:val="00A819D1"/>
    <w:rsid w:val="00A83919"/>
    <w:rsid w:val="00A83ABD"/>
    <w:rsid w:val="00A869DB"/>
    <w:rsid w:val="00A86CB9"/>
    <w:rsid w:val="00A87123"/>
    <w:rsid w:val="00A90002"/>
    <w:rsid w:val="00A900F9"/>
    <w:rsid w:val="00A90B7E"/>
    <w:rsid w:val="00A90BC4"/>
    <w:rsid w:val="00A922C8"/>
    <w:rsid w:val="00A93D12"/>
    <w:rsid w:val="00AA290E"/>
    <w:rsid w:val="00AA2CFB"/>
    <w:rsid w:val="00AA2D30"/>
    <w:rsid w:val="00AA3ADE"/>
    <w:rsid w:val="00AA3F2E"/>
    <w:rsid w:val="00AA5FD8"/>
    <w:rsid w:val="00AA6CD4"/>
    <w:rsid w:val="00AA7327"/>
    <w:rsid w:val="00AB0350"/>
    <w:rsid w:val="00AB0761"/>
    <w:rsid w:val="00AB342A"/>
    <w:rsid w:val="00AB38D5"/>
    <w:rsid w:val="00AB799C"/>
    <w:rsid w:val="00AC0E9C"/>
    <w:rsid w:val="00AC151B"/>
    <w:rsid w:val="00AC1A42"/>
    <w:rsid w:val="00AC49D6"/>
    <w:rsid w:val="00AC57E0"/>
    <w:rsid w:val="00AC6A2E"/>
    <w:rsid w:val="00AC7351"/>
    <w:rsid w:val="00AD1D59"/>
    <w:rsid w:val="00AD291A"/>
    <w:rsid w:val="00AD2DAA"/>
    <w:rsid w:val="00AD4D20"/>
    <w:rsid w:val="00AD6119"/>
    <w:rsid w:val="00AE0E4F"/>
    <w:rsid w:val="00AE2407"/>
    <w:rsid w:val="00AE3CFB"/>
    <w:rsid w:val="00AE52C0"/>
    <w:rsid w:val="00AE6001"/>
    <w:rsid w:val="00AE6C32"/>
    <w:rsid w:val="00AF027B"/>
    <w:rsid w:val="00AF15B9"/>
    <w:rsid w:val="00AF339E"/>
    <w:rsid w:val="00AF409B"/>
    <w:rsid w:val="00AF4CEC"/>
    <w:rsid w:val="00B026B5"/>
    <w:rsid w:val="00B03E7B"/>
    <w:rsid w:val="00B07BB1"/>
    <w:rsid w:val="00B16B4E"/>
    <w:rsid w:val="00B177C4"/>
    <w:rsid w:val="00B20BA9"/>
    <w:rsid w:val="00B23B4A"/>
    <w:rsid w:val="00B25A00"/>
    <w:rsid w:val="00B25DFB"/>
    <w:rsid w:val="00B2617C"/>
    <w:rsid w:val="00B2699A"/>
    <w:rsid w:val="00B27519"/>
    <w:rsid w:val="00B309E8"/>
    <w:rsid w:val="00B30CA6"/>
    <w:rsid w:val="00B32AAA"/>
    <w:rsid w:val="00B33320"/>
    <w:rsid w:val="00B36E6A"/>
    <w:rsid w:val="00B4017C"/>
    <w:rsid w:val="00B40228"/>
    <w:rsid w:val="00B40B55"/>
    <w:rsid w:val="00B41B04"/>
    <w:rsid w:val="00B41B86"/>
    <w:rsid w:val="00B42E6F"/>
    <w:rsid w:val="00B43976"/>
    <w:rsid w:val="00B44E4A"/>
    <w:rsid w:val="00B455D0"/>
    <w:rsid w:val="00B45783"/>
    <w:rsid w:val="00B45B7B"/>
    <w:rsid w:val="00B463C9"/>
    <w:rsid w:val="00B510B3"/>
    <w:rsid w:val="00B51B21"/>
    <w:rsid w:val="00B52314"/>
    <w:rsid w:val="00B567A4"/>
    <w:rsid w:val="00B56DB4"/>
    <w:rsid w:val="00B62597"/>
    <w:rsid w:val="00B631F3"/>
    <w:rsid w:val="00B64175"/>
    <w:rsid w:val="00B64E7D"/>
    <w:rsid w:val="00B6525F"/>
    <w:rsid w:val="00B657A7"/>
    <w:rsid w:val="00B658E7"/>
    <w:rsid w:val="00B66ABA"/>
    <w:rsid w:val="00B67A6B"/>
    <w:rsid w:val="00B700B6"/>
    <w:rsid w:val="00B71459"/>
    <w:rsid w:val="00B71A74"/>
    <w:rsid w:val="00B72172"/>
    <w:rsid w:val="00B73DD9"/>
    <w:rsid w:val="00B7446C"/>
    <w:rsid w:val="00B76D53"/>
    <w:rsid w:val="00B80117"/>
    <w:rsid w:val="00B813B5"/>
    <w:rsid w:val="00B81796"/>
    <w:rsid w:val="00B8294E"/>
    <w:rsid w:val="00B85A7D"/>
    <w:rsid w:val="00B85B52"/>
    <w:rsid w:val="00B86497"/>
    <w:rsid w:val="00B87412"/>
    <w:rsid w:val="00B902EF"/>
    <w:rsid w:val="00B9445A"/>
    <w:rsid w:val="00B96F99"/>
    <w:rsid w:val="00BA0238"/>
    <w:rsid w:val="00BA05E6"/>
    <w:rsid w:val="00BA114A"/>
    <w:rsid w:val="00BA274B"/>
    <w:rsid w:val="00BA296F"/>
    <w:rsid w:val="00BA2B9B"/>
    <w:rsid w:val="00BA34C5"/>
    <w:rsid w:val="00BA37E9"/>
    <w:rsid w:val="00BA45E2"/>
    <w:rsid w:val="00BA5CF4"/>
    <w:rsid w:val="00BA7072"/>
    <w:rsid w:val="00BA7712"/>
    <w:rsid w:val="00BA7A3D"/>
    <w:rsid w:val="00BB207E"/>
    <w:rsid w:val="00BB269A"/>
    <w:rsid w:val="00BB3101"/>
    <w:rsid w:val="00BB33FA"/>
    <w:rsid w:val="00BB4333"/>
    <w:rsid w:val="00BB46BF"/>
    <w:rsid w:val="00BB4D86"/>
    <w:rsid w:val="00BB59AD"/>
    <w:rsid w:val="00BB5BD1"/>
    <w:rsid w:val="00BB6178"/>
    <w:rsid w:val="00BC0CC2"/>
    <w:rsid w:val="00BC24E2"/>
    <w:rsid w:val="00BC2830"/>
    <w:rsid w:val="00BC39C6"/>
    <w:rsid w:val="00BC3BE3"/>
    <w:rsid w:val="00BC5DBA"/>
    <w:rsid w:val="00BC6544"/>
    <w:rsid w:val="00BC7F12"/>
    <w:rsid w:val="00BD13DC"/>
    <w:rsid w:val="00BD3290"/>
    <w:rsid w:val="00BD542A"/>
    <w:rsid w:val="00BD744F"/>
    <w:rsid w:val="00BE1A24"/>
    <w:rsid w:val="00BE226E"/>
    <w:rsid w:val="00BE2424"/>
    <w:rsid w:val="00BE259C"/>
    <w:rsid w:val="00BE2A9F"/>
    <w:rsid w:val="00BE2C6C"/>
    <w:rsid w:val="00BE388B"/>
    <w:rsid w:val="00BE3F7F"/>
    <w:rsid w:val="00BE64DF"/>
    <w:rsid w:val="00BE7BCE"/>
    <w:rsid w:val="00BF0004"/>
    <w:rsid w:val="00BF07EF"/>
    <w:rsid w:val="00BF27BB"/>
    <w:rsid w:val="00BF3284"/>
    <w:rsid w:val="00BF3ACF"/>
    <w:rsid w:val="00BF3C76"/>
    <w:rsid w:val="00BF4107"/>
    <w:rsid w:val="00BF689A"/>
    <w:rsid w:val="00BF7743"/>
    <w:rsid w:val="00C000CF"/>
    <w:rsid w:val="00C0028F"/>
    <w:rsid w:val="00C01156"/>
    <w:rsid w:val="00C02511"/>
    <w:rsid w:val="00C036C8"/>
    <w:rsid w:val="00C05AED"/>
    <w:rsid w:val="00C108B5"/>
    <w:rsid w:val="00C10B2A"/>
    <w:rsid w:val="00C1168E"/>
    <w:rsid w:val="00C12688"/>
    <w:rsid w:val="00C129C2"/>
    <w:rsid w:val="00C12F95"/>
    <w:rsid w:val="00C1350F"/>
    <w:rsid w:val="00C15901"/>
    <w:rsid w:val="00C205F6"/>
    <w:rsid w:val="00C22047"/>
    <w:rsid w:val="00C2219D"/>
    <w:rsid w:val="00C227EB"/>
    <w:rsid w:val="00C24769"/>
    <w:rsid w:val="00C24B44"/>
    <w:rsid w:val="00C27887"/>
    <w:rsid w:val="00C30C01"/>
    <w:rsid w:val="00C33B32"/>
    <w:rsid w:val="00C362C9"/>
    <w:rsid w:val="00C3631E"/>
    <w:rsid w:val="00C4055E"/>
    <w:rsid w:val="00C42D85"/>
    <w:rsid w:val="00C444F4"/>
    <w:rsid w:val="00C449F6"/>
    <w:rsid w:val="00C468D7"/>
    <w:rsid w:val="00C46AC5"/>
    <w:rsid w:val="00C46B8A"/>
    <w:rsid w:val="00C47E4E"/>
    <w:rsid w:val="00C503B2"/>
    <w:rsid w:val="00C50C1A"/>
    <w:rsid w:val="00C50C8B"/>
    <w:rsid w:val="00C51774"/>
    <w:rsid w:val="00C5293F"/>
    <w:rsid w:val="00C529AC"/>
    <w:rsid w:val="00C54E2E"/>
    <w:rsid w:val="00C559D8"/>
    <w:rsid w:val="00C57989"/>
    <w:rsid w:val="00C60C32"/>
    <w:rsid w:val="00C61B2D"/>
    <w:rsid w:val="00C63FFA"/>
    <w:rsid w:val="00C64323"/>
    <w:rsid w:val="00C64B0F"/>
    <w:rsid w:val="00C6656B"/>
    <w:rsid w:val="00C67CA0"/>
    <w:rsid w:val="00C72CAA"/>
    <w:rsid w:val="00C7332C"/>
    <w:rsid w:val="00C73A34"/>
    <w:rsid w:val="00C75FC5"/>
    <w:rsid w:val="00C77481"/>
    <w:rsid w:val="00C80214"/>
    <w:rsid w:val="00C806B4"/>
    <w:rsid w:val="00C83340"/>
    <w:rsid w:val="00C83D03"/>
    <w:rsid w:val="00C87C02"/>
    <w:rsid w:val="00C87F06"/>
    <w:rsid w:val="00C92900"/>
    <w:rsid w:val="00C92E88"/>
    <w:rsid w:val="00C9345C"/>
    <w:rsid w:val="00C9513E"/>
    <w:rsid w:val="00C9523D"/>
    <w:rsid w:val="00CA09D2"/>
    <w:rsid w:val="00CA3695"/>
    <w:rsid w:val="00CA48A4"/>
    <w:rsid w:val="00CA5796"/>
    <w:rsid w:val="00CA64C8"/>
    <w:rsid w:val="00CA6AC3"/>
    <w:rsid w:val="00CA6AE3"/>
    <w:rsid w:val="00CA7625"/>
    <w:rsid w:val="00CB0177"/>
    <w:rsid w:val="00CB07F4"/>
    <w:rsid w:val="00CB13BD"/>
    <w:rsid w:val="00CB2794"/>
    <w:rsid w:val="00CB43A6"/>
    <w:rsid w:val="00CB7AFD"/>
    <w:rsid w:val="00CC2E94"/>
    <w:rsid w:val="00CC42A2"/>
    <w:rsid w:val="00CC45F2"/>
    <w:rsid w:val="00CC5AB4"/>
    <w:rsid w:val="00CC63DF"/>
    <w:rsid w:val="00CD18E8"/>
    <w:rsid w:val="00CD23D6"/>
    <w:rsid w:val="00CD3070"/>
    <w:rsid w:val="00CD488B"/>
    <w:rsid w:val="00CE0487"/>
    <w:rsid w:val="00CE1156"/>
    <w:rsid w:val="00CE2F1B"/>
    <w:rsid w:val="00CE5BC2"/>
    <w:rsid w:val="00CE5E2B"/>
    <w:rsid w:val="00CE6904"/>
    <w:rsid w:val="00CE7FA5"/>
    <w:rsid w:val="00CF0A08"/>
    <w:rsid w:val="00CF378B"/>
    <w:rsid w:val="00CF3C6A"/>
    <w:rsid w:val="00CF429A"/>
    <w:rsid w:val="00CF463D"/>
    <w:rsid w:val="00CF5357"/>
    <w:rsid w:val="00D01982"/>
    <w:rsid w:val="00D02DB5"/>
    <w:rsid w:val="00D03AED"/>
    <w:rsid w:val="00D05314"/>
    <w:rsid w:val="00D07F25"/>
    <w:rsid w:val="00D12E5E"/>
    <w:rsid w:val="00D142F9"/>
    <w:rsid w:val="00D16C4A"/>
    <w:rsid w:val="00D22BD5"/>
    <w:rsid w:val="00D22E83"/>
    <w:rsid w:val="00D23EDF"/>
    <w:rsid w:val="00D261B6"/>
    <w:rsid w:val="00D27A89"/>
    <w:rsid w:val="00D32D4D"/>
    <w:rsid w:val="00D330F5"/>
    <w:rsid w:val="00D3460E"/>
    <w:rsid w:val="00D34736"/>
    <w:rsid w:val="00D34D9E"/>
    <w:rsid w:val="00D35D49"/>
    <w:rsid w:val="00D373E5"/>
    <w:rsid w:val="00D420B7"/>
    <w:rsid w:val="00D442D8"/>
    <w:rsid w:val="00D465F5"/>
    <w:rsid w:val="00D467E8"/>
    <w:rsid w:val="00D470D2"/>
    <w:rsid w:val="00D47D68"/>
    <w:rsid w:val="00D50160"/>
    <w:rsid w:val="00D50AC1"/>
    <w:rsid w:val="00D53223"/>
    <w:rsid w:val="00D55D91"/>
    <w:rsid w:val="00D56C01"/>
    <w:rsid w:val="00D577B9"/>
    <w:rsid w:val="00D57871"/>
    <w:rsid w:val="00D62A1F"/>
    <w:rsid w:val="00D62E22"/>
    <w:rsid w:val="00D65576"/>
    <w:rsid w:val="00D66D0E"/>
    <w:rsid w:val="00D67C85"/>
    <w:rsid w:val="00D72BFC"/>
    <w:rsid w:val="00D74B15"/>
    <w:rsid w:val="00D74EBE"/>
    <w:rsid w:val="00D75098"/>
    <w:rsid w:val="00D770C8"/>
    <w:rsid w:val="00D800B2"/>
    <w:rsid w:val="00D81DEF"/>
    <w:rsid w:val="00D83E01"/>
    <w:rsid w:val="00D84F94"/>
    <w:rsid w:val="00D86155"/>
    <w:rsid w:val="00D879C3"/>
    <w:rsid w:val="00D916A0"/>
    <w:rsid w:val="00D91736"/>
    <w:rsid w:val="00D92DE1"/>
    <w:rsid w:val="00D94179"/>
    <w:rsid w:val="00D94D0F"/>
    <w:rsid w:val="00D94E4D"/>
    <w:rsid w:val="00D96295"/>
    <w:rsid w:val="00D9736A"/>
    <w:rsid w:val="00DA0573"/>
    <w:rsid w:val="00DA0648"/>
    <w:rsid w:val="00DA0A2A"/>
    <w:rsid w:val="00DA0B4E"/>
    <w:rsid w:val="00DA1936"/>
    <w:rsid w:val="00DA2B19"/>
    <w:rsid w:val="00DA2CBA"/>
    <w:rsid w:val="00DA313B"/>
    <w:rsid w:val="00DA4DDC"/>
    <w:rsid w:val="00DA5AE3"/>
    <w:rsid w:val="00DA60CD"/>
    <w:rsid w:val="00DA6BA5"/>
    <w:rsid w:val="00DB09D2"/>
    <w:rsid w:val="00DB0FAA"/>
    <w:rsid w:val="00DB15DE"/>
    <w:rsid w:val="00DB2440"/>
    <w:rsid w:val="00DB2578"/>
    <w:rsid w:val="00DB26E7"/>
    <w:rsid w:val="00DB46A9"/>
    <w:rsid w:val="00DB5F9B"/>
    <w:rsid w:val="00DB691F"/>
    <w:rsid w:val="00DB7C0E"/>
    <w:rsid w:val="00DC1393"/>
    <w:rsid w:val="00DC713C"/>
    <w:rsid w:val="00DC7585"/>
    <w:rsid w:val="00DC78B1"/>
    <w:rsid w:val="00DC78FD"/>
    <w:rsid w:val="00DD1E86"/>
    <w:rsid w:val="00DD2786"/>
    <w:rsid w:val="00DD38EB"/>
    <w:rsid w:val="00DD538A"/>
    <w:rsid w:val="00DD5DEA"/>
    <w:rsid w:val="00DE077C"/>
    <w:rsid w:val="00DE1304"/>
    <w:rsid w:val="00DF368A"/>
    <w:rsid w:val="00DF39C9"/>
    <w:rsid w:val="00DF3E29"/>
    <w:rsid w:val="00DF42D6"/>
    <w:rsid w:val="00DF4D2D"/>
    <w:rsid w:val="00DF5518"/>
    <w:rsid w:val="00DF58FF"/>
    <w:rsid w:val="00DF5D8A"/>
    <w:rsid w:val="00DF6C07"/>
    <w:rsid w:val="00E00018"/>
    <w:rsid w:val="00E0056B"/>
    <w:rsid w:val="00E0075A"/>
    <w:rsid w:val="00E02BF1"/>
    <w:rsid w:val="00E02C50"/>
    <w:rsid w:val="00E032A5"/>
    <w:rsid w:val="00E03421"/>
    <w:rsid w:val="00E05922"/>
    <w:rsid w:val="00E06029"/>
    <w:rsid w:val="00E0689F"/>
    <w:rsid w:val="00E06913"/>
    <w:rsid w:val="00E07152"/>
    <w:rsid w:val="00E073D0"/>
    <w:rsid w:val="00E07E8B"/>
    <w:rsid w:val="00E10A59"/>
    <w:rsid w:val="00E11C7D"/>
    <w:rsid w:val="00E1484D"/>
    <w:rsid w:val="00E20F01"/>
    <w:rsid w:val="00E222A8"/>
    <w:rsid w:val="00E22440"/>
    <w:rsid w:val="00E23E1B"/>
    <w:rsid w:val="00E24503"/>
    <w:rsid w:val="00E26988"/>
    <w:rsid w:val="00E270AF"/>
    <w:rsid w:val="00E271C6"/>
    <w:rsid w:val="00E30DD7"/>
    <w:rsid w:val="00E3135D"/>
    <w:rsid w:val="00E32366"/>
    <w:rsid w:val="00E3281A"/>
    <w:rsid w:val="00E33927"/>
    <w:rsid w:val="00E36D96"/>
    <w:rsid w:val="00E412FC"/>
    <w:rsid w:val="00E41CCD"/>
    <w:rsid w:val="00E42071"/>
    <w:rsid w:val="00E42B35"/>
    <w:rsid w:val="00E430F4"/>
    <w:rsid w:val="00E43183"/>
    <w:rsid w:val="00E43D9A"/>
    <w:rsid w:val="00E443D3"/>
    <w:rsid w:val="00E45F8B"/>
    <w:rsid w:val="00E460F4"/>
    <w:rsid w:val="00E4628E"/>
    <w:rsid w:val="00E47CBC"/>
    <w:rsid w:val="00E500B8"/>
    <w:rsid w:val="00E508A0"/>
    <w:rsid w:val="00E51027"/>
    <w:rsid w:val="00E5233F"/>
    <w:rsid w:val="00E52EEF"/>
    <w:rsid w:val="00E54E91"/>
    <w:rsid w:val="00E559FE"/>
    <w:rsid w:val="00E569CE"/>
    <w:rsid w:val="00E575EC"/>
    <w:rsid w:val="00E611EA"/>
    <w:rsid w:val="00E61DF5"/>
    <w:rsid w:val="00E62355"/>
    <w:rsid w:val="00E64FC0"/>
    <w:rsid w:val="00E650A2"/>
    <w:rsid w:val="00E650BB"/>
    <w:rsid w:val="00E652D5"/>
    <w:rsid w:val="00E65DC2"/>
    <w:rsid w:val="00E670C0"/>
    <w:rsid w:val="00E70A00"/>
    <w:rsid w:val="00E725D6"/>
    <w:rsid w:val="00E731A6"/>
    <w:rsid w:val="00E73F25"/>
    <w:rsid w:val="00E74DC1"/>
    <w:rsid w:val="00E7788A"/>
    <w:rsid w:val="00E778DA"/>
    <w:rsid w:val="00E80778"/>
    <w:rsid w:val="00E80F66"/>
    <w:rsid w:val="00E84B3C"/>
    <w:rsid w:val="00E87317"/>
    <w:rsid w:val="00E8766B"/>
    <w:rsid w:val="00E90B8E"/>
    <w:rsid w:val="00E91082"/>
    <w:rsid w:val="00E92B55"/>
    <w:rsid w:val="00E93F17"/>
    <w:rsid w:val="00E94561"/>
    <w:rsid w:val="00E94773"/>
    <w:rsid w:val="00E95067"/>
    <w:rsid w:val="00E955A7"/>
    <w:rsid w:val="00E97D17"/>
    <w:rsid w:val="00EA0B83"/>
    <w:rsid w:val="00EA0F05"/>
    <w:rsid w:val="00EA2388"/>
    <w:rsid w:val="00EA47E0"/>
    <w:rsid w:val="00EA5681"/>
    <w:rsid w:val="00EB09EC"/>
    <w:rsid w:val="00EB0A32"/>
    <w:rsid w:val="00EB35EC"/>
    <w:rsid w:val="00EB5AFA"/>
    <w:rsid w:val="00EB65CA"/>
    <w:rsid w:val="00EB7269"/>
    <w:rsid w:val="00EC17B3"/>
    <w:rsid w:val="00EC2870"/>
    <w:rsid w:val="00EC2A33"/>
    <w:rsid w:val="00EC38B1"/>
    <w:rsid w:val="00EC4AF4"/>
    <w:rsid w:val="00EC59EB"/>
    <w:rsid w:val="00EC5EBD"/>
    <w:rsid w:val="00EC631B"/>
    <w:rsid w:val="00EC67F3"/>
    <w:rsid w:val="00ED2D8D"/>
    <w:rsid w:val="00ED333D"/>
    <w:rsid w:val="00ED50EF"/>
    <w:rsid w:val="00ED51E2"/>
    <w:rsid w:val="00ED649A"/>
    <w:rsid w:val="00ED7F1D"/>
    <w:rsid w:val="00EE051B"/>
    <w:rsid w:val="00EE15BE"/>
    <w:rsid w:val="00EE27A5"/>
    <w:rsid w:val="00EE5928"/>
    <w:rsid w:val="00EE7A66"/>
    <w:rsid w:val="00EF21C1"/>
    <w:rsid w:val="00EF5A1C"/>
    <w:rsid w:val="00F02452"/>
    <w:rsid w:val="00F0263D"/>
    <w:rsid w:val="00F03BB4"/>
    <w:rsid w:val="00F07A9E"/>
    <w:rsid w:val="00F10139"/>
    <w:rsid w:val="00F109E1"/>
    <w:rsid w:val="00F10D2A"/>
    <w:rsid w:val="00F10E6C"/>
    <w:rsid w:val="00F11145"/>
    <w:rsid w:val="00F1196F"/>
    <w:rsid w:val="00F11E5E"/>
    <w:rsid w:val="00F1348F"/>
    <w:rsid w:val="00F14791"/>
    <w:rsid w:val="00F155D3"/>
    <w:rsid w:val="00F16D1F"/>
    <w:rsid w:val="00F20D62"/>
    <w:rsid w:val="00F23D79"/>
    <w:rsid w:val="00F2482B"/>
    <w:rsid w:val="00F25467"/>
    <w:rsid w:val="00F2633E"/>
    <w:rsid w:val="00F27D4E"/>
    <w:rsid w:val="00F3018C"/>
    <w:rsid w:val="00F3100E"/>
    <w:rsid w:val="00F3310E"/>
    <w:rsid w:val="00F336B6"/>
    <w:rsid w:val="00F35F1F"/>
    <w:rsid w:val="00F36457"/>
    <w:rsid w:val="00F36EA0"/>
    <w:rsid w:val="00F373CC"/>
    <w:rsid w:val="00F4213B"/>
    <w:rsid w:val="00F43BCE"/>
    <w:rsid w:val="00F51535"/>
    <w:rsid w:val="00F5214A"/>
    <w:rsid w:val="00F52777"/>
    <w:rsid w:val="00F528BF"/>
    <w:rsid w:val="00F529BE"/>
    <w:rsid w:val="00F57D78"/>
    <w:rsid w:val="00F60720"/>
    <w:rsid w:val="00F61712"/>
    <w:rsid w:val="00F624B0"/>
    <w:rsid w:val="00F631A6"/>
    <w:rsid w:val="00F63AC6"/>
    <w:rsid w:val="00F649C0"/>
    <w:rsid w:val="00F66014"/>
    <w:rsid w:val="00F67C39"/>
    <w:rsid w:val="00F7015D"/>
    <w:rsid w:val="00F71D07"/>
    <w:rsid w:val="00F71E35"/>
    <w:rsid w:val="00F72DC8"/>
    <w:rsid w:val="00F73764"/>
    <w:rsid w:val="00F74794"/>
    <w:rsid w:val="00F74ACE"/>
    <w:rsid w:val="00F76A18"/>
    <w:rsid w:val="00F7734A"/>
    <w:rsid w:val="00F808FB"/>
    <w:rsid w:val="00F82189"/>
    <w:rsid w:val="00F82AD6"/>
    <w:rsid w:val="00F84CB7"/>
    <w:rsid w:val="00F86337"/>
    <w:rsid w:val="00F9177B"/>
    <w:rsid w:val="00F91A3A"/>
    <w:rsid w:val="00F920F0"/>
    <w:rsid w:val="00F938B6"/>
    <w:rsid w:val="00F93A9A"/>
    <w:rsid w:val="00F93B90"/>
    <w:rsid w:val="00F9625A"/>
    <w:rsid w:val="00F96799"/>
    <w:rsid w:val="00FA01B4"/>
    <w:rsid w:val="00FA0592"/>
    <w:rsid w:val="00FA1D40"/>
    <w:rsid w:val="00FA1F3A"/>
    <w:rsid w:val="00FA2CDA"/>
    <w:rsid w:val="00FA3876"/>
    <w:rsid w:val="00FA3F44"/>
    <w:rsid w:val="00FA5729"/>
    <w:rsid w:val="00FA5A99"/>
    <w:rsid w:val="00FA6BE0"/>
    <w:rsid w:val="00FA76D6"/>
    <w:rsid w:val="00FA7CC5"/>
    <w:rsid w:val="00FB03EE"/>
    <w:rsid w:val="00FB15F4"/>
    <w:rsid w:val="00FB28E4"/>
    <w:rsid w:val="00FB2FA2"/>
    <w:rsid w:val="00FB31B7"/>
    <w:rsid w:val="00FB421A"/>
    <w:rsid w:val="00FB5B40"/>
    <w:rsid w:val="00FB5C49"/>
    <w:rsid w:val="00FB60CF"/>
    <w:rsid w:val="00FB65CF"/>
    <w:rsid w:val="00FC0032"/>
    <w:rsid w:val="00FC0A01"/>
    <w:rsid w:val="00FC0FC5"/>
    <w:rsid w:val="00FC211F"/>
    <w:rsid w:val="00FC5D0E"/>
    <w:rsid w:val="00FC5DD6"/>
    <w:rsid w:val="00FC6704"/>
    <w:rsid w:val="00FC7F66"/>
    <w:rsid w:val="00FD2A14"/>
    <w:rsid w:val="00FD2C5E"/>
    <w:rsid w:val="00FD3532"/>
    <w:rsid w:val="00FD4D01"/>
    <w:rsid w:val="00FD5FFF"/>
    <w:rsid w:val="00FE2874"/>
    <w:rsid w:val="00FE35E1"/>
    <w:rsid w:val="00FE4050"/>
    <w:rsid w:val="00FE4601"/>
    <w:rsid w:val="00FE49DA"/>
    <w:rsid w:val="00FE5D78"/>
    <w:rsid w:val="00FF096A"/>
    <w:rsid w:val="00FF0D90"/>
    <w:rsid w:val="00FF232F"/>
    <w:rsid w:val="00FF606F"/>
    <w:rsid w:val="00FF6EC8"/>
    <w:rsid w:val="00FF7020"/>
    <w:rsid w:val="00FF7925"/>
    <w:rsid w:val="01347A59"/>
    <w:rsid w:val="014031A9"/>
    <w:rsid w:val="01CA790F"/>
    <w:rsid w:val="023E7BBD"/>
    <w:rsid w:val="0247330E"/>
    <w:rsid w:val="02AB7728"/>
    <w:rsid w:val="03177E67"/>
    <w:rsid w:val="037A6E92"/>
    <w:rsid w:val="03D904A3"/>
    <w:rsid w:val="03E8726A"/>
    <w:rsid w:val="03FC0F44"/>
    <w:rsid w:val="0484555E"/>
    <w:rsid w:val="04A67F11"/>
    <w:rsid w:val="05794861"/>
    <w:rsid w:val="05943B14"/>
    <w:rsid w:val="05C657A0"/>
    <w:rsid w:val="05EC0902"/>
    <w:rsid w:val="05FB317B"/>
    <w:rsid w:val="06AF4FF7"/>
    <w:rsid w:val="06C2077D"/>
    <w:rsid w:val="06E11AE9"/>
    <w:rsid w:val="06E46A6E"/>
    <w:rsid w:val="08476B90"/>
    <w:rsid w:val="09197DD5"/>
    <w:rsid w:val="093F51ED"/>
    <w:rsid w:val="098F7C46"/>
    <w:rsid w:val="09E654B0"/>
    <w:rsid w:val="0A3C7422"/>
    <w:rsid w:val="0A78310C"/>
    <w:rsid w:val="0B52319C"/>
    <w:rsid w:val="0BCB0FBA"/>
    <w:rsid w:val="0BF4573B"/>
    <w:rsid w:val="0BF64B6B"/>
    <w:rsid w:val="0C1B5A9E"/>
    <w:rsid w:val="0C5E1E2E"/>
    <w:rsid w:val="0D295F98"/>
    <w:rsid w:val="0D6C6AAA"/>
    <w:rsid w:val="0D78614B"/>
    <w:rsid w:val="0E0467F6"/>
    <w:rsid w:val="0F1A1E3F"/>
    <w:rsid w:val="0F5F37CA"/>
    <w:rsid w:val="0F71772A"/>
    <w:rsid w:val="0F7762F5"/>
    <w:rsid w:val="0FEE30E8"/>
    <w:rsid w:val="105710BF"/>
    <w:rsid w:val="10751CD1"/>
    <w:rsid w:val="107A17CA"/>
    <w:rsid w:val="107C0AD5"/>
    <w:rsid w:val="10B1608A"/>
    <w:rsid w:val="113A3BF1"/>
    <w:rsid w:val="12945E36"/>
    <w:rsid w:val="12AA6C58"/>
    <w:rsid w:val="12BE6767"/>
    <w:rsid w:val="12C30747"/>
    <w:rsid w:val="13CE5AEB"/>
    <w:rsid w:val="149B1324"/>
    <w:rsid w:val="14D42C8D"/>
    <w:rsid w:val="155B72D5"/>
    <w:rsid w:val="159759A0"/>
    <w:rsid w:val="1606156C"/>
    <w:rsid w:val="160D6710"/>
    <w:rsid w:val="169E2C66"/>
    <w:rsid w:val="16A61C36"/>
    <w:rsid w:val="1711216C"/>
    <w:rsid w:val="17461C31"/>
    <w:rsid w:val="1748433C"/>
    <w:rsid w:val="17E551B2"/>
    <w:rsid w:val="181032E1"/>
    <w:rsid w:val="1869083D"/>
    <w:rsid w:val="18BA466F"/>
    <w:rsid w:val="192178E1"/>
    <w:rsid w:val="1B6D02F5"/>
    <w:rsid w:val="1C7F7983"/>
    <w:rsid w:val="1C940D4F"/>
    <w:rsid w:val="1CE82F2D"/>
    <w:rsid w:val="1D280A4C"/>
    <w:rsid w:val="1D752545"/>
    <w:rsid w:val="1DD15E37"/>
    <w:rsid w:val="1DF15D6F"/>
    <w:rsid w:val="1E7A24D3"/>
    <w:rsid w:val="1E9E17DD"/>
    <w:rsid w:val="1EEE21A1"/>
    <w:rsid w:val="1FA871F0"/>
    <w:rsid w:val="21E07AEF"/>
    <w:rsid w:val="21F0160C"/>
    <w:rsid w:val="220353CC"/>
    <w:rsid w:val="237C2BDC"/>
    <w:rsid w:val="23B109AB"/>
    <w:rsid w:val="24115827"/>
    <w:rsid w:val="250406F9"/>
    <w:rsid w:val="2580764E"/>
    <w:rsid w:val="25AC1502"/>
    <w:rsid w:val="263537A8"/>
    <w:rsid w:val="26587DA3"/>
    <w:rsid w:val="26B03F6D"/>
    <w:rsid w:val="273121C1"/>
    <w:rsid w:val="2829733C"/>
    <w:rsid w:val="28333D17"/>
    <w:rsid w:val="285B7110"/>
    <w:rsid w:val="28D571B0"/>
    <w:rsid w:val="294563D6"/>
    <w:rsid w:val="29561593"/>
    <w:rsid w:val="29685EC0"/>
    <w:rsid w:val="29BC45A6"/>
    <w:rsid w:val="29FB653E"/>
    <w:rsid w:val="2A285B3F"/>
    <w:rsid w:val="2A497B6A"/>
    <w:rsid w:val="2A721775"/>
    <w:rsid w:val="2B002F1A"/>
    <w:rsid w:val="2B455F08"/>
    <w:rsid w:val="2C3F2300"/>
    <w:rsid w:val="2C447B2E"/>
    <w:rsid w:val="2D7A0AB0"/>
    <w:rsid w:val="2E4D0C9D"/>
    <w:rsid w:val="2ECB22FD"/>
    <w:rsid w:val="2EFE1F25"/>
    <w:rsid w:val="2F101662"/>
    <w:rsid w:val="2F337470"/>
    <w:rsid w:val="2F954C4F"/>
    <w:rsid w:val="307E7888"/>
    <w:rsid w:val="30923B08"/>
    <w:rsid w:val="30EB7636"/>
    <w:rsid w:val="313B78A3"/>
    <w:rsid w:val="3140250F"/>
    <w:rsid w:val="31D84F5C"/>
    <w:rsid w:val="31FB58A6"/>
    <w:rsid w:val="328533C1"/>
    <w:rsid w:val="34733F7F"/>
    <w:rsid w:val="347C1591"/>
    <w:rsid w:val="34904B05"/>
    <w:rsid w:val="35325A82"/>
    <w:rsid w:val="35847960"/>
    <w:rsid w:val="358D0F0B"/>
    <w:rsid w:val="359C07FF"/>
    <w:rsid w:val="36256604"/>
    <w:rsid w:val="366268EC"/>
    <w:rsid w:val="36BF3346"/>
    <w:rsid w:val="37AB08F8"/>
    <w:rsid w:val="38003C16"/>
    <w:rsid w:val="3925424D"/>
    <w:rsid w:val="3943252A"/>
    <w:rsid w:val="396877C9"/>
    <w:rsid w:val="3A296F61"/>
    <w:rsid w:val="3AE45194"/>
    <w:rsid w:val="3AFB444F"/>
    <w:rsid w:val="3B176B42"/>
    <w:rsid w:val="3B427E5C"/>
    <w:rsid w:val="3B6A3715"/>
    <w:rsid w:val="3C3E4D0D"/>
    <w:rsid w:val="3C4165AB"/>
    <w:rsid w:val="3D3D4D7A"/>
    <w:rsid w:val="3D864BBD"/>
    <w:rsid w:val="3DD1570D"/>
    <w:rsid w:val="3E391C30"/>
    <w:rsid w:val="3E3B792F"/>
    <w:rsid w:val="3E9B1E03"/>
    <w:rsid w:val="3ECF0CF0"/>
    <w:rsid w:val="40381564"/>
    <w:rsid w:val="405F2C87"/>
    <w:rsid w:val="406B2F44"/>
    <w:rsid w:val="41DC52AE"/>
    <w:rsid w:val="431A7B56"/>
    <w:rsid w:val="440D7569"/>
    <w:rsid w:val="45BC3F59"/>
    <w:rsid w:val="45C11F55"/>
    <w:rsid w:val="45DB537A"/>
    <w:rsid w:val="46345C9D"/>
    <w:rsid w:val="46876739"/>
    <w:rsid w:val="471C1790"/>
    <w:rsid w:val="47647900"/>
    <w:rsid w:val="47AF4462"/>
    <w:rsid w:val="4800486E"/>
    <w:rsid w:val="486B3D10"/>
    <w:rsid w:val="48954AA7"/>
    <w:rsid w:val="499E6DEB"/>
    <w:rsid w:val="49ED38CE"/>
    <w:rsid w:val="4A427C01"/>
    <w:rsid w:val="4AC3243A"/>
    <w:rsid w:val="4ACE1195"/>
    <w:rsid w:val="4B3F7FAC"/>
    <w:rsid w:val="4B95421D"/>
    <w:rsid w:val="4BB07A82"/>
    <w:rsid w:val="4BC55069"/>
    <w:rsid w:val="4C2757BD"/>
    <w:rsid w:val="4DA112D1"/>
    <w:rsid w:val="4DC4766D"/>
    <w:rsid w:val="4DD86894"/>
    <w:rsid w:val="4EB16C3C"/>
    <w:rsid w:val="4FB2275B"/>
    <w:rsid w:val="50193B69"/>
    <w:rsid w:val="50AF2E7A"/>
    <w:rsid w:val="50DC06CD"/>
    <w:rsid w:val="51632D16"/>
    <w:rsid w:val="516415A6"/>
    <w:rsid w:val="53954360"/>
    <w:rsid w:val="54102A1B"/>
    <w:rsid w:val="5425453F"/>
    <w:rsid w:val="54403E04"/>
    <w:rsid w:val="545F2DCF"/>
    <w:rsid w:val="54617011"/>
    <w:rsid w:val="55236734"/>
    <w:rsid w:val="556F5ADF"/>
    <w:rsid w:val="557D01FC"/>
    <w:rsid w:val="55F52488"/>
    <w:rsid w:val="56445BEE"/>
    <w:rsid w:val="57483F4B"/>
    <w:rsid w:val="575B1A2A"/>
    <w:rsid w:val="58450D79"/>
    <w:rsid w:val="589A7317"/>
    <w:rsid w:val="58C919AA"/>
    <w:rsid w:val="59B669CB"/>
    <w:rsid w:val="59DF7551"/>
    <w:rsid w:val="5AE800F6"/>
    <w:rsid w:val="5BEF3B67"/>
    <w:rsid w:val="5C2A09B2"/>
    <w:rsid w:val="5C455F21"/>
    <w:rsid w:val="5CB42577"/>
    <w:rsid w:val="5D0D455B"/>
    <w:rsid w:val="5DB26EB1"/>
    <w:rsid w:val="5E1617BC"/>
    <w:rsid w:val="5E640908"/>
    <w:rsid w:val="5F65778B"/>
    <w:rsid w:val="603A596D"/>
    <w:rsid w:val="609A21B5"/>
    <w:rsid w:val="62940184"/>
    <w:rsid w:val="62A476BF"/>
    <w:rsid w:val="62B4328D"/>
    <w:rsid w:val="6356208C"/>
    <w:rsid w:val="644F079A"/>
    <w:rsid w:val="65A757FA"/>
    <w:rsid w:val="661D0E1A"/>
    <w:rsid w:val="66CC189D"/>
    <w:rsid w:val="66E21445"/>
    <w:rsid w:val="67337169"/>
    <w:rsid w:val="67693477"/>
    <w:rsid w:val="67BF5522"/>
    <w:rsid w:val="68A015B4"/>
    <w:rsid w:val="68D423D1"/>
    <w:rsid w:val="6A3F1ACC"/>
    <w:rsid w:val="6B230426"/>
    <w:rsid w:val="6BA73DCD"/>
    <w:rsid w:val="6BF6440D"/>
    <w:rsid w:val="6C9169BB"/>
    <w:rsid w:val="6CCE06B7"/>
    <w:rsid w:val="6D0A5212"/>
    <w:rsid w:val="6D970E1E"/>
    <w:rsid w:val="6DE76703"/>
    <w:rsid w:val="6EA13DB5"/>
    <w:rsid w:val="6EFC42AE"/>
    <w:rsid w:val="70205EFC"/>
    <w:rsid w:val="710475AC"/>
    <w:rsid w:val="72A6043D"/>
    <w:rsid w:val="742835D1"/>
    <w:rsid w:val="747B16B5"/>
    <w:rsid w:val="75297256"/>
    <w:rsid w:val="757E36B9"/>
    <w:rsid w:val="75F65079"/>
    <w:rsid w:val="765468FF"/>
    <w:rsid w:val="76E0393B"/>
    <w:rsid w:val="76E058D1"/>
    <w:rsid w:val="76EF03D6"/>
    <w:rsid w:val="77737D8D"/>
    <w:rsid w:val="78042A17"/>
    <w:rsid w:val="784308F4"/>
    <w:rsid w:val="797B0E8E"/>
    <w:rsid w:val="797F5A41"/>
    <w:rsid w:val="7BCC1DDC"/>
    <w:rsid w:val="7C6E4C43"/>
    <w:rsid w:val="7C7507AA"/>
    <w:rsid w:val="7C9A0671"/>
    <w:rsid w:val="7D252DA4"/>
    <w:rsid w:val="7D39684F"/>
    <w:rsid w:val="7D4678B7"/>
    <w:rsid w:val="7D9C3115"/>
    <w:rsid w:val="7DBB4453"/>
    <w:rsid w:val="7E3F2ED6"/>
    <w:rsid w:val="7F02070D"/>
    <w:rsid w:val="7F7015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heme="minorBidi"/>
      <w:sz w:val="24"/>
      <w:szCs w:val="22"/>
      <w:lang w:val="en-US" w:eastAsia="zh-CN" w:bidi="ar-SA"/>
    </w:rPr>
  </w:style>
  <w:style w:type="paragraph" w:styleId="2">
    <w:name w:val="heading 1"/>
    <w:basedOn w:val="1"/>
    <w:next w:val="1"/>
    <w:link w:val="34"/>
    <w:qFormat/>
    <w:uiPriority w:val="9"/>
    <w:pPr>
      <w:keepNext/>
      <w:keepLines/>
      <w:ind w:firstLine="0" w:firstLineChars="0"/>
      <w:outlineLvl w:val="0"/>
    </w:pPr>
    <w:rPr>
      <w:rFonts w:cstheme="majorBidi"/>
      <w:b/>
      <w:sz w:val="32"/>
      <w:szCs w:val="32"/>
    </w:rPr>
  </w:style>
  <w:style w:type="paragraph" w:styleId="3">
    <w:name w:val="heading 2"/>
    <w:basedOn w:val="1"/>
    <w:next w:val="1"/>
    <w:link w:val="35"/>
    <w:unhideWhenUsed/>
    <w:qFormat/>
    <w:uiPriority w:val="9"/>
    <w:pPr>
      <w:keepNext/>
      <w:keepLines/>
      <w:spacing w:line="240" w:lineRule="auto"/>
      <w:ind w:firstLine="0" w:firstLineChars="0"/>
      <w:outlineLvl w:val="1"/>
    </w:pPr>
    <w:rPr>
      <w:rFonts w:cstheme="majorBidi"/>
      <w:b/>
      <w:szCs w:val="28"/>
    </w:rPr>
  </w:style>
  <w:style w:type="paragraph" w:styleId="4">
    <w:name w:val="heading 3"/>
    <w:basedOn w:val="1"/>
    <w:next w:val="1"/>
    <w:link w:val="37"/>
    <w:unhideWhenUsed/>
    <w:qFormat/>
    <w:uiPriority w:val="9"/>
    <w:pPr>
      <w:keepNext/>
      <w:keepLines/>
      <w:spacing w:line="240" w:lineRule="auto"/>
      <w:ind w:firstLine="0" w:firstLineChars="0"/>
      <w:jc w:val="center"/>
      <w:outlineLvl w:val="2"/>
    </w:pPr>
    <w:rPr>
      <w:rFonts w:cstheme="majorBidi"/>
      <w:color w:val="203864" w:themeColor="accent1" w:themeShade="80"/>
      <w:sz w:val="21"/>
      <w:szCs w:val="24"/>
    </w:rPr>
  </w:style>
  <w:style w:type="paragraph" w:styleId="5">
    <w:name w:val="heading 4"/>
    <w:basedOn w:val="1"/>
    <w:next w:val="1"/>
    <w:link w:val="38"/>
    <w:semiHidden/>
    <w:unhideWhenUsed/>
    <w:qFormat/>
    <w:uiPriority w:val="9"/>
    <w:pPr>
      <w:keepNext/>
      <w:keepLines/>
      <w:spacing w:before="40"/>
      <w:outlineLvl w:val="3"/>
    </w:pPr>
    <w:rPr>
      <w:i/>
      <w:iCs/>
    </w:rPr>
  </w:style>
  <w:style w:type="paragraph" w:styleId="6">
    <w:name w:val="heading 5"/>
    <w:basedOn w:val="1"/>
    <w:next w:val="1"/>
    <w:link w:val="39"/>
    <w:semiHidden/>
    <w:unhideWhenUsed/>
    <w:qFormat/>
    <w:uiPriority w:val="9"/>
    <w:pPr>
      <w:keepNext/>
      <w:keepLines/>
      <w:spacing w:before="40"/>
      <w:outlineLvl w:val="4"/>
    </w:pPr>
    <w:rPr>
      <w:color w:val="2F5597" w:themeColor="accent1" w:themeShade="BF"/>
    </w:rPr>
  </w:style>
  <w:style w:type="paragraph" w:styleId="7">
    <w:name w:val="heading 6"/>
    <w:basedOn w:val="1"/>
    <w:next w:val="1"/>
    <w:link w:val="40"/>
    <w:semiHidden/>
    <w:unhideWhenUsed/>
    <w:qFormat/>
    <w:uiPriority w:val="9"/>
    <w:pPr>
      <w:keepNext/>
      <w:keepLines/>
      <w:spacing w:before="40"/>
      <w:outlineLvl w:val="5"/>
    </w:pPr>
    <w:rPr>
      <w:color w:val="203864" w:themeColor="accent1" w:themeShade="80"/>
    </w:rPr>
  </w:style>
  <w:style w:type="paragraph" w:styleId="8">
    <w:name w:val="heading 7"/>
    <w:basedOn w:val="1"/>
    <w:next w:val="1"/>
    <w:link w:val="41"/>
    <w:semiHidden/>
    <w:unhideWhenUsed/>
    <w:qFormat/>
    <w:uiPriority w:val="9"/>
    <w:pPr>
      <w:keepNext/>
      <w:keepLines/>
      <w:spacing w:before="40"/>
      <w:outlineLvl w:val="6"/>
    </w:pPr>
    <w:rPr>
      <w:rFonts w:asciiTheme="majorHAnsi" w:hAnsiTheme="majorHAnsi" w:eastAsiaTheme="majorEastAsia" w:cstheme="majorBidi"/>
      <w:i/>
      <w:iCs/>
      <w:color w:val="203864" w:themeColor="accent1" w:themeShade="80"/>
    </w:rPr>
  </w:style>
  <w:style w:type="paragraph" w:styleId="9">
    <w:name w:val="heading 8"/>
    <w:basedOn w:val="1"/>
    <w:next w:val="1"/>
    <w:link w:val="42"/>
    <w:semiHidden/>
    <w:unhideWhenUsed/>
    <w:qFormat/>
    <w:uiPriority w:val="9"/>
    <w:pPr>
      <w:keepNext/>
      <w:keepLines/>
      <w:spacing w:before="40"/>
      <w:outlineLvl w:val="7"/>
    </w:pPr>
    <w:rPr>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43"/>
    <w:semiHidden/>
    <w:unhideWhenUsed/>
    <w:qFormat/>
    <w:uiPriority w:val="9"/>
    <w:pPr>
      <w:keepNext/>
      <w:keepLines/>
      <w:spacing w:before="4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qFormat/>
    <w:uiPriority w:val="0"/>
    <w:pPr>
      <w:ind w:firstLine="420"/>
    </w:pPr>
  </w:style>
  <w:style w:type="paragraph" w:styleId="12">
    <w:name w:val="Body Text First Indent 2"/>
    <w:basedOn w:val="13"/>
    <w:semiHidden/>
    <w:unhideWhenUsed/>
    <w:qFormat/>
    <w:uiPriority w:val="0"/>
    <w:pPr>
      <w:ind w:firstLine="420"/>
    </w:pPr>
  </w:style>
  <w:style w:type="paragraph" w:styleId="13">
    <w:name w:val="Body Text Indent"/>
    <w:basedOn w:val="1"/>
    <w:semiHidden/>
    <w:unhideWhenUsed/>
    <w:qFormat/>
    <w:uiPriority w:val="99"/>
    <w:pPr>
      <w:spacing w:after="120"/>
      <w:ind w:left="420" w:leftChars="200"/>
    </w:pPr>
  </w:style>
  <w:style w:type="paragraph" w:styleId="14">
    <w:name w:val="annotation text"/>
    <w:basedOn w:val="1"/>
    <w:link w:val="58"/>
    <w:qFormat/>
    <w:uiPriority w:val="0"/>
    <w:pPr>
      <w:jc w:val="left"/>
    </w:pPr>
  </w:style>
  <w:style w:type="paragraph" w:styleId="15">
    <w:name w:val="Body Text"/>
    <w:basedOn w:val="1"/>
    <w:semiHidden/>
    <w:unhideWhenUsed/>
    <w:qFormat/>
    <w:uiPriority w:val="1"/>
    <w:pPr>
      <w:spacing w:after="120"/>
    </w:pPr>
  </w:style>
  <w:style w:type="paragraph" w:styleId="16">
    <w:name w:val="List Bullet 5"/>
    <w:basedOn w:val="1"/>
    <w:semiHidden/>
    <w:unhideWhenUsed/>
    <w:qFormat/>
    <w:uiPriority w:val="99"/>
    <w:pPr>
      <w:numPr>
        <w:ilvl w:val="0"/>
        <w:numId w:val="1"/>
      </w:numPr>
    </w:pPr>
  </w:style>
  <w:style w:type="paragraph" w:styleId="17">
    <w:name w:val="endnote text"/>
    <w:basedOn w:val="1"/>
    <w:qFormat/>
    <w:uiPriority w:val="0"/>
    <w:pPr>
      <w:snapToGrid w:val="0"/>
      <w:jc w:val="left"/>
    </w:pPr>
  </w:style>
  <w:style w:type="paragraph" w:styleId="18">
    <w:name w:val="Balloon Text"/>
    <w:basedOn w:val="1"/>
    <w:link w:val="57"/>
    <w:qFormat/>
    <w:uiPriority w:val="0"/>
    <w:pPr>
      <w:spacing w:line="240" w:lineRule="auto"/>
    </w:pPr>
    <w:rPr>
      <w:sz w:val="18"/>
      <w:szCs w:val="18"/>
    </w:rPr>
  </w:style>
  <w:style w:type="paragraph" w:styleId="19">
    <w:name w:val="footer"/>
    <w:basedOn w:val="1"/>
    <w:link w:val="33"/>
    <w:unhideWhenUsed/>
    <w:qFormat/>
    <w:uiPriority w:val="99"/>
    <w:pPr>
      <w:tabs>
        <w:tab w:val="center" w:pos="4153"/>
        <w:tab w:val="right" w:pos="8306"/>
      </w:tabs>
    </w:pPr>
    <w:rPr>
      <w:sz w:val="18"/>
      <w:szCs w:val="18"/>
    </w:rPr>
  </w:style>
  <w:style w:type="paragraph" w:styleId="20">
    <w:name w:val="header"/>
    <w:basedOn w:val="1"/>
    <w:link w:val="32"/>
    <w:unhideWhenUsed/>
    <w:qFormat/>
    <w:uiPriority w:val="99"/>
    <w:pPr>
      <w:pBdr>
        <w:bottom w:val="single" w:color="auto" w:sz="6" w:space="1"/>
      </w:pBdr>
      <w:tabs>
        <w:tab w:val="center" w:pos="4153"/>
        <w:tab w:val="right" w:pos="8306"/>
      </w:tabs>
      <w:jc w:val="center"/>
    </w:pPr>
    <w:rPr>
      <w:sz w:val="18"/>
      <w:szCs w:val="18"/>
    </w:rPr>
  </w:style>
  <w:style w:type="paragraph" w:styleId="21">
    <w:name w:val="toc 1"/>
    <w:basedOn w:val="1"/>
    <w:next w:val="1"/>
    <w:unhideWhenUsed/>
    <w:qFormat/>
    <w:uiPriority w:val="39"/>
  </w:style>
  <w:style w:type="paragraph" w:styleId="22">
    <w:name w:val="Subtitle"/>
    <w:basedOn w:val="1"/>
    <w:next w:val="1"/>
    <w:link w:val="45"/>
    <w:qFormat/>
    <w:uiPriority w:val="11"/>
    <w:rPr>
      <w:color w:val="595959" w:themeColor="text1" w:themeTint="A6"/>
      <w:spacing w:val="15"/>
      <w14:textFill>
        <w14:solidFill>
          <w14:schemeClr w14:val="tx1">
            <w14:lumMod w14:val="65000"/>
            <w14:lumOff w14:val="35000"/>
          </w14:schemeClr>
        </w14:solidFill>
      </w14:textFill>
    </w:rPr>
  </w:style>
  <w:style w:type="paragraph" w:styleId="23">
    <w:name w:val="toc 2"/>
    <w:basedOn w:val="1"/>
    <w:next w:val="1"/>
    <w:unhideWhenUsed/>
    <w:qFormat/>
    <w:uiPriority w:val="39"/>
    <w:pPr>
      <w:ind w:left="420" w:leftChars="200"/>
    </w:pPr>
  </w:style>
  <w:style w:type="paragraph" w:styleId="24">
    <w:name w:val="Title"/>
    <w:basedOn w:val="1"/>
    <w:next w:val="1"/>
    <w:link w:val="44"/>
    <w:qFormat/>
    <w:uiPriority w:val="10"/>
    <w:pPr>
      <w:spacing w:line="240" w:lineRule="auto"/>
      <w:contextualSpacing/>
    </w:pPr>
    <w:rPr>
      <w:rFonts w:asciiTheme="majorHAnsi" w:hAnsiTheme="majorHAnsi" w:eastAsiaTheme="majorEastAsia" w:cstheme="majorBidi"/>
      <w:spacing w:val="-10"/>
      <w:sz w:val="56"/>
      <w:szCs w:val="56"/>
    </w:rPr>
  </w:style>
  <w:style w:type="paragraph" w:styleId="25">
    <w:name w:val="annotation subject"/>
    <w:basedOn w:val="14"/>
    <w:next w:val="14"/>
    <w:link w:val="59"/>
    <w:qFormat/>
    <w:uiPriority w:val="0"/>
    <w:rPr>
      <w:b/>
      <w:bCs/>
    </w:rPr>
  </w:style>
  <w:style w:type="paragraph" w:styleId="26">
    <w:name w:val="Body Text First Indent"/>
    <w:basedOn w:val="15"/>
    <w:next w:val="1"/>
    <w:qFormat/>
    <w:uiPriority w:val="0"/>
    <w:pPr>
      <w:ind w:firstLine="420" w:firstLineChars="1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annotation reference"/>
    <w:basedOn w:val="29"/>
    <w:qFormat/>
    <w:uiPriority w:val="0"/>
    <w:rPr>
      <w:sz w:val="21"/>
      <w:szCs w:val="21"/>
    </w:rPr>
  </w:style>
  <w:style w:type="paragraph" w:customStyle="1" w:styleId="31">
    <w:name w:val="样式 正文缩进正文缩进2正文缩进 Char Char正文缩进 Char Char Char Char正文缩进 Char ..."/>
    <w:basedOn w:val="11"/>
    <w:qFormat/>
    <w:uiPriority w:val="0"/>
    <w:pPr>
      <w:ind w:firstLine="200"/>
    </w:pPr>
    <w:rPr>
      <w:rFonts w:cs="宋体"/>
    </w:rPr>
  </w:style>
  <w:style w:type="character" w:customStyle="1" w:styleId="32">
    <w:name w:val="页眉 Char"/>
    <w:basedOn w:val="29"/>
    <w:link w:val="20"/>
    <w:qFormat/>
    <w:uiPriority w:val="99"/>
    <w:rPr>
      <w:sz w:val="18"/>
      <w:szCs w:val="18"/>
    </w:rPr>
  </w:style>
  <w:style w:type="character" w:customStyle="1" w:styleId="33">
    <w:name w:val="页脚 Char"/>
    <w:basedOn w:val="29"/>
    <w:link w:val="19"/>
    <w:qFormat/>
    <w:uiPriority w:val="99"/>
    <w:rPr>
      <w:sz w:val="18"/>
      <w:szCs w:val="18"/>
    </w:rPr>
  </w:style>
  <w:style w:type="character" w:customStyle="1" w:styleId="34">
    <w:name w:val="标题 1 Char"/>
    <w:basedOn w:val="29"/>
    <w:link w:val="2"/>
    <w:qFormat/>
    <w:uiPriority w:val="9"/>
    <w:rPr>
      <w:rFonts w:ascii="Times New Roman" w:hAnsi="Times New Roman" w:eastAsia="宋体" w:cstheme="majorBidi"/>
      <w:b/>
      <w:sz w:val="32"/>
      <w:szCs w:val="32"/>
    </w:rPr>
  </w:style>
  <w:style w:type="character" w:customStyle="1" w:styleId="35">
    <w:name w:val="标题 2 Char"/>
    <w:basedOn w:val="29"/>
    <w:link w:val="3"/>
    <w:qFormat/>
    <w:uiPriority w:val="9"/>
    <w:rPr>
      <w:rFonts w:ascii="Times New Roman" w:hAnsi="Times New Roman" w:eastAsia="宋体" w:cstheme="majorBidi"/>
      <w:b/>
      <w:sz w:val="24"/>
      <w:szCs w:val="28"/>
    </w:rPr>
  </w:style>
  <w:style w:type="paragraph" w:customStyle="1" w:styleId="36">
    <w:name w:val="表头"/>
    <w:basedOn w:val="1"/>
    <w:link w:val="52"/>
    <w:qFormat/>
    <w:uiPriority w:val="0"/>
    <w:pPr>
      <w:spacing w:line="240" w:lineRule="auto"/>
      <w:ind w:firstLine="0" w:firstLineChars="0"/>
      <w:jc w:val="center"/>
    </w:pPr>
    <w:rPr>
      <w:b/>
      <w:sz w:val="21"/>
    </w:rPr>
  </w:style>
  <w:style w:type="character" w:customStyle="1" w:styleId="37">
    <w:name w:val="标题 3 Char"/>
    <w:basedOn w:val="29"/>
    <w:link w:val="4"/>
    <w:qFormat/>
    <w:uiPriority w:val="9"/>
    <w:rPr>
      <w:rFonts w:ascii="Times New Roman" w:hAnsi="Times New Roman" w:eastAsia="宋体" w:cstheme="majorBidi"/>
      <w:color w:val="203864" w:themeColor="accent1" w:themeShade="80"/>
      <w:sz w:val="21"/>
      <w:szCs w:val="24"/>
    </w:rPr>
  </w:style>
  <w:style w:type="character" w:customStyle="1" w:styleId="38">
    <w:name w:val="标题 4 Char"/>
    <w:basedOn w:val="29"/>
    <w:link w:val="5"/>
    <w:semiHidden/>
    <w:qFormat/>
    <w:uiPriority w:val="9"/>
    <w:rPr>
      <w:i/>
      <w:iCs/>
    </w:rPr>
  </w:style>
  <w:style w:type="character" w:customStyle="1" w:styleId="39">
    <w:name w:val="标题 5 Char"/>
    <w:basedOn w:val="29"/>
    <w:link w:val="6"/>
    <w:semiHidden/>
    <w:qFormat/>
    <w:uiPriority w:val="9"/>
    <w:rPr>
      <w:color w:val="2F5597" w:themeColor="accent1" w:themeShade="BF"/>
    </w:rPr>
  </w:style>
  <w:style w:type="character" w:customStyle="1" w:styleId="40">
    <w:name w:val="标题 6 Char"/>
    <w:basedOn w:val="29"/>
    <w:link w:val="7"/>
    <w:semiHidden/>
    <w:qFormat/>
    <w:uiPriority w:val="9"/>
    <w:rPr>
      <w:color w:val="203864" w:themeColor="accent1" w:themeShade="80"/>
    </w:rPr>
  </w:style>
  <w:style w:type="character" w:customStyle="1" w:styleId="41">
    <w:name w:val="标题 7 Char"/>
    <w:basedOn w:val="29"/>
    <w:link w:val="8"/>
    <w:semiHidden/>
    <w:qFormat/>
    <w:uiPriority w:val="9"/>
    <w:rPr>
      <w:rFonts w:asciiTheme="majorHAnsi" w:hAnsiTheme="majorHAnsi" w:eastAsiaTheme="majorEastAsia" w:cstheme="majorBidi"/>
      <w:i/>
      <w:iCs/>
      <w:color w:val="203864" w:themeColor="accent1" w:themeShade="80"/>
    </w:rPr>
  </w:style>
  <w:style w:type="character" w:customStyle="1" w:styleId="42">
    <w:name w:val="标题 8 Char"/>
    <w:basedOn w:val="29"/>
    <w:link w:val="9"/>
    <w:semiHidden/>
    <w:qFormat/>
    <w:uiPriority w:val="9"/>
    <w:rPr>
      <w:color w:val="262626" w:themeColor="text1" w:themeTint="D9"/>
      <w:sz w:val="21"/>
      <w:szCs w:val="21"/>
      <w14:textFill>
        <w14:solidFill>
          <w14:schemeClr w14:val="tx1">
            <w14:lumMod w14:val="85000"/>
            <w14:lumOff w14:val="15000"/>
          </w14:schemeClr>
        </w14:solidFill>
      </w14:textFill>
    </w:rPr>
  </w:style>
  <w:style w:type="character" w:customStyle="1" w:styleId="43">
    <w:name w:val="标题 9 Char"/>
    <w:basedOn w:val="29"/>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44">
    <w:name w:val="标题 Char"/>
    <w:basedOn w:val="29"/>
    <w:link w:val="24"/>
    <w:qFormat/>
    <w:uiPriority w:val="10"/>
    <w:rPr>
      <w:rFonts w:asciiTheme="majorHAnsi" w:hAnsiTheme="majorHAnsi" w:eastAsiaTheme="majorEastAsia" w:cstheme="majorBidi"/>
      <w:spacing w:val="-10"/>
      <w:sz w:val="56"/>
      <w:szCs w:val="56"/>
    </w:rPr>
  </w:style>
  <w:style w:type="character" w:customStyle="1" w:styleId="45">
    <w:name w:val="副标题 Char"/>
    <w:basedOn w:val="29"/>
    <w:link w:val="22"/>
    <w:qFormat/>
    <w:uiPriority w:val="11"/>
    <w:rPr>
      <w:color w:val="595959" w:themeColor="text1" w:themeTint="A6"/>
      <w:spacing w:val="15"/>
      <w14:textFill>
        <w14:solidFill>
          <w14:schemeClr w14:val="tx1">
            <w14:lumMod w14:val="65000"/>
            <w14:lumOff w14:val="35000"/>
          </w14:schemeClr>
        </w14:solidFill>
      </w14:textFill>
    </w:rPr>
  </w:style>
  <w:style w:type="table" w:customStyle="1" w:styleId="46">
    <w:name w:val="Table Normal"/>
    <w:unhideWhenUsed/>
    <w:qFormat/>
    <w:uiPriority w:val="2"/>
    <w:pPr>
      <w:widowControl w:val="0"/>
    </w:pPr>
    <w:rPr>
      <w:lang w:eastAsia="en-US"/>
    </w:rPr>
    <w:tblPr>
      <w:tblCellMar>
        <w:top w:w="0" w:type="dxa"/>
        <w:left w:w="0" w:type="dxa"/>
        <w:bottom w:w="0" w:type="dxa"/>
        <w:right w:w="0" w:type="dxa"/>
      </w:tblCellMar>
    </w:tblPr>
  </w:style>
  <w:style w:type="paragraph" w:customStyle="1" w:styleId="47">
    <w:name w:val="修订1"/>
    <w:hidden/>
    <w:semiHidden/>
    <w:qFormat/>
    <w:uiPriority w:val="99"/>
    <w:rPr>
      <w:rFonts w:ascii="Times New Roman" w:hAnsi="Times New Roman" w:eastAsia="宋体" w:cstheme="minorBidi"/>
      <w:sz w:val="24"/>
      <w:szCs w:val="22"/>
      <w:lang w:val="en-US" w:eastAsia="zh-CN" w:bidi="ar-SA"/>
    </w:rPr>
  </w:style>
  <w:style w:type="table" w:customStyle="1" w:styleId="48">
    <w:name w:val="网格型1"/>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修订2"/>
    <w:hidden/>
    <w:semiHidden/>
    <w:qFormat/>
    <w:uiPriority w:val="99"/>
    <w:rPr>
      <w:rFonts w:ascii="Times New Roman" w:hAnsi="Times New Roman" w:eastAsia="宋体" w:cstheme="minorBidi"/>
      <w:sz w:val="24"/>
      <w:szCs w:val="22"/>
      <w:lang w:val="en-US" w:eastAsia="zh-CN" w:bidi="ar-SA"/>
    </w:rPr>
  </w:style>
  <w:style w:type="paragraph" w:customStyle="1" w:styleId="50">
    <w:name w:val="表内"/>
    <w:basedOn w:val="1"/>
    <w:link w:val="51"/>
    <w:qFormat/>
    <w:uiPriority w:val="0"/>
    <w:pPr>
      <w:widowControl w:val="0"/>
      <w:adjustRightInd w:val="0"/>
      <w:snapToGrid w:val="0"/>
      <w:spacing w:line="240" w:lineRule="auto"/>
      <w:ind w:firstLine="0" w:firstLineChars="0"/>
    </w:pPr>
    <w:rPr>
      <w:rFonts w:cs="Times New Roman"/>
      <w:kern w:val="2"/>
      <w:sz w:val="21"/>
      <w:szCs w:val="24"/>
    </w:rPr>
  </w:style>
  <w:style w:type="character" w:customStyle="1" w:styleId="51">
    <w:name w:val="表内 Char"/>
    <w:link w:val="50"/>
    <w:qFormat/>
    <w:uiPriority w:val="0"/>
    <w:rPr>
      <w:rFonts w:ascii="Times New Roman" w:hAnsi="Times New Roman" w:eastAsia="宋体" w:cs="Times New Roman"/>
      <w:kern w:val="2"/>
      <w:sz w:val="21"/>
      <w:szCs w:val="24"/>
    </w:rPr>
  </w:style>
  <w:style w:type="character" w:customStyle="1" w:styleId="52">
    <w:name w:val="表头 Char"/>
    <w:link w:val="36"/>
    <w:qFormat/>
    <w:uiPriority w:val="0"/>
    <w:rPr>
      <w:rFonts w:ascii="Times New Roman" w:hAnsi="Times New Roman" w:eastAsia="宋体"/>
      <w:b/>
      <w:sz w:val="21"/>
      <w:szCs w:val="22"/>
    </w:rPr>
  </w:style>
  <w:style w:type="paragraph" w:customStyle="1" w:styleId="53">
    <w:name w:val="表格内容"/>
    <w:basedOn w:val="1"/>
    <w:qFormat/>
    <w:uiPriority w:val="0"/>
    <w:pPr>
      <w:spacing w:line="240" w:lineRule="auto"/>
      <w:ind w:firstLine="0" w:firstLineChars="0"/>
      <w:jc w:val="center"/>
    </w:pPr>
    <w:rPr>
      <w:sz w:val="21"/>
    </w:rPr>
  </w:style>
  <w:style w:type="character" w:customStyle="1" w:styleId="54">
    <w:name w:val="font11"/>
    <w:basedOn w:val="29"/>
    <w:qFormat/>
    <w:uiPriority w:val="0"/>
    <w:rPr>
      <w:rFonts w:hint="eastAsia" w:ascii="宋体" w:hAnsi="宋体" w:eastAsia="宋体" w:cs="宋体"/>
      <w:color w:val="000000"/>
      <w:sz w:val="28"/>
      <w:szCs w:val="28"/>
      <w:u w:val="none"/>
    </w:rPr>
  </w:style>
  <w:style w:type="character" w:customStyle="1" w:styleId="55">
    <w:name w:val="font21"/>
    <w:basedOn w:val="29"/>
    <w:qFormat/>
    <w:uiPriority w:val="0"/>
    <w:rPr>
      <w:rFonts w:ascii="微软雅黑" w:hAnsi="微软雅黑" w:eastAsia="微软雅黑" w:cs="微软雅黑"/>
      <w:color w:val="000000"/>
      <w:sz w:val="24"/>
      <w:szCs w:val="24"/>
      <w:u w:val="none"/>
    </w:rPr>
  </w:style>
  <w:style w:type="character" w:customStyle="1" w:styleId="56">
    <w:name w:val="font31"/>
    <w:basedOn w:val="29"/>
    <w:qFormat/>
    <w:uiPriority w:val="0"/>
    <w:rPr>
      <w:rFonts w:ascii="Tahoma" w:hAnsi="Tahoma" w:eastAsia="Tahoma" w:cs="Tahoma"/>
      <w:color w:val="000000"/>
      <w:sz w:val="24"/>
      <w:szCs w:val="24"/>
      <w:u w:val="none"/>
    </w:rPr>
  </w:style>
  <w:style w:type="character" w:customStyle="1" w:styleId="57">
    <w:name w:val="批注框文本 Char"/>
    <w:basedOn w:val="29"/>
    <w:link w:val="18"/>
    <w:qFormat/>
    <w:uiPriority w:val="0"/>
    <w:rPr>
      <w:rFonts w:cstheme="minorBidi"/>
      <w:sz w:val="18"/>
      <w:szCs w:val="18"/>
    </w:rPr>
  </w:style>
  <w:style w:type="character" w:customStyle="1" w:styleId="58">
    <w:name w:val="批注文字 Char"/>
    <w:basedOn w:val="29"/>
    <w:link w:val="14"/>
    <w:qFormat/>
    <w:uiPriority w:val="0"/>
    <w:rPr>
      <w:rFonts w:cstheme="minorBidi"/>
      <w:sz w:val="24"/>
      <w:szCs w:val="22"/>
    </w:rPr>
  </w:style>
  <w:style w:type="character" w:customStyle="1" w:styleId="59">
    <w:name w:val="批注主题 Char"/>
    <w:basedOn w:val="58"/>
    <w:link w:val="25"/>
    <w:qFormat/>
    <w:uiPriority w:val="0"/>
    <w:rPr>
      <w:rFonts w:cstheme="minorBidi"/>
      <w:b/>
      <w:bCs/>
      <w:sz w:val="24"/>
      <w:szCs w:val="22"/>
    </w:rPr>
  </w:style>
  <w:style w:type="character" w:customStyle="1" w:styleId="60">
    <w:name w:val="font81"/>
    <w:basedOn w:val="29"/>
    <w:qFormat/>
    <w:uiPriority w:val="0"/>
    <w:rPr>
      <w:rFonts w:hint="eastAsia" w:ascii="宋体" w:hAnsi="宋体" w:eastAsia="宋体" w:cs="宋体"/>
      <w:color w:val="000000"/>
      <w:sz w:val="24"/>
      <w:szCs w:val="24"/>
      <w:u w:val="none"/>
      <w:vertAlign w:val="superscript"/>
    </w:rPr>
  </w:style>
  <w:style w:type="character" w:customStyle="1" w:styleId="61">
    <w:name w:val="font01"/>
    <w:basedOn w:val="29"/>
    <w:qFormat/>
    <w:uiPriority w:val="0"/>
    <w:rPr>
      <w:rFonts w:hint="eastAsia" w:ascii="宋体" w:hAnsi="宋体" w:eastAsia="宋体" w:cs="宋体"/>
      <w:color w:val="000000"/>
      <w:sz w:val="24"/>
      <w:szCs w:val="24"/>
      <w:u w:val="none"/>
    </w:rPr>
  </w:style>
  <w:style w:type="character" w:customStyle="1" w:styleId="62">
    <w:name w:val="font51"/>
    <w:basedOn w:val="29"/>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oleObject" Target="embeddings/oleObject8.bin"/><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oleObject" Target="embeddings/oleObject7.bin"/><Relationship Id="rId28" Type="http://schemas.openxmlformats.org/officeDocument/2006/relationships/image" Target="media/image11.wmf"/><Relationship Id="rId27" Type="http://schemas.openxmlformats.org/officeDocument/2006/relationships/oleObject" Target="embeddings/oleObject6.bin"/><Relationship Id="rId26" Type="http://schemas.openxmlformats.org/officeDocument/2006/relationships/image" Target="media/image10.wmf"/><Relationship Id="rId25" Type="http://schemas.openxmlformats.org/officeDocument/2006/relationships/oleObject" Target="embeddings/Microsoft_Visio_2003-2010___4.vsd"/><Relationship Id="rId24" Type="http://schemas.openxmlformats.org/officeDocument/2006/relationships/image" Target="media/image9.wmf"/><Relationship Id="rId23" Type="http://schemas.openxmlformats.org/officeDocument/2006/relationships/oleObject" Target="embeddings/Microsoft_Visio_2003-2010___3.vsd"/><Relationship Id="rId22" Type="http://schemas.openxmlformats.org/officeDocument/2006/relationships/image" Target="media/image8.wmf"/><Relationship Id="rId21" Type="http://schemas.openxmlformats.org/officeDocument/2006/relationships/oleObject" Target="embeddings/Microsoft_Visio_2003-2010___2.vsd"/><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5.bin"/><Relationship Id="rId17" Type="http://schemas.openxmlformats.org/officeDocument/2006/relationships/image" Target="media/image5.wmf"/><Relationship Id="rId16" Type="http://schemas.openxmlformats.org/officeDocument/2006/relationships/oleObject" Target="embeddings/oleObject4.bin"/><Relationship Id="rId15" Type="http://schemas.openxmlformats.org/officeDocument/2006/relationships/image" Target="media/image4.emf"/><Relationship Id="rId14" Type="http://schemas.openxmlformats.org/officeDocument/2006/relationships/oleObject" Target="embeddings/oleObject3.bin"/><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image" Target="media/image2.emf"/><Relationship Id="rId10" Type="http://schemas.openxmlformats.org/officeDocument/2006/relationships/oleObject" Target="embeddings/Microsoft_Visio_2003-2010___1.vsd"/><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8911</Words>
  <Characters>10044</Characters>
  <Lines>337</Lines>
  <Paragraphs>95</Paragraphs>
  <TotalTime>1</TotalTime>
  <ScaleCrop>false</ScaleCrop>
  <LinksUpToDate>false</LinksUpToDate>
  <CharactersWithSpaces>10086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2025-02-21T01:25:00Z</dcterms:created>
  <dc:creator>Micorosoft</dc:creator>
  <cp:lastModifiedBy>。</cp:lastModifiedBy>
  <cp:lastPrinted>2025-12-27T07:07:00Z</cp:lastPrinted>
  <dcterms:modified xsi:type="dcterms:W3CDTF">2026-01-26T08:43:37Z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6392FB21E30A47C08272DB62BB2DAD12_13</vt:lpwstr>
  </property>
  <property fmtid="{D5CDD505-2E9C-101B-9397-08002B2CF9AE}" pid="4" name="KSOTemplateDocerSaveRecord">
    <vt:lpwstr>eyJoZGlkIjoiYmUwZDRiYjQyZmZhOTgxYjMzZTA3MWZhYzkzODlmMWUiLCJ1c2VySWQiOiI3MjQzMzA1NzUifQ==</vt:lpwstr>
  </property>
</Properties>
</file>